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200" w:before="0"/>
        <w:jc w:val="center"/>
      </w:pPr>
      <w:r>
        <w:drawing>
          <wp:inline>
            <wp:extent cx="1512000" cy="1593443"/>
            <wp:docPr id="1" name="Picture 1"/>
            <wp:cNvGraphicFramePr>
              <a:graphicFrameLocks noChangeAspect="1"/>
            </wp:cNvGraphicFramePr>
            <a:graphic>
              <a:graphicData uri="http://schemas.openxmlformats.org/drawingml/2006/picture">
                <pic:pic>
                  <pic:nvPicPr>
                    <pic:cNvPr id="0" name="logo_small.png"/>
                    <pic:cNvPicPr/>
                  </pic:nvPicPr>
                  <pic:blipFill>
                    <a:blip r:embed="rId9"/>
                    <a:stretch>
                      <a:fillRect/>
                    </a:stretch>
                  </pic:blipFill>
                  <pic:spPr>
                    <a:xfrm>
                      <a:off x="0" y="0"/>
                      <a:ext cx="1512000" cy="1593443"/>
                    </a:xfrm>
                    <a:prstGeom prst="rect"/>
                  </pic:spPr>
                </pic:pic>
              </a:graphicData>
            </a:graphic>
          </wp:inline>
        </w:drawing>
      </w:r>
    </w:p>
    <w:p>
      <w:pPr>
        <w:spacing w:after="40" w:before="120"/>
        <w:jc w:val="center"/>
      </w:pPr>
      <w:r>
        <w:rPr>
          <w:rFonts w:ascii="Calibri" w:hAnsi="Calibri"/>
          <w:b/>
          <w:i w:val="0"/>
          <w:color w:val="1BA996"/>
          <w:spacing w:val="20"/>
          <w:sz w:val="60"/>
        </w:rPr>
        <w:t>KINSHASA MOSOLO</w:t>
      </w:r>
    </w:p>
    <w:p>
      <w:pPr>
        <w:spacing w:after="160" w:before="0"/>
        <w:jc w:val="center"/>
      </w:pPr>
      <w:r>
        <w:rPr>
          <w:rFonts w:ascii="Calibri" w:hAnsi="Calibri"/>
          <w:b/>
          <w:i w:val="0"/>
          <w:color w:val="0E5E55"/>
          <w:spacing w:val="30"/>
          <w:sz w:val="21"/>
        </w:rPr>
        <w:t>SOVEREIGN REVENUE MAXIMISATION OPERATING SYSTEM</w:t>
      </w:r>
    </w:p>
    <w:p>
      <w:pPr>
        <w:spacing w:after="80" w:before="0"/>
        <w:jc w:val="center"/>
      </w:pPr>
      <w:r>
        <w:rPr>
          <w:rFonts w:ascii="Calibri" w:hAnsi="Calibri"/>
          <w:b/>
          <w:i w:val="0"/>
          <w:color w:val="5F6B6A"/>
          <w:sz w:val="25"/>
        </w:rPr>
        <w:t>Système d'exploitation souverain de maximisation des recettes de la Ville Province de Kinshasa</w:t>
      </w:r>
    </w:p>
    <w:p>
      <w:pPr>
        <w:spacing w:after="240" w:before="0"/>
        <w:jc w:val="center"/>
      </w:pPr>
      <w:r>
        <w:rPr>
          <w:rFonts w:ascii="Calibri" w:hAnsi="Calibri"/>
          <w:b w:val="0"/>
          <w:i/>
          <w:color w:val="5F6B6A"/>
          <w:sz w:val="20"/>
        </w:rPr>
        <w:t>Plateforme unique de recensement, de géolocalisation, de gestion, de paiement, de contrôle et de maximisation des recettes de la Ville Province de Kinshasa</w:t>
      </w:r>
    </w:p>
    <w:p>
      <w:pPr>
        <w:spacing w:after="280" w:before="0"/>
        <w:jc w:val="center"/>
      </w:pPr>
      <w:r>
        <w:rPr>
          <w:rFonts w:ascii="Calibri" w:hAnsi="Calibri"/>
          <w:b/>
          <w:i w:val="0"/>
          <w:color w:val="1BA996"/>
          <w:sz w:val="26"/>
        </w:rPr>
        <w:t>« Une ville, un contribuable, une donnée, une quittance. »</w:t>
      </w:r>
    </w:p>
    <w:p>
      <w:pPr>
        <w:shd w:val="clear" w:color="auto" w:fill="1BA996"/>
        <w:spacing w:after="40" w:before="80"/>
        <w:jc w:val="center"/>
      </w:pPr>
      <w:r>
        <w:rPr>
          <w:rFonts w:ascii="Calibri" w:hAnsi="Calibri"/>
          <w:b/>
          <w:i w:val="0"/>
          <w:color w:val="FFFFFF"/>
          <w:spacing w:val="10"/>
          <w:sz w:val="24"/>
        </w:rPr>
        <w:t>CAHIER DES EXIGENCES CONSOLIDÉ — DOCUMENT MAÎTRE UNIQUE</w:t>
      </w:r>
    </w:p>
    <w:p>
      <w:pPr>
        <w:spacing w:after="240" w:before="0"/>
        <w:jc w:val="center"/>
      </w:pPr>
      <w:r>
        <w:rPr>
          <w:rFonts w:ascii="Calibri" w:hAnsi="Calibri"/>
          <w:b w:val="0"/>
          <w:i w:val="0"/>
          <w:color w:val="0E5E55"/>
          <w:sz w:val="20"/>
        </w:rPr>
        <w:t>Conception · Exigences produit · Gouvernance · Mise en œuvre</w:t>
      </w:r>
    </w:p>
    <w:p>
      <w:pPr>
        <w:spacing w:after="280" w:before="0"/>
        <w:jc w:val="center"/>
      </w:pPr>
      <w:r>
        <w:rPr>
          <w:rFonts w:ascii="Calibri" w:hAnsi="Calibri"/>
          <w:b/>
          <w:i w:val="0"/>
          <w:color w:val="1BA996"/>
          <w:sz w:val="17"/>
        </w:rPr>
        <w:t>RECENSER → IDENTIFIER → GÉOLOCALISER → QUALIFIER → CALCULER → NOTIFIER → PAYER → RAPPROCHER → QUITTANCER → CONTRÔLER → RECOUVRER → AUDITER → PLANIFIER</w:t>
      </w:r>
    </w:p>
    <w:tbl>
      <w:tblPr>
        <w:tblW w:type="auto" w:w="0"/>
        <w:jc w:val="center"/>
        <w:tblBorders>
          <w:top w:val="single" w:sz="4" w:space="0" w:color="C9DEDA"/>
          <w:bottom w:val="single" w:sz="4" w:space="0" w:color="C9DEDA"/>
          <w:insideH w:val="single" w:sz="4" w:space="0" w:color="C9DEDA"/>
        </w:tblBorders>
        <w:tblLook w:firstColumn="1" w:firstRow="1" w:lastColumn="0" w:lastRow="0" w:noHBand="0" w:noVBand="1" w:val="04A0"/>
      </w:tblPr>
      <w:tblGrid>
        <w:gridCol w:w="4706"/>
        <w:gridCol w:w="4706"/>
      </w:tblGrid>
      <w:tr>
        <w:tc>
          <w:tcPr>
            <w:tcW w:type="dxa" w:w="2041"/>
            <w:shd w:val="clear" w:color="auto" w:fill="E8F6F3"/>
          </w:tcPr>
          <w:p>
            <w:pPr>
              <w:spacing w:after="40" w:before="40"/>
            </w:pPr>
            <w:r>
              <w:rPr>
                <w:b/>
                <w:color w:val="0E5E55"/>
                <w:sz w:val="17"/>
              </w:rPr>
              <w:t>DOCUMENT</w:t>
            </w:r>
          </w:p>
        </w:tc>
        <w:tc>
          <w:tcPr>
            <w:tcW w:type="dxa" w:w="7370"/>
          </w:tcPr>
          <w:p>
            <w:pPr>
              <w:spacing w:after="40" w:before="40"/>
            </w:pPr>
            <w:r>
              <w:rPr>
                <w:sz w:val="17"/>
              </w:rPr>
              <w:t>Cahier des exigences consolidé — fusion intégrale du Document maître v1.0, du Master Product Requirements Document (47 sections), du Dossier Gouverneur et Spécification directrice, et de la Note exécutive au Gouverneur, enrichie en v2.9 de la spécification KIN RECETTES, de KIN-AVIA FISCUS, RakaPay, ParkSmart, CALCU, KIN PUB CONTROL et de la note NFIU</w:t>
            </w:r>
          </w:p>
        </w:tc>
      </w:tr>
      <w:tr>
        <w:tc>
          <w:tcPr>
            <w:tcW w:type="dxa" w:w="2041"/>
            <w:shd w:val="clear" w:color="auto" w:fill="E8F6F3"/>
          </w:tcPr>
          <w:p>
            <w:pPr>
              <w:spacing w:after="40" w:before="40"/>
            </w:pPr>
            <w:r>
              <w:rPr>
                <w:b/>
                <w:color w:val="0E5E55"/>
                <w:sz w:val="17"/>
              </w:rPr>
              <w:t>VERSION</w:t>
            </w:r>
          </w:p>
        </w:tc>
        <w:tc>
          <w:tcPr>
            <w:tcW w:type="dxa" w:w="7370"/>
          </w:tcPr>
          <w:p>
            <w:pPr>
              <w:spacing w:after="40" w:before="40"/>
            </w:pPr>
            <w:r>
              <w:rPr>
                <w:sz w:val="17"/>
              </w:rPr>
              <w:t>2.9 consolidée — 24 septembre 2026 (chapitres ajoutés : 10A, 11A–11D, 12A, 13A, 15A, 18A, 19A, 27A, 37A)</w:t>
            </w:r>
          </w:p>
        </w:tc>
      </w:tr>
      <w:tr>
        <w:tc>
          <w:tcPr>
            <w:tcW w:type="dxa" w:w="2041"/>
            <w:shd w:val="clear" w:color="auto" w:fill="E8F6F3"/>
          </w:tcPr>
          <w:p>
            <w:pPr>
              <w:spacing w:after="40" w:before="40"/>
            </w:pPr>
            <w:r>
              <w:rPr>
                <w:b/>
                <w:color w:val="0E5E55"/>
                <w:sz w:val="17"/>
              </w:rPr>
              <w:t>POSITIONNEMENT</w:t>
            </w:r>
          </w:p>
        </w:tc>
        <w:tc>
          <w:tcPr>
            <w:tcW w:type="dxa" w:w="7370"/>
          </w:tcPr>
          <w:p>
            <w:pPr>
              <w:spacing w:after="40" w:before="40"/>
            </w:pPr>
            <w:r>
              <w:rPr>
                <w:sz w:val="17"/>
              </w:rPr>
              <w:t>Une identité • un territoire • une règle légale • une recette traçable</w:t>
            </w:r>
          </w:p>
        </w:tc>
      </w:tr>
      <w:tr>
        <w:tc>
          <w:tcPr>
            <w:tcW w:type="dxa" w:w="2041"/>
            <w:shd w:val="clear" w:color="auto" w:fill="E8F6F3"/>
          </w:tcPr>
          <w:p>
            <w:pPr>
              <w:spacing w:after="40" w:before="40"/>
            </w:pPr>
            <w:r>
              <w:rPr>
                <w:b/>
                <w:color w:val="0E5E55"/>
                <w:sz w:val="17"/>
              </w:rPr>
              <w:t>PRINCIPE</w:t>
            </w:r>
          </w:p>
        </w:tc>
        <w:tc>
          <w:tcPr>
            <w:tcW w:type="dxa" w:w="7370"/>
          </w:tcPr>
          <w:p>
            <w:pPr>
              <w:spacing w:after="40" w:before="40"/>
            </w:pPr>
            <w:r>
              <w:rPr>
                <w:sz w:val="17"/>
              </w:rPr>
              <w:t>Chaque franc public doit être identifiable, rapprochable et auditable.</w:t>
            </w:r>
          </w:p>
        </w:tc>
      </w:tr>
      <w:tr>
        <w:tc>
          <w:tcPr>
            <w:tcW w:type="dxa" w:w="2041"/>
            <w:shd w:val="clear" w:color="auto" w:fill="E8F6F3"/>
          </w:tcPr>
          <w:p>
            <w:pPr>
              <w:spacing w:after="40" w:before="40"/>
            </w:pPr>
            <w:r>
              <w:rPr>
                <w:b/>
                <w:color w:val="0E5E55"/>
                <w:sz w:val="17"/>
              </w:rPr>
              <w:t>DESTINATAIRES</w:t>
            </w:r>
          </w:p>
        </w:tc>
        <w:tc>
          <w:tcPr>
            <w:tcW w:type="dxa" w:w="7370"/>
          </w:tcPr>
          <w:p>
            <w:pPr>
              <w:spacing w:after="40" w:before="40"/>
            </w:pPr>
            <w:r>
              <w:rPr>
                <w:sz w:val="17"/>
              </w:rPr>
              <w:t>Gouvernement provincial de Kinshasa ; Direction générale des impôts provinciaux de Kinshasa ; Direction générale des recettes de Kinshasa ; ministères et services provinciaux compétents ; communes et entités publiques autorisées ; partenaires techniques et financiers ; équipes de réalisation</w:t>
            </w:r>
          </w:p>
        </w:tc>
      </w:tr>
      <w:tr>
        <w:tc>
          <w:tcPr>
            <w:tcW w:type="dxa" w:w="2041"/>
            <w:shd w:val="clear" w:color="auto" w:fill="E8F6F3"/>
          </w:tcPr>
          <w:p>
            <w:pPr>
              <w:spacing w:after="40" w:before="40"/>
            </w:pPr>
            <w:r>
              <w:rPr>
                <w:b/>
                <w:color w:val="0E5E55"/>
                <w:sz w:val="17"/>
              </w:rPr>
              <w:t>PRÉPARÉ PAR</w:t>
            </w:r>
          </w:p>
        </w:tc>
        <w:tc>
          <w:tcPr>
            <w:tcW w:type="dxa" w:w="7370"/>
          </w:tcPr>
          <w:p>
            <w:pPr>
              <w:spacing w:after="40" w:before="40"/>
            </w:pPr>
            <w:r>
              <w:rPr>
                <w:sz w:val="17"/>
              </w:rPr>
              <w:t>Groupe Nseya Digital / JNN Global Ltd — Birmingham et Kinshasa</w:t>
            </w:r>
          </w:p>
        </w:tc>
      </w:tr>
      <w:tr>
        <w:tc>
          <w:tcPr>
            <w:tcW w:type="dxa" w:w="2041"/>
            <w:shd w:val="clear" w:color="auto" w:fill="E8F6F3"/>
          </w:tcPr>
          <w:p>
            <w:pPr>
              <w:spacing w:after="40" w:before="40"/>
            </w:pPr>
            <w:r>
              <w:rPr>
                <w:b/>
                <w:color w:val="0E5E55"/>
                <w:sz w:val="17"/>
              </w:rPr>
              <w:t>STATUT</w:t>
            </w:r>
          </w:p>
        </w:tc>
        <w:tc>
          <w:tcPr>
            <w:tcW w:type="dxa" w:w="7370"/>
          </w:tcPr>
          <w:p>
            <w:pPr>
              <w:spacing w:after="40" w:before="40"/>
            </w:pPr>
            <w:r>
              <w:rPr>
                <w:sz w:val="17"/>
              </w:rPr>
              <w:t>Document de travail soumis à validation juridique provinciale. Aucune règle, aucun taux et aucune projection ne peuvent être mis en production avant certification par les services juridiques compétents.</w:t>
            </w:r>
          </w:p>
        </w:tc>
      </w:tr>
    </w:tbl>
    <w:p>
      <w:r>
        <w:br w:type="page"/>
      </w:r>
    </w:p>
    <w:sdt>
      <w:sdtPr>
        <w:docPartObj>
          <w:docPartGallery w:val="Table of Contents"/>
          <w:docPartUnique/>
        </w:docPartObj>
      </w:sdtPr>
      <w:sdtContent>
        <w:p>
          <w:pPr>
            <w:pStyle w:val="TOCHeading"/>
          </w:pPr>
          <w:r>
            <w:t xml:space="preserve">Table</w:t>
          </w:r>
          <w:r>
            <w:t xml:space="preserve"> </w:t>
          </w:r>
          <w:r>
            <w:t xml:space="preserve">des</w:t>
          </w:r>
          <w:r>
            <w:t xml:space="preserve"> </w:t>
          </w:r>
          <w:r>
            <w:t xml:space="preserve">matières</w:t>
          </w:r>
        </w:p>
        <w:p>
          <w:pPr>
            <w:tabs>
              <w:tab w:val="right" w:leader="dot" w:pos="9350"/>
            </w:tabs>
            <w:spacing w:before="100" w:after="20"/>
            <w:ind w:left="0"/>
          </w:pPr>
          <w:r>
            <w:rPr>
              <w:rFonts w:ascii="Calibri" w:hAnsi="Calibri"/>
              <w:sz w:val="18"/>
            </w:rPr>
            <w:fldChar w:fldCharType="begin" w:dirty="true"/>
          </w:r>
          <w:r>
            <w:rPr>
              <w:rFonts w:ascii="Calibri" w:hAnsi="Calibri"/>
              <w:sz w:val="18"/>
            </w:rPr>
            <w:instrText xml:space="preserve">TOC \o "1-2" \h \z \u</w:instrText>
          </w:r>
          <w:r>
            <w:rPr>
              <w:rFonts w:ascii="Calibri" w:hAnsi="Calibri"/>
              <w:sz w:val="18"/>
            </w:rPr>
            <w:fldChar w:fldCharType="separate"/>
          </w:r>
          <w:hyperlink w:anchor="note-de-consolidation" w:history="1">
            <w:r>
              <w:rPr>
                <w:rFonts w:ascii="Calibri" w:hAnsi="Calibri"/>
                <w:b/>
                <w:color w:val="1BA996"/>
                <w:sz w:val="20"/>
              </w:rPr>
              <w:t xml:space="preserve">Note de consolidation</w:t>
            </w:r>
            <w:r>
              <w:rPr>
                <w:rFonts w:ascii="Calibri" w:hAnsi="Calibri"/>
                <w:sz w:val="20"/>
              </w:rPr>
              <w:tab/>
            </w:r>
            <w:r>
              <w:rPr>
                <w:rFonts w:ascii="Calibri" w:hAnsi="Calibri"/>
                <w:b/>
                <w:color w:val="1BA996"/>
                <w:sz w:val="20"/>
              </w:rPr>
              <w:t xml:space="preserve">7</w:t>
            </w:r>
          </w:hyperlink>
        </w:p>
        <w:p>
          <w:pPr>
            <w:tabs>
              <w:tab w:val="right" w:leader="dot" w:pos="9350"/>
            </w:tabs>
            <w:spacing w:before="100" w:after="20"/>
            <w:ind w:left="0"/>
          </w:pPr>
          <w:hyperlink w:anchor="note-exécutive-au-gouverneur" w:history="1">
            <w:r>
              <w:rPr>
                <w:rFonts w:ascii="Calibri" w:hAnsi="Calibri"/>
                <w:b/>
                <w:color w:val="1BA996"/>
                <w:sz w:val="20"/>
              </w:rPr>
              <w:t xml:space="preserve">Note exécutive au Gouverneur</w:t>
            </w:r>
            <w:r>
              <w:rPr>
                <w:rFonts w:ascii="Calibri" w:hAnsi="Calibri"/>
                <w:sz w:val="20"/>
              </w:rPr>
              <w:tab/>
            </w:r>
            <w:r>
              <w:rPr>
                <w:rFonts w:ascii="Calibri" w:hAnsi="Calibri"/>
                <w:b/>
                <w:color w:val="1BA996"/>
                <w:sz w:val="20"/>
              </w:rPr>
              <w:t xml:space="preserve">7</w:t>
            </w:r>
          </w:hyperlink>
        </w:p>
        <w:p>
          <w:pPr>
            <w:tabs>
              <w:tab w:val="right" w:leader="dot" w:pos="9350"/>
            </w:tabs>
            <w:spacing w:before="100" w:after="20"/>
            <w:ind w:left="0"/>
          </w:pPr>
          <w:hyperlink w:anchor="résumé-exécutif" w:history="1">
            <w:r>
              <w:rPr>
                <w:rFonts w:ascii="Calibri" w:hAnsi="Calibri"/>
                <w:b/>
                <w:color w:val="1BA996"/>
                <w:sz w:val="20"/>
              </w:rPr>
              <w:t xml:space="preserve">1. Résumé exécutif</w:t>
            </w:r>
            <w:r>
              <w:rPr>
                <w:rFonts w:ascii="Calibri" w:hAnsi="Calibri"/>
                <w:sz w:val="20"/>
              </w:rPr>
              <w:tab/>
            </w:r>
            <w:r>
              <w:rPr>
                <w:rFonts w:ascii="Calibri" w:hAnsi="Calibri"/>
                <w:b/>
                <w:color w:val="1BA996"/>
                <w:sz w:val="20"/>
              </w:rPr>
              <w:t xml:space="preserve">13</w:t>
            </w:r>
          </w:hyperlink>
        </w:p>
        <w:p>
          <w:pPr>
            <w:tabs>
              <w:tab w:val="right" w:leader="dot" w:pos="9350"/>
            </w:tabs>
            <w:spacing w:before="0" w:after="20"/>
            <w:ind w:left="360"/>
          </w:pPr>
          <w:hyperlink w:anchor="les-huit-résultats-attendus" w:history="1">
            <w:r>
              <w:rPr>
                <w:rFonts w:ascii="Calibri" w:hAnsi="Calibri"/>
                <w:color w:val="222B2A"/>
                <w:sz w:val="18"/>
              </w:rPr>
              <w:t xml:space="preserve">Les huit résultats attendus</w:t>
            </w:r>
            <w:r>
              <w:rPr>
                <w:rFonts w:ascii="Calibri" w:hAnsi="Calibri"/>
                <w:sz w:val="18"/>
              </w:rPr>
              <w:tab/>
            </w:r>
            <w:r>
              <w:rPr>
                <w:rFonts w:ascii="Calibri" w:hAnsi="Calibri"/>
                <w:color w:val="222B2A"/>
                <w:sz w:val="18"/>
              </w:rPr>
              <w:t xml:space="preserve">14</w:t>
            </w:r>
          </w:hyperlink>
        </w:p>
        <w:p>
          <w:pPr>
            <w:tabs>
              <w:tab w:val="right" w:leader="dot" w:pos="9350"/>
            </w:tabs>
            <w:spacing w:before="0" w:after="20"/>
            <w:ind w:left="360"/>
          </w:pPr>
          <w:hyperlink w:anchor="sommaire-des-décisions-demandées" w:history="1">
            <w:r>
              <w:rPr>
                <w:rFonts w:ascii="Calibri" w:hAnsi="Calibri"/>
                <w:color w:val="222B2A"/>
                <w:sz w:val="18"/>
              </w:rPr>
              <w:t xml:space="preserve">Sommaire des décisions demandées</w:t>
            </w:r>
            <w:r>
              <w:rPr>
                <w:rFonts w:ascii="Calibri" w:hAnsi="Calibri"/>
                <w:sz w:val="18"/>
              </w:rPr>
              <w:tab/>
            </w:r>
            <w:r>
              <w:rPr>
                <w:rFonts w:ascii="Calibri" w:hAnsi="Calibri"/>
                <w:color w:val="222B2A"/>
                <w:sz w:val="18"/>
              </w:rPr>
              <w:t xml:space="preserve">14</w:t>
            </w:r>
          </w:hyperlink>
        </w:p>
        <w:p>
          <w:pPr>
            <w:tabs>
              <w:tab w:val="right" w:leader="dot" w:pos="9350"/>
            </w:tabs>
            <w:spacing w:before="100" w:after="20"/>
            <w:ind w:left="0"/>
          </w:pPr>
          <w:hyperlink w:anchor="argumentaire-politique-et-économique" w:history="1">
            <w:r>
              <w:rPr>
                <w:rFonts w:ascii="Calibri" w:hAnsi="Calibri"/>
                <w:b/>
                <w:color w:val="1BA996"/>
                <w:sz w:val="20"/>
              </w:rPr>
              <w:t xml:space="preserve">2. Argumentaire politique et économique</w:t>
            </w:r>
            <w:r>
              <w:rPr>
                <w:rFonts w:ascii="Calibri" w:hAnsi="Calibri"/>
                <w:sz w:val="20"/>
              </w:rPr>
              <w:tab/>
            </w:r>
            <w:r>
              <w:rPr>
                <w:rFonts w:ascii="Calibri" w:hAnsi="Calibri"/>
                <w:b/>
                <w:color w:val="1BA996"/>
                <w:sz w:val="20"/>
              </w:rPr>
              <w:t xml:space="preserve">14</w:t>
            </w:r>
          </w:hyperlink>
        </w:p>
        <w:p>
          <w:pPr>
            <w:tabs>
              <w:tab w:val="right" w:leader="dot" w:pos="9350"/>
            </w:tabs>
            <w:spacing w:before="100" w:after="20"/>
            <w:ind w:left="0"/>
          </w:pPr>
          <w:hyperlink w:anchor="vision-du-projet" w:history="1">
            <w:r>
              <w:rPr>
                <w:rFonts w:ascii="Calibri" w:hAnsi="Calibri"/>
                <w:b/>
                <w:color w:val="1BA996"/>
                <w:sz w:val="20"/>
              </w:rPr>
              <w:t xml:space="preserve">3. Vision du projet</w:t>
            </w:r>
            <w:r>
              <w:rPr>
                <w:rFonts w:ascii="Calibri" w:hAnsi="Calibri"/>
                <w:sz w:val="20"/>
              </w:rPr>
              <w:tab/>
            </w:r>
            <w:r>
              <w:rPr>
                <w:rFonts w:ascii="Calibri" w:hAnsi="Calibri"/>
                <w:b/>
                <w:color w:val="1BA996"/>
                <w:sz w:val="20"/>
              </w:rPr>
              <w:t xml:space="preserve">16</w:t>
            </w:r>
          </w:hyperlink>
        </w:p>
        <w:p>
          <w:pPr>
            <w:tabs>
              <w:tab w:val="right" w:leader="dot" w:pos="9350"/>
            </w:tabs>
            <w:spacing w:before="100" w:after="20"/>
            <w:ind w:left="0"/>
          </w:pPr>
          <w:hyperlink w:anchor="énoncé-du-problème" w:history="1">
            <w:r>
              <w:rPr>
                <w:rFonts w:ascii="Calibri" w:hAnsi="Calibri"/>
                <w:b/>
                <w:color w:val="1BA996"/>
                <w:sz w:val="20"/>
              </w:rPr>
              <w:t xml:space="preserve">4. Énoncé du problème</w:t>
            </w:r>
            <w:r>
              <w:rPr>
                <w:rFonts w:ascii="Calibri" w:hAnsi="Calibri"/>
                <w:sz w:val="20"/>
              </w:rPr>
              <w:tab/>
            </w:r>
            <w:r>
              <w:rPr>
                <w:rFonts w:ascii="Calibri" w:hAnsi="Calibri"/>
                <w:b/>
                <w:color w:val="1BA996"/>
                <w:sz w:val="20"/>
              </w:rPr>
              <w:t xml:space="preserve">17</w:t>
            </w:r>
          </w:hyperlink>
        </w:p>
        <w:p>
          <w:pPr>
            <w:tabs>
              <w:tab w:val="right" w:leader="dot" w:pos="9350"/>
            </w:tabs>
            <w:spacing w:before="100" w:after="20"/>
            <w:ind w:left="0"/>
          </w:pPr>
          <w:hyperlink w:anchor="objectifs-stratégiques" w:history="1">
            <w:r>
              <w:rPr>
                <w:rFonts w:ascii="Calibri" w:hAnsi="Calibri"/>
                <w:b/>
                <w:color w:val="1BA996"/>
                <w:sz w:val="20"/>
              </w:rPr>
              <w:t xml:space="preserve">5. Objectifs stratégiques</w:t>
            </w:r>
            <w:r>
              <w:rPr>
                <w:rFonts w:ascii="Calibri" w:hAnsi="Calibri"/>
                <w:sz w:val="20"/>
              </w:rPr>
              <w:tab/>
            </w:r>
            <w:r>
              <w:rPr>
                <w:rFonts w:ascii="Calibri" w:hAnsi="Calibri"/>
                <w:b/>
                <w:color w:val="1BA996"/>
                <w:sz w:val="20"/>
              </w:rPr>
              <w:t xml:space="preserve">17</w:t>
            </w:r>
          </w:hyperlink>
        </w:p>
        <w:p>
          <w:pPr>
            <w:tabs>
              <w:tab w:val="right" w:leader="dot" w:pos="9350"/>
            </w:tabs>
            <w:spacing w:before="100" w:after="20"/>
            <w:ind w:left="0"/>
          </w:pPr>
          <w:hyperlink w:anchor="analyse-juridique-et-réglementaire" w:history="1">
            <w:r>
              <w:rPr>
                <w:rFonts w:ascii="Calibri" w:hAnsi="Calibri"/>
                <w:b/>
                <w:color w:val="1BA996"/>
                <w:sz w:val="20"/>
              </w:rPr>
              <w:t xml:space="preserve">6. Analyse juridique et réglementaire</w:t>
            </w:r>
            <w:r>
              <w:rPr>
                <w:rFonts w:ascii="Calibri" w:hAnsi="Calibri"/>
                <w:sz w:val="20"/>
              </w:rPr>
              <w:tab/>
            </w:r>
            <w:r>
              <w:rPr>
                <w:rFonts w:ascii="Calibri" w:hAnsi="Calibri"/>
                <w:b/>
                <w:color w:val="1BA996"/>
                <w:sz w:val="20"/>
              </w:rPr>
              <w:t xml:space="preserve">18</w:t>
            </w:r>
          </w:hyperlink>
        </w:p>
        <w:p>
          <w:pPr>
            <w:tabs>
              <w:tab w:val="right" w:leader="dot" w:pos="9350"/>
            </w:tabs>
            <w:spacing w:before="0" w:after="20"/>
            <w:ind w:left="360"/>
          </w:pPr>
          <w:hyperlink w:anchor="textes-de-référence-identifiés" w:history="1">
            <w:r>
              <w:rPr>
                <w:rFonts w:ascii="Calibri" w:hAnsi="Calibri"/>
                <w:color w:val="222B2A"/>
                <w:sz w:val="18"/>
              </w:rPr>
              <w:t xml:space="preserve">6.1 Textes de référence identifiés</w:t>
            </w:r>
            <w:r>
              <w:rPr>
                <w:rFonts w:ascii="Calibri" w:hAnsi="Calibri"/>
                <w:sz w:val="18"/>
              </w:rPr>
              <w:tab/>
            </w:r>
            <w:r>
              <w:rPr>
                <w:rFonts w:ascii="Calibri" w:hAnsi="Calibri"/>
                <w:color w:val="222B2A"/>
                <w:sz w:val="18"/>
              </w:rPr>
              <w:t xml:space="preserve">18</w:t>
            </w:r>
          </w:hyperlink>
        </w:p>
        <w:p>
          <w:pPr>
            <w:tabs>
              <w:tab w:val="right" w:leader="dot" w:pos="9350"/>
            </w:tabs>
            <w:spacing w:before="0" w:after="20"/>
            <w:ind w:left="360"/>
          </w:pPr>
          <w:hyperlink w:anchor="règle-dor-du-référentiel" w:history="1">
            <w:r>
              <w:rPr>
                <w:rFonts w:ascii="Calibri" w:hAnsi="Calibri"/>
                <w:color w:val="222B2A"/>
                <w:sz w:val="18"/>
              </w:rPr>
              <w:t xml:space="preserve">6.2 Règle d'or du référentiel</w:t>
            </w:r>
            <w:r>
              <w:rPr>
                <w:rFonts w:ascii="Calibri" w:hAnsi="Calibri"/>
                <w:sz w:val="18"/>
              </w:rPr>
              <w:tab/>
            </w:r>
            <w:r>
              <w:rPr>
                <w:rFonts w:ascii="Calibri" w:hAnsi="Calibri"/>
                <w:color w:val="222B2A"/>
                <w:sz w:val="18"/>
              </w:rPr>
              <w:t xml:space="preserve">19</w:t>
            </w:r>
          </w:hyperlink>
        </w:p>
        <w:p>
          <w:pPr>
            <w:tabs>
              <w:tab w:val="right" w:leader="dot" w:pos="9350"/>
            </w:tabs>
            <w:spacing w:before="0" w:after="20"/>
            <w:ind w:left="360"/>
          </w:pPr>
          <w:hyperlink w:anchor="séparation-des-compétences" w:history="1">
            <w:r>
              <w:rPr>
                <w:rFonts w:ascii="Calibri" w:hAnsi="Calibri"/>
                <w:color w:val="222B2A"/>
                <w:sz w:val="18"/>
              </w:rPr>
              <w:t xml:space="preserve">6.3 Séparation des compétences</w:t>
            </w:r>
            <w:r>
              <w:rPr>
                <w:rFonts w:ascii="Calibri" w:hAnsi="Calibri"/>
                <w:sz w:val="18"/>
              </w:rPr>
              <w:tab/>
            </w:r>
            <w:r>
              <w:rPr>
                <w:rFonts w:ascii="Calibri" w:hAnsi="Calibri"/>
                <w:color w:val="222B2A"/>
                <w:sz w:val="18"/>
              </w:rPr>
              <w:t xml:space="preserve">20</w:t>
            </w:r>
          </w:hyperlink>
        </w:p>
        <w:p>
          <w:pPr>
            <w:tabs>
              <w:tab w:val="right" w:leader="dot" w:pos="9350"/>
            </w:tabs>
            <w:spacing w:before="0" w:after="20"/>
            <w:ind w:left="360"/>
          </w:pPr>
          <w:hyperlink w:anchor="X772323bfd792dd53bf107f1f1834f272f0bd60a" w:history="1">
            <w:r>
              <w:rPr>
                <w:rFonts w:ascii="Calibri" w:hAnsi="Calibri"/>
                <w:color w:val="222B2A"/>
                <w:sz w:val="18"/>
              </w:rPr>
              <w:t xml:space="preserve">6.4 Points juridiques à trancher avant la production</w:t>
            </w:r>
            <w:r>
              <w:rPr>
                <w:rFonts w:ascii="Calibri" w:hAnsi="Calibri"/>
                <w:sz w:val="18"/>
              </w:rPr>
              <w:tab/>
            </w:r>
            <w:r>
              <w:rPr>
                <w:rFonts w:ascii="Calibri" w:hAnsi="Calibri"/>
                <w:color w:val="222B2A"/>
                <w:sz w:val="18"/>
              </w:rPr>
              <w:t xml:space="preserve">20</w:t>
            </w:r>
          </w:hyperlink>
        </w:p>
        <w:p>
          <w:pPr>
            <w:tabs>
              <w:tab w:val="right" w:leader="dot" w:pos="9350"/>
            </w:tabs>
            <w:spacing w:before="100" w:after="20"/>
            <w:ind w:left="0"/>
          </w:pPr>
          <w:hyperlink w:anchor="paysage-des-recettes-provinciales" w:history="1">
            <w:r>
              <w:rPr>
                <w:rFonts w:ascii="Calibri" w:hAnsi="Calibri"/>
                <w:b/>
                <w:color w:val="1BA996"/>
                <w:sz w:val="20"/>
              </w:rPr>
              <w:t xml:space="preserve">7. Paysage des recettes provinciales</w:t>
            </w:r>
            <w:r>
              <w:rPr>
                <w:rFonts w:ascii="Calibri" w:hAnsi="Calibri"/>
                <w:sz w:val="20"/>
              </w:rPr>
              <w:tab/>
            </w:r>
            <w:r>
              <w:rPr>
                <w:rFonts w:ascii="Calibri" w:hAnsi="Calibri"/>
                <w:b/>
                <w:color w:val="1BA996"/>
                <w:sz w:val="20"/>
              </w:rPr>
              <w:t xml:space="preserve">20</w:t>
            </w:r>
          </w:hyperlink>
        </w:p>
        <w:p>
          <w:pPr>
            <w:tabs>
              <w:tab w:val="right" w:leader="dot" w:pos="9350"/>
            </w:tabs>
            <w:spacing w:before="0" w:after="20"/>
            <w:ind w:left="360"/>
          </w:pPr>
          <w:hyperlink w:anchor="impôts-provinciaux" w:history="1">
            <w:r>
              <w:rPr>
                <w:rFonts w:ascii="Calibri" w:hAnsi="Calibri"/>
                <w:color w:val="222B2A"/>
                <w:sz w:val="18"/>
              </w:rPr>
              <w:t xml:space="preserve">7.1 Impôts provinciaux</w:t>
            </w:r>
            <w:r>
              <w:rPr>
                <w:rFonts w:ascii="Calibri" w:hAnsi="Calibri"/>
                <w:sz w:val="18"/>
              </w:rPr>
              <w:tab/>
            </w:r>
            <w:r>
              <w:rPr>
                <w:rFonts w:ascii="Calibri" w:hAnsi="Calibri"/>
                <w:color w:val="222B2A"/>
                <w:sz w:val="18"/>
              </w:rPr>
              <w:t xml:space="preserve">21</w:t>
            </w:r>
          </w:hyperlink>
        </w:p>
        <w:p>
          <w:pPr>
            <w:tabs>
              <w:tab w:val="right" w:leader="dot" w:pos="9350"/>
            </w:tabs>
            <w:spacing w:before="0" w:after="20"/>
            <w:ind w:left="360"/>
          </w:pPr>
          <w:hyperlink w:anchor="taxes-dintérêt-commun" w:history="1">
            <w:r>
              <w:rPr>
                <w:rFonts w:ascii="Calibri" w:hAnsi="Calibri"/>
                <w:color w:val="222B2A"/>
                <w:sz w:val="18"/>
              </w:rPr>
              <w:t xml:space="preserve">7.2 Taxes d'intérêt commun</w:t>
            </w:r>
            <w:r>
              <w:rPr>
                <w:rFonts w:ascii="Calibri" w:hAnsi="Calibri"/>
                <w:sz w:val="18"/>
              </w:rPr>
              <w:tab/>
            </w:r>
            <w:r>
              <w:rPr>
                <w:rFonts w:ascii="Calibri" w:hAnsi="Calibri"/>
                <w:color w:val="222B2A"/>
                <w:sz w:val="18"/>
              </w:rPr>
              <w:t xml:space="preserve">21</w:t>
            </w:r>
          </w:hyperlink>
        </w:p>
        <w:p>
          <w:pPr>
            <w:tabs>
              <w:tab w:val="right" w:leader="dot" w:pos="9350"/>
            </w:tabs>
            <w:spacing w:before="0" w:after="20"/>
            <w:ind w:left="360"/>
          </w:pPr>
          <w:hyperlink w:anchor="Xde3a8309605e9b4f045abe9f490fca29e06bc65" w:history="1">
            <w:r>
              <w:rPr>
                <w:rFonts w:ascii="Calibri" w:hAnsi="Calibri"/>
                <w:color w:val="222B2A"/>
                <w:sz w:val="18"/>
              </w:rPr>
              <w:t xml:space="preserve">7.3 Taxes, droits et redevances spécifiques à Kinshasa</w:t>
            </w:r>
            <w:r>
              <w:rPr>
                <w:rFonts w:ascii="Calibri" w:hAnsi="Calibri"/>
                <w:sz w:val="18"/>
              </w:rPr>
              <w:tab/>
            </w:r>
            <w:r>
              <w:rPr>
                <w:rFonts w:ascii="Calibri" w:hAnsi="Calibri"/>
                <w:color w:val="222B2A"/>
                <w:sz w:val="18"/>
              </w:rPr>
              <w:t xml:space="preserve">21</w:t>
            </w:r>
          </w:hyperlink>
        </w:p>
        <w:p>
          <w:pPr>
            <w:tabs>
              <w:tab w:val="right" w:leader="dot" w:pos="9350"/>
            </w:tabs>
            <w:spacing w:before="0" w:after="20"/>
            <w:ind w:left="360"/>
          </w:pPr>
          <w:hyperlink w:anchor="X5e230de1722ba1cff4eca2c1d33ad01841058ad" w:history="1">
            <w:r>
              <w:rPr>
                <w:rFonts w:ascii="Calibri" w:hAnsi="Calibri"/>
                <w:color w:val="222B2A"/>
                <w:sz w:val="18"/>
              </w:rPr>
              <w:t xml:space="preserve">7.4 Cartographie actuelle des recettes (inventaire de référence)</w:t>
            </w:r>
            <w:r>
              <w:rPr>
                <w:rFonts w:ascii="Calibri" w:hAnsi="Calibri"/>
                <w:sz w:val="18"/>
              </w:rPr>
              <w:tab/>
            </w:r>
            <w:r>
              <w:rPr>
                <w:rFonts w:ascii="Calibri" w:hAnsi="Calibri"/>
                <w:color w:val="222B2A"/>
                <w:sz w:val="18"/>
              </w:rPr>
              <w:t xml:space="preserve">22</w:t>
            </w:r>
          </w:hyperlink>
        </w:p>
        <w:p>
          <w:pPr>
            <w:tabs>
              <w:tab w:val="right" w:leader="dot" w:pos="9350"/>
            </w:tabs>
            <w:spacing w:before="0" w:after="20"/>
            <w:ind w:left="360"/>
          </w:pPr>
          <w:hyperlink w:anchor="recettes-administratives" w:history="1">
            <w:r>
              <w:rPr>
                <w:rFonts w:ascii="Calibri" w:hAnsi="Calibri"/>
                <w:color w:val="222B2A"/>
                <w:sz w:val="18"/>
              </w:rPr>
              <w:t xml:space="preserve">7.5 Recettes administratives</w:t>
            </w:r>
            <w:r>
              <w:rPr>
                <w:rFonts w:ascii="Calibri" w:hAnsi="Calibri"/>
                <w:sz w:val="18"/>
              </w:rPr>
              <w:tab/>
            </w:r>
            <w:r>
              <w:rPr>
                <w:rFonts w:ascii="Calibri" w:hAnsi="Calibri"/>
                <w:color w:val="222B2A"/>
                <w:sz w:val="18"/>
              </w:rPr>
              <w:t xml:space="preserve">22</w:t>
            </w:r>
          </w:hyperlink>
        </w:p>
        <w:p>
          <w:pPr>
            <w:tabs>
              <w:tab w:val="right" w:leader="dot" w:pos="9350"/>
            </w:tabs>
            <w:spacing w:before="100" w:after="20"/>
            <w:ind w:left="0"/>
          </w:pPr>
          <w:hyperlink w:anchor="nouvelles-opportunités-de-recettes" w:history="1">
            <w:r>
              <w:rPr>
                <w:rFonts w:ascii="Calibri" w:hAnsi="Calibri"/>
                <w:b/>
                <w:color w:val="1BA996"/>
                <w:sz w:val="20"/>
              </w:rPr>
              <w:t xml:space="preserve">8. Nouvelles opportunités de recettes</w:t>
            </w:r>
            <w:r>
              <w:rPr>
                <w:rFonts w:ascii="Calibri" w:hAnsi="Calibri"/>
                <w:sz w:val="20"/>
              </w:rPr>
              <w:tab/>
            </w:r>
            <w:r>
              <w:rPr>
                <w:rFonts w:ascii="Calibri" w:hAnsi="Calibri"/>
                <w:b/>
                <w:color w:val="1BA996"/>
                <w:sz w:val="20"/>
              </w:rPr>
              <w:t xml:space="preserve">22</w:t>
            </w:r>
          </w:hyperlink>
        </w:p>
        <w:p>
          <w:pPr>
            <w:tabs>
              <w:tab w:val="right" w:leader="dot" w:pos="9350"/>
            </w:tabs>
            <w:spacing w:before="0" w:after="20"/>
            <w:ind w:left="360"/>
          </w:pPr>
          <w:hyperlink w:anchor="Xa4f30f93f06a6d15f93b0df1115c4377b232a35" w:history="1">
            <w:r>
              <w:rPr>
                <w:rFonts w:ascii="Calibri" w:hAnsi="Calibri"/>
                <w:color w:val="222B2A"/>
                <w:sz w:val="18"/>
              </w:rPr>
              <w:t xml:space="preserve">8.1 Gisements sans texte nouveau, activables immédiatement</w:t>
            </w:r>
            <w:r>
              <w:rPr>
                <w:rFonts w:ascii="Calibri" w:hAnsi="Calibri"/>
                <w:sz w:val="18"/>
              </w:rPr>
              <w:tab/>
            </w:r>
            <w:r>
              <w:rPr>
                <w:rFonts w:ascii="Calibri" w:hAnsi="Calibri"/>
                <w:color w:val="222B2A"/>
                <w:sz w:val="18"/>
              </w:rPr>
              <w:t xml:space="preserve">23</w:t>
            </w:r>
          </w:hyperlink>
        </w:p>
        <w:p>
          <w:pPr>
            <w:tabs>
              <w:tab w:val="right" w:leader="dot" w:pos="9350"/>
            </w:tabs>
            <w:spacing w:before="0" w:after="20"/>
            <w:ind w:left="360"/>
          </w:pPr>
          <w:hyperlink w:anchor="gisements-exigeant-un-acte-provincial" w:history="1">
            <w:r>
              <w:rPr>
                <w:rFonts w:ascii="Calibri" w:hAnsi="Calibri"/>
                <w:color w:val="222B2A"/>
                <w:sz w:val="18"/>
              </w:rPr>
              <w:t xml:space="preserve">8.2 Gisements exigeant un acte provincial</w:t>
            </w:r>
            <w:r>
              <w:rPr>
                <w:rFonts w:ascii="Calibri" w:hAnsi="Calibri"/>
                <w:sz w:val="18"/>
              </w:rPr>
              <w:tab/>
            </w:r>
            <w:r>
              <w:rPr>
                <w:rFonts w:ascii="Calibri" w:hAnsi="Calibri"/>
                <w:color w:val="222B2A"/>
                <w:sz w:val="18"/>
              </w:rPr>
              <w:t xml:space="preserve">23</w:t>
            </w:r>
          </w:hyperlink>
        </w:p>
        <w:p>
          <w:pPr>
            <w:tabs>
              <w:tab w:val="right" w:leader="dot" w:pos="9350"/>
            </w:tabs>
            <w:spacing w:before="0" w:after="20"/>
            <w:ind w:left="360"/>
          </w:pPr>
          <w:hyperlink w:anchor="Xb00be29b4420cb5058751f3d3fc359153e97340" w:history="1">
            <w:r>
              <w:rPr>
                <w:rFonts w:ascii="Calibri" w:hAnsi="Calibri"/>
                <w:color w:val="222B2A"/>
                <w:sz w:val="18"/>
              </w:rPr>
              <w:t xml:space="preserve">8.3 Grille d'évaluation applicable à chaque piste</w:t>
            </w:r>
            <w:r>
              <w:rPr>
                <w:rFonts w:ascii="Calibri" w:hAnsi="Calibri"/>
                <w:sz w:val="18"/>
              </w:rPr>
              <w:tab/>
            </w:r>
            <w:r>
              <w:rPr>
                <w:rFonts w:ascii="Calibri" w:hAnsi="Calibri"/>
                <w:color w:val="222B2A"/>
                <w:sz w:val="18"/>
              </w:rPr>
              <w:t xml:space="preserve">23</w:t>
            </w:r>
          </w:hyperlink>
        </w:p>
        <w:p>
          <w:pPr>
            <w:tabs>
              <w:tab w:val="right" w:leader="dot" w:pos="9350"/>
            </w:tabs>
            <w:spacing w:before="0" w:after="20"/>
            <w:ind w:left="360"/>
          </w:pPr>
          <w:hyperlink w:anchor="X109be1fd7358255e3469425df179f434039e878" w:history="1">
            <w:r>
              <w:rPr>
                <w:rFonts w:ascii="Calibri" w:hAnsi="Calibri"/>
                <w:color w:val="222B2A"/>
                <w:sz w:val="18"/>
              </w:rPr>
              <w:t xml:space="preserve">8.4 Moteur de découverte des recettes (Revenue Discovery Engine)</w:t>
            </w:r>
            <w:r>
              <w:rPr>
                <w:rFonts w:ascii="Calibri" w:hAnsi="Calibri"/>
                <w:sz w:val="18"/>
              </w:rPr>
              <w:tab/>
            </w:r>
            <w:r>
              <w:rPr>
                <w:rFonts w:ascii="Calibri" w:hAnsi="Calibri"/>
                <w:color w:val="222B2A"/>
                <w:sz w:val="18"/>
              </w:rPr>
              <w:t xml:space="preserve">24</w:t>
            </w:r>
          </w:hyperlink>
        </w:p>
        <w:p>
          <w:pPr>
            <w:tabs>
              <w:tab w:val="right" w:leader="dot" w:pos="9350"/>
            </w:tabs>
            <w:spacing w:before="0" w:after="20"/>
            <w:ind w:left="360"/>
          </w:pPr>
          <w:hyperlink w:anchor="X04d1bf3960e3a6ef00677da89db5771e1b6bbdd" w:history="1">
            <w:r>
              <w:rPr>
                <w:rFonts w:ascii="Calibri" w:hAnsi="Calibri"/>
                <w:color w:val="222B2A"/>
                <w:sz w:val="18"/>
              </w:rPr>
              <w:t xml:space="preserve">8.5 Moteur de recoupement : signaux complémentaires</w:t>
            </w:r>
            <w:r>
              <w:rPr>
                <w:rFonts w:ascii="Calibri" w:hAnsi="Calibri"/>
                <w:sz w:val="18"/>
              </w:rPr>
              <w:tab/>
            </w:r>
            <w:r>
              <w:rPr>
                <w:rFonts w:ascii="Calibri" w:hAnsi="Calibri"/>
                <w:color w:val="222B2A"/>
                <w:sz w:val="18"/>
              </w:rPr>
              <w:t xml:space="preserve">24</w:t>
            </w:r>
          </w:hyperlink>
        </w:p>
        <w:p>
          <w:pPr>
            <w:tabs>
              <w:tab w:val="right" w:leader="dot" w:pos="9350"/>
            </w:tabs>
            <w:spacing w:before="0" w:after="20"/>
            <w:ind w:left="360"/>
          </w:pPr>
          <w:hyperlink w:anchor="les-douze-leviers-de-maximisation" w:history="1">
            <w:r>
              <w:rPr>
                <w:rFonts w:ascii="Calibri" w:hAnsi="Calibri"/>
                <w:color w:val="222B2A"/>
                <w:sz w:val="18"/>
              </w:rPr>
              <w:t xml:space="preserve">8.6 Les douze leviers de maximisation</w:t>
            </w:r>
            <w:r>
              <w:rPr>
                <w:rFonts w:ascii="Calibri" w:hAnsi="Calibri"/>
                <w:sz w:val="18"/>
              </w:rPr>
              <w:tab/>
            </w:r>
            <w:r>
              <w:rPr>
                <w:rFonts w:ascii="Calibri" w:hAnsi="Calibri"/>
                <w:color w:val="222B2A"/>
                <w:sz w:val="18"/>
              </w:rPr>
              <w:t xml:space="preserve">25</w:t>
            </w:r>
          </w:hyperlink>
        </w:p>
        <w:p>
          <w:pPr>
            <w:tabs>
              <w:tab w:val="right" w:leader="dot" w:pos="9350"/>
            </w:tabs>
            <w:spacing w:before="0" w:after="20"/>
            <w:ind w:left="360"/>
          </w:pPr>
          <w:hyperlink w:anchor="moteur-de-maximisation" w:history="1">
            <w:r>
              <w:rPr>
                <w:rFonts w:ascii="Calibri" w:hAnsi="Calibri"/>
                <w:color w:val="222B2A"/>
                <w:sz w:val="18"/>
              </w:rPr>
              <w:t xml:space="preserve">8.7 Moteur de maximisation</w:t>
            </w:r>
            <w:r>
              <w:rPr>
                <w:rFonts w:ascii="Calibri" w:hAnsi="Calibri"/>
                <w:sz w:val="18"/>
              </w:rPr>
              <w:tab/>
            </w:r>
            <w:r>
              <w:rPr>
                <w:rFonts w:ascii="Calibri" w:hAnsi="Calibri"/>
                <w:color w:val="222B2A"/>
                <w:sz w:val="18"/>
              </w:rPr>
              <w:t xml:space="preserve">25</w:t>
            </w:r>
          </w:hyperlink>
        </w:p>
        <w:p>
          <w:pPr>
            <w:tabs>
              <w:tab w:val="right" w:leader="dot" w:pos="9350"/>
            </w:tabs>
            <w:spacing w:before="100" w:after="20"/>
            <w:ind w:left="0"/>
          </w:pPr>
          <w:hyperlink w:anchor="modèle-un-utilisateur-un-compte" w:history="1">
            <w:r>
              <w:rPr>
                <w:rFonts w:ascii="Calibri" w:hAnsi="Calibri"/>
                <w:b/>
                <w:color w:val="1BA996"/>
                <w:sz w:val="20"/>
              </w:rPr>
              <w:t xml:space="preserve">9. Modèle un utilisateur, un compte</w:t>
            </w:r>
            <w:r>
              <w:rPr>
                <w:rFonts w:ascii="Calibri" w:hAnsi="Calibri"/>
                <w:sz w:val="20"/>
              </w:rPr>
              <w:tab/>
            </w:r>
            <w:r>
              <w:rPr>
                <w:rFonts w:ascii="Calibri" w:hAnsi="Calibri"/>
                <w:b/>
                <w:color w:val="1BA996"/>
                <w:sz w:val="20"/>
              </w:rPr>
              <w:t xml:space="preserve">25</w:t>
            </w:r>
          </w:hyperlink>
        </w:p>
        <w:p>
          <w:pPr>
            <w:tabs>
              <w:tab w:val="right" w:leader="dot" w:pos="9350"/>
            </w:tabs>
            <w:spacing w:before="0" w:after="20"/>
            <w:ind w:left="360"/>
          </w:pPr>
          <w:hyperlink w:anchor="clé-didentité" w:history="1">
            <w:r>
              <w:rPr>
                <w:rFonts w:ascii="Calibri" w:hAnsi="Calibri"/>
                <w:color w:val="222B2A"/>
                <w:sz w:val="18"/>
              </w:rPr>
              <w:t xml:space="preserve">9.1 Clé d'identité</w:t>
            </w:r>
            <w:r>
              <w:rPr>
                <w:rFonts w:ascii="Calibri" w:hAnsi="Calibri"/>
                <w:sz w:val="18"/>
              </w:rPr>
              <w:tab/>
            </w:r>
            <w:r>
              <w:rPr>
                <w:rFonts w:ascii="Calibri" w:hAnsi="Calibri"/>
                <w:color w:val="222B2A"/>
                <w:sz w:val="18"/>
              </w:rPr>
              <w:t xml:space="preserve">25</w:t>
            </w:r>
          </w:hyperlink>
        </w:p>
        <w:p>
          <w:pPr>
            <w:tabs>
              <w:tab w:val="right" w:leader="dot" w:pos="9350"/>
            </w:tabs>
            <w:spacing w:before="0" w:after="20"/>
            <w:ind w:left="360"/>
          </w:pPr>
          <w:hyperlink w:anchor="niveaux-de-vérification" w:history="1">
            <w:r>
              <w:rPr>
                <w:rFonts w:ascii="Calibri" w:hAnsi="Calibri"/>
                <w:color w:val="222B2A"/>
                <w:sz w:val="18"/>
              </w:rPr>
              <w:t xml:space="preserve">9.2 Niveaux de vérification</w:t>
            </w:r>
            <w:r>
              <w:rPr>
                <w:rFonts w:ascii="Calibri" w:hAnsi="Calibri"/>
                <w:sz w:val="18"/>
              </w:rPr>
              <w:tab/>
            </w:r>
            <w:r>
              <w:rPr>
                <w:rFonts w:ascii="Calibri" w:hAnsi="Calibri"/>
                <w:color w:val="222B2A"/>
                <w:sz w:val="18"/>
              </w:rPr>
              <w:t xml:space="preserve">26</w:t>
            </w:r>
          </w:hyperlink>
        </w:p>
        <w:p>
          <w:pPr>
            <w:tabs>
              <w:tab w:val="right" w:leader="dot" w:pos="9350"/>
            </w:tabs>
            <w:spacing w:before="0" w:after="20"/>
            <w:ind w:left="360"/>
          </w:pPr>
          <w:hyperlink w:anchor="parcours-denrôlement-par-profil" w:history="1">
            <w:r>
              <w:rPr>
                <w:rFonts w:ascii="Calibri" w:hAnsi="Calibri"/>
                <w:color w:val="222B2A"/>
                <w:sz w:val="18"/>
              </w:rPr>
              <w:t xml:space="preserve">9.3 Parcours d'enrôlement par profil</w:t>
            </w:r>
            <w:r>
              <w:rPr>
                <w:rFonts w:ascii="Calibri" w:hAnsi="Calibri"/>
                <w:sz w:val="18"/>
              </w:rPr>
              <w:tab/>
            </w:r>
            <w:r>
              <w:rPr>
                <w:rFonts w:ascii="Calibri" w:hAnsi="Calibri"/>
                <w:color w:val="222B2A"/>
                <w:sz w:val="18"/>
              </w:rPr>
              <w:t xml:space="preserve">26</w:t>
            </w:r>
          </w:hyperlink>
        </w:p>
        <w:p>
          <w:pPr>
            <w:tabs>
              <w:tab w:val="right" w:leader="dot" w:pos="9350"/>
            </w:tabs>
            <w:spacing w:before="0" w:after="20"/>
            <w:ind w:left="360"/>
          </w:pPr>
          <w:hyperlink w:anchor="contenu-du-profil-unifié" w:history="1">
            <w:r>
              <w:rPr>
                <w:rFonts w:ascii="Calibri" w:hAnsi="Calibri"/>
                <w:color w:val="222B2A"/>
                <w:sz w:val="18"/>
              </w:rPr>
              <w:t xml:space="preserve">9.4 Contenu du profil unifié</w:t>
            </w:r>
            <w:r>
              <w:rPr>
                <w:rFonts w:ascii="Calibri" w:hAnsi="Calibri"/>
                <w:sz w:val="18"/>
              </w:rPr>
              <w:tab/>
            </w:r>
            <w:r>
              <w:rPr>
                <w:rFonts w:ascii="Calibri" w:hAnsi="Calibri"/>
                <w:color w:val="222B2A"/>
                <w:sz w:val="18"/>
              </w:rPr>
              <w:t xml:space="preserve">27</w:t>
            </w:r>
          </w:hyperlink>
        </w:p>
        <w:p>
          <w:pPr>
            <w:tabs>
              <w:tab w:val="right" w:leader="dot" w:pos="9350"/>
            </w:tabs>
            <w:spacing w:before="0" w:after="20"/>
            <w:ind w:left="360"/>
          </w:pPr>
          <w:hyperlink w:anchor="X1c5b8b22068b7fe7b24ac598fe94598832ece72" w:history="1">
            <w:r>
              <w:rPr>
                <w:rFonts w:ascii="Calibri" w:hAnsi="Calibri"/>
                <w:color w:val="222B2A"/>
                <w:sz w:val="18"/>
              </w:rPr>
              <w:t xml:space="preserve">9.5 Ce que le compte unique change pour le contribuable</w:t>
            </w:r>
            <w:r>
              <w:rPr>
                <w:rFonts w:ascii="Calibri" w:hAnsi="Calibri"/>
                <w:sz w:val="18"/>
              </w:rPr>
              <w:tab/>
            </w:r>
            <w:r>
              <w:rPr>
                <w:rFonts w:ascii="Calibri" w:hAnsi="Calibri"/>
                <w:color w:val="222B2A"/>
                <w:sz w:val="18"/>
              </w:rPr>
              <w:t xml:space="preserve">27</w:t>
            </w:r>
          </w:hyperlink>
        </w:p>
        <w:p>
          <w:pPr>
            <w:tabs>
              <w:tab w:val="right" w:leader="dot" w:pos="9350"/>
            </w:tabs>
            <w:spacing w:before="100" w:after="20"/>
            <w:ind w:left="0"/>
          </w:pPr>
          <w:hyperlink w:anchor="architecture-fonctionnelle" w:history="1">
            <w:r>
              <w:rPr>
                <w:rFonts w:ascii="Calibri" w:hAnsi="Calibri"/>
                <w:b/>
                <w:color w:val="1BA996"/>
                <w:sz w:val="20"/>
              </w:rPr>
              <w:t xml:space="preserve">10. Architecture fonctionnelle</w:t>
            </w:r>
            <w:r>
              <w:rPr>
                <w:rFonts w:ascii="Calibri" w:hAnsi="Calibri"/>
                <w:sz w:val="20"/>
              </w:rPr>
              <w:tab/>
            </w:r>
            <w:r>
              <w:rPr>
                <w:rFonts w:ascii="Calibri" w:hAnsi="Calibri"/>
                <w:b/>
                <w:color w:val="1BA996"/>
                <w:sz w:val="20"/>
              </w:rPr>
              <w:t xml:space="preserve">27</w:t>
            </w:r>
          </w:hyperlink>
        </w:p>
        <w:p>
          <w:pPr>
            <w:tabs>
              <w:tab w:val="right" w:leader="dot" w:pos="9350"/>
            </w:tabs>
            <w:spacing w:before="100" w:after="20"/>
            <w:ind w:left="0"/>
          </w:pPr>
          <w:hyperlink w:anchor="X257ab373bb8726285ea77d4b71ffc1a3964d03f" w:history="1">
            <w:r>
              <w:rPr>
                <w:rFonts w:ascii="Calibri" w:hAnsi="Calibri"/>
                <w:b/>
                <w:color w:val="1BA996"/>
                <w:sz w:val="20"/>
              </w:rPr>
              <w:t xml:space="preserve">10A. Architecture multi-entités et multi-services</w:t>
            </w:r>
            <w:r>
              <w:rPr>
                <w:rFonts w:ascii="Calibri" w:hAnsi="Calibri"/>
                <w:sz w:val="20"/>
              </w:rPr>
              <w:tab/>
            </w:r>
            <w:r>
              <w:rPr>
                <w:rFonts w:ascii="Calibri" w:hAnsi="Calibri"/>
                <w:b/>
                <w:color w:val="1BA996"/>
                <w:sz w:val="20"/>
              </w:rPr>
              <w:t xml:space="preserve">28</w:t>
            </w:r>
          </w:hyperlink>
        </w:p>
        <w:p>
          <w:pPr>
            <w:tabs>
              <w:tab w:val="right" w:leader="dot" w:pos="9350"/>
            </w:tabs>
            <w:spacing w:before="0" w:after="20"/>
            <w:ind w:left="360"/>
          </w:pPr>
          <w:hyperlink w:anchor="a.1-entités-besoins-et-intérêts" w:history="1">
            <w:r>
              <w:rPr>
                <w:rFonts w:ascii="Calibri" w:hAnsi="Calibri"/>
                <w:color w:val="222B2A"/>
                <w:sz w:val="18"/>
              </w:rPr>
              <w:t xml:space="preserve">10A.1 Entités, besoins et intérêts</w:t>
            </w:r>
            <w:r>
              <w:rPr>
                <w:rFonts w:ascii="Calibri" w:hAnsi="Calibri"/>
                <w:sz w:val="18"/>
              </w:rPr>
              <w:tab/>
            </w:r>
            <w:r>
              <w:rPr>
                <w:rFonts w:ascii="Calibri" w:hAnsi="Calibri"/>
                <w:color w:val="222B2A"/>
                <w:sz w:val="18"/>
              </w:rPr>
              <w:t xml:space="preserve">28</w:t>
            </w:r>
          </w:hyperlink>
        </w:p>
        <w:p>
          <w:pPr>
            <w:tabs>
              <w:tab w:val="right" w:leader="dot" w:pos="9350"/>
            </w:tabs>
            <w:spacing w:before="0" w:after="20"/>
            <w:ind w:left="360"/>
          </w:pPr>
          <w:hyperlink w:anchor="a.2-socle-commun-et-espaces-dentité" w:history="1">
            <w:r>
              <w:rPr>
                <w:rFonts w:ascii="Calibri" w:hAnsi="Calibri"/>
                <w:color w:val="222B2A"/>
                <w:sz w:val="18"/>
              </w:rPr>
              <w:t xml:space="preserve">10A.2 Socle commun et espaces d’entité</w:t>
            </w:r>
            <w:r>
              <w:rPr>
                <w:rFonts w:ascii="Calibri" w:hAnsi="Calibri"/>
                <w:sz w:val="18"/>
              </w:rPr>
              <w:tab/>
            </w:r>
            <w:r>
              <w:rPr>
                <w:rFonts w:ascii="Calibri" w:hAnsi="Calibri"/>
                <w:color w:val="222B2A"/>
                <w:sz w:val="18"/>
              </w:rPr>
              <w:t xml:space="preserve">29</w:t>
            </w:r>
          </w:hyperlink>
        </w:p>
        <w:p>
          <w:pPr>
            <w:tabs>
              <w:tab w:val="right" w:leader="dot" w:pos="9350"/>
            </w:tabs>
            <w:spacing w:before="0" w:after="20"/>
            <w:ind w:left="360"/>
          </w:pPr>
          <w:hyperlink w:anchor="Xd316896e43e77c22877acd8c5b5924a66e530d6" w:history="1">
            <w:r>
              <w:rPr>
                <w:rFonts w:ascii="Calibri" w:hAnsi="Calibri"/>
                <w:color w:val="222B2A"/>
                <w:sz w:val="18"/>
              </w:rPr>
              <w:t xml:space="preserve">10A.3 Coexistence et arbitrage des intérêts</w:t>
            </w:r>
            <w:r>
              <w:rPr>
                <w:rFonts w:ascii="Calibri" w:hAnsi="Calibri"/>
                <w:sz w:val="18"/>
              </w:rPr>
              <w:tab/>
            </w:r>
            <w:r>
              <w:rPr>
                <w:rFonts w:ascii="Calibri" w:hAnsi="Calibri"/>
                <w:color w:val="222B2A"/>
                <w:sz w:val="18"/>
              </w:rPr>
              <w:t xml:space="preserve">29</w:t>
            </w:r>
          </w:hyperlink>
        </w:p>
        <w:p>
          <w:pPr>
            <w:tabs>
              <w:tab w:val="right" w:leader="dot" w:pos="9350"/>
            </w:tabs>
            <w:spacing w:before="0" w:after="20"/>
            <w:ind w:left="360"/>
          </w:pPr>
          <w:hyperlink w:anchor="X0930b388b4a3dfb32b25321c246fd7c9aec3a1b" w:history="1">
            <w:r>
              <w:rPr>
                <w:rFonts w:ascii="Calibri" w:hAnsi="Calibri"/>
                <w:color w:val="222B2A"/>
                <w:sz w:val="18"/>
              </w:rPr>
              <w:t xml:space="preserve">10A.4 Ajouter une entité ou un service sans redéveloppement</w:t>
            </w:r>
            <w:r>
              <w:rPr>
                <w:rFonts w:ascii="Calibri" w:hAnsi="Calibri"/>
                <w:sz w:val="18"/>
              </w:rPr>
              <w:tab/>
            </w:r>
            <w:r>
              <w:rPr>
                <w:rFonts w:ascii="Calibri" w:hAnsi="Calibri"/>
                <w:color w:val="222B2A"/>
                <w:sz w:val="18"/>
              </w:rPr>
              <w:t xml:space="preserve">29</w:t>
            </w:r>
          </w:hyperlink>
        </w:p>
        <w:p>
          <w:pPr>
            <w:tabs>
              <w:tab w:val="right" w:leader="dot" w:pos="9350"/>
            </w:tabs>
            <w:spacing w:before="100" w:after="20"/>
            <w:ind w:left="0"/>
          </w:pPr>
          <w:hyperlink w:anchor="catalogue-des-modules" w:history="1">
            <w:r>
              <w:rPr>
                <w:rFonts w:ascii="Calibri" w:hAnsi="Calibri"/>
                <w:b/>
                <w:color w:val="1BA996"/>
                <w:sz w:val="20"/>
              </w:rPr>
              <w:t xml:space="preserve">11. Catalogue des modules</w:t>
            </w:r>
            <w:r>
              <w:rPr>
                <w:rFonts w:ascii="Calibri" w:hAnsi="Calibri"/>
                <w:sz w:val="20"/>
              </w:rPr>
              <w:tab/>
            </w:r>
            <w:r>
              <w:rPr>
                <w:rFonts w:ascii="Calibri" w:hAnsi="Calibri"/>
                <w:b/>
                <w:color w:val="1BA996"/>
                <w:sz w:val="20"/>
              </w:rPr>
              <w:t xml:space="preserve">30</w:t>
            </w:r>
          </w:hyperlink>
        </w:p>
        <w:p>
          <w:pPr>
            <w:tabs>
              <w:tab w:val="right" w:leader="dot" w:pos="9350"/>
            </w:tabs>
            <w:spacing w:before="0" w:after="20"/>
            <w:ind w:left="360"/>
          </w:pPr>
          <w:hyperlink w:anchor="verticales-mosolo" w:history="1">
            <w:r>
              <w:rPr>
                <w:rFonts w:ascii="Calibri" w:hAnsi="Calibri"/>
                <w:color w:val="222B2A"/>
                <w:sz w:val="18"/>
              </w:rPr>
              <w:t xml:space="preserve">11.1 Verticales MOSOLO</w:t>
            </w:r>
            <w:r>
              <w:rPr>
                <w:rFonts w:ascii="Calibri" w:hAnsi="Calibri"/>
                <w:sz w:val="18"/>
              </w:rPr>
              <w:tab/>
            </w:r>
            <w:r>
              <w:rPr>
                <w:rFonts w:ascii="Calibri" w:hAnsi="Calibri"/>
                <w:color w:val="222B2A"/>
                <w:sz w:val="18"/>
              </w:rPr>
              <w:t xml:space="preserve">33</w:t>
            </w:r>
          </w:hyperlink>
        </w:p>
        <w:p>
          <w:pPr>
            <w:tabs>
              <w:tab w:val="right" w:leader="dot" w:pos="9350"/>
            </w:tabs>
            <w:spacing w:before="0" w:after="20"/>
            <w:ind w:left="360"/>
          </w:pPr>
          <w:hyperlink w:anchor="moteur-de-liquidation-assessment-engine" w:history="1">
            <w:r>
              <w:rPr>
                <w:rFonts w:ascii="Calibri" w:hAnsi="Calibri"/>
                <w:color w:val="222B2A"/>
                <w:sz w:val="18"/>
              </w:rPr>
              <w:t xml:space="preserve">11.2 Moteur de liquidation (Assessment Engine)</w:t>
            </w:r>
            <w:r>
              <w:rPr>
                <w:rFonts w:ascii="Calibri" w:hAnsi="Calibri"/>
                <w:sz w:val="18"/>
              </w:rPr>
              <w:tab/>
            </w:r>
            <w:r>
              <w:rPr>
                <w:rFonts w:ascii="Calibri" w:hAnsi="Calibri"/>
                <w:color w:val="222B2A"/>
                <w:sz w:val="18"/>
              </w:rPr>
              <w:t xml:space="preserve">34</w:t>
            </w:r>
          </w:hyperlink>
        </w:p>
        <w:p>
          <w:pPr>
            <w:tabs>
              <w:tab w:val="right" w:leader="dot" w:pos="9350"/>
            </w:tabs>
            <w:spacing w:before="0" w:after="20"/>
            <w:ind w:left="360"/>
          </w:pPr>
          <w:hyperlink w:anchor="moteur-de-notification" w:history="1">
            <w:r>
              <w:rPr>
                <w:rFonts w:ascii="Calibri" w:hAnsi="Calibri"/>
                <w:color w:val="222B2A"/>
                <w:sz w:val="18"/>
              </w:rPr>
              <w:t xml:space="preserve">11.3 Moteur de notification</w:t>
            </w:r>
            <w:r>
              <w:rPr>
                <w:rFonts w:ascii="Calibri" w:hAnsi="Calibri"/>
                <w:sz w:val="18"/>
              </w:rPr>
              <w:tab/>
            </w:r>
            <w:r>
              <w:rPr>
                <w:rFonts w:ascii="Calibri" w:hAnsi="Calibri"/>
                <w:color w:val="222B2A"/>
                <w:sz w:val="18"/>
              </w:rPr>
              <w:t xml:space="preserve">34</w:t>
            </w:r>
          </w:hyperlink>
        </w:p>
        <w:p>
          <w:pPr>
            <w:tabs>
              <w:tab w:val="right" w:leader="dot" w:pos="9350"/>
            </w:tabs>
            <w:spacing w:before="100" w:after="20"/>
            <w:ind w:left="0"/>
          </w:pPr>
          <w:hyperlink w:anchor="a.-verticale-mosolo-parking-parksmart" w:history="1">
            <w:r>
              <w:rPr>
                <w:rFonts w:ascii="Calibri" w:hAnsi="Calibri"/>
                <w:b/>
                <w:color w:val="1BA996"/>
                <w:sz w:val="20"/>
              </w:rPr>
              <w:t xml:space="preserve">11A. Verticale MOSOLO Parking (ParkSmart)</w:t>
            </w:r>
            <w:r>
              <w:rPr>
                <w:rFonts w:ascii="Calibri" w:hAnsi="Calibri"/>
                <w:sz w:val="20"/>
              </w:rPr>
              <w:tab/>
            </w:r>
            <w:r>
              <w:rPr>
                <w:rFonts w:ascii="Calibri" w:hAnsi="Calibri"/>
                <w:b/>
                <w:color w:val="1BA996"/>
                <w:sz w:val="20"/>
              </w:rPr>
              <w:t xml:space="preserve">34</w:t>
            </w:r>
          </w:hyperlink>
        </w:p>
        <w:p>
          <w:pPr>
            <w:tabs>
              <w:tab w:val="right" w:leader="dot" w:pos="9350"/>
            </w:tabs>
            <w:spacing w:before="0" w:after="20"/>
            <w:ind w:left="360"/>
          </w:pPr>
          <w:hyperlink w:anchor="a.1-décision-structurante-proposée" w:history="1">
            <w:r>
              <w:rPr>
                <w:rFonts w:ascii="Calibri" w:hAnsi="Calibri"/>
                <w:color w:val="222B2A"/>
                <w:sz w:val="18"/>
              </w:rPr>
              <w:t xml:space="preserve">11A.1 Décision structurante proposée</w:t>
            </w:r>
            <w:r>
              <w:rPr>
                <w:rFonts w:ascii="Calibri" w:hAnsi="Calibri"/>
                <w:sz w:val="18"/>
              </w:rPr>
              <w:tab/>
            </w:r>
            <w:r>
              <w:rPr>
                <w:rFonts w:ascii="Calibri" w:hAnsi="Calibri"/>
                <w:color w:val="222B2A"/>
                <w:sz w:val="18"/>
              </w:rPr>
              <w:t xml:space="preserve">35</w:t>
            </w:r>
          </w:hyperlink>
        </w:p>
        <w:p>
          <w:pPr>
            <w:tabs>
              <w:tab w:val="right" w:leader="dot" w:pos="9350"/>
            </w:tabs>
            <w:spacing w:before="0" w:after="20"/>
            <w:ind w:left="360"/>
          </w:pPr>
          <w:hyperlink w:anchor="X54a7010a7caa3a87eccb8270a1923d019fdec9e" w:history="1">
            <w:r>
              <w:rPr>
                <w:rFonts w:ascii="Calibri" w:hAnsi="Calibri"/>
                <w:color w:val="222B2A"/>
                <w:sz w:val="18"/>
              </w:rPr>
              <w:t xml:space="preserve">11A.2 Tarification intelligente et évolutive</w:t>
            </w:r>
            <w:r>
              <w:rPr>
                <w:rFonts w:ascii="Calibri" w:hAnsi="Calibri"/>
                <w:sz w:val="18"/>
              </w:rPr>
              <w:tab/>
            </w:r>
            <w:r>
              <w:rPr>
                <w:rFonts w:ascii="Calibri" w:hAnsi="Calibri"/>
                <w:color w:val="222B2A"/>
                <w:sz w:val="18"/>
              </w:rPr>
              <w:t xml:space="preserve">35</w:t>
            </w:r>
          </w:hyperlink>
        </w:p>
        <w:p>
          <w:pPr>
            <w:tabs>
              <w:tab w:val="right" w:leader="dot" w:pos="9350"/>
            </w:tabs>
            <w:spacing w:before="0" w:after="20"/>
            <w:ind w:left="360"/>
          </w:pPr>
          <w:hyperlink w:anchor="a.3-sources-de-recettes" w:history="1">
            <w:r>
              <w:rPr>
                <w:rFonts w:ascii="Calibri" w:hAnsi="Calibri"/>
                <w:color w:val="222B2A"/>
                <w:sz w:val="18"/>
              </w:rPr>
              <w:t xml:space="preserve">11A.3 Sources de recettes</w:t>
            </w:r>
            <w:r>
              <w:rPr>
                <w:rFonts w:ascii="Calibri" w:hAnsi="Calibri"/>
                <w:sz w:val="18"/>
              </w:rPr>
              <w:tab/>
            </w:r>
            <w:r>
              <w:rPr>
                <w:rFonts w:ascii="Calibri" w:hAnsi="Calibri"/>
                <w:color w:val="222B2A"/>
                <w:sz w:val="18"/>
              </w:rPr>
              <w:t xml:space="preserve">35</w:t>
            </w:r>
          </w:hyperlink>
        </w:p>
        <w:p>
          <w:pPr>
            <w:tabs>
              <w:tab w:val="right" w:leader="dot" w:pos="9350"/>
            </w:tabs>
            <w:spacing w:before="0" w:after="20"/>
            <w:ind w:left="360"/>
          </w:pPr>
          <w:hyperlink w:anchor="a.4-technologie" w:history="1">
            <w:r>
              <w:rPr>
                <w:rFonts w:ascii="Calibri" w:hAnsi="Calibri"/>
                <w:color w:val="222B2A"/>
                <w:sz w:val="18"/>
              </w:rPr>
              <w:t xml:space="preserve">11A.4 Technologie</w:t>
            </w:r>
            <w:r>
              <w:rPr>
                <w:rFonts w:ascii="Calibri" w:hAnsi="Calibri"/>
                <w:sz w:val="18"/>
              </w:rPr>
              <w:tab/>
            </w:r>
            <w:r>
              <w:rPr>
                <w:rFonts w:ascii="Calibri" w:hAnsi="Calibri"/>
                <w:color w:val="222B2A"/>
                <w:sz w:val="18"/>
              </w:rPr>
              <w:t xml:space="preserve">35</w:t>
            </w:r>
          </w:hyperlink>
        </w:p>
        <w:p>
          <w:pPr>
            <w:tabs>
              <w:tab w:val="right" w:leader="dot" w:pos="9350"/>
            </w:tabs>
            <w:spacing w:before="0" w:after="20"/>
            <w:ind w:left="360"/>
          </w:pPr>
          <w:hyperlink w:anchor="a.5-optimisation-des-espaces" w:history="1">
            <w:r>
              <w:rPr>
                <w:rFonts w:ascii="Calibri" w:hAnsi="Calibri"/>
                <w:color w:val="222B2A"/>
                <w:sz w:val="18"/>
              </w:rPr>
              <w:t xml:space="preserve">11A.5 Optimisation des espaces</w:t>
            </w:r>
            <w:r>
              <w:rPr>
                <w:rFonts w:ascii="Calibri" w:hAnsi="Calibri"/>
                <w:sz w:val="18"/>
              </w:rPr>
              <w:tab/>
            </w:r>
            <w:r>
              <w:rPr>
                <w:rFonts w:ascii="Calibri" w:hAnsi="Calibri"/>
                <w:color w:val="222B2A"/>
                <w:sz w:val="18"/>
              </w:rPr>
              <w:t xml:space="preserve">36</w:t>
            </w:r>
          </w:hyperlink>
        </w:p>
        <w:p>
          <w:pPr>
            <w:tabs>
              <w:tab w:val="right" w:leader="dot" w:pos="9350"/>
            </w:tabs>
            <w:spacing w:before="0" w:after="20"/>
            <w:ind w:left="360"/>
          </w:pPr>
          <w:hyperlink w:anchor="a.6-contrôle-et-exécution" w:history="1">
            <w:r>
              <w:rPr>
                <w:rFonts w:ascii="Calibri" w:hAnsi="Calibri"/>
                <w:color w:val="222B2A"/>
                <w:sz w:val="18"/>
              </w:rPr>
              <w:t xml:space="preserve">11A.6 Contrôle et exécution</w:t>
            </w:r>
            <w:r>
              <w:rPr>
                <w:rFonts w:ascii="Calibri" w:hAnsi="Calibri"/>
                <w:sz w:val="18"/>
              </w:rPr>
              <w:tab/>
            </w:r>
            <w:r>
              <w:rPr>
                <w:rFonts w:ascii="Calibri" w:hAnsi="Calibri"/>
                <w:color w:val="222B2A"/>
                <w:sz w:val="18"/>
              </w:rPr>
              <w:t xml:space="preserve">36</w:t>
            </w:r>
          </w:hyperlink>
        </w:p>
        <w:p>
          <w:pPr>
            <w:tabs>
              <w:tab w:val="right" w:leader="dot" w:pos="9350"/>
            </w:tabs>
            <w:spacing w:before="0" w:after="20"/>
            <w:ind w:left="360"/>
          </w:pPr>
          <w:hyperlink w:anchor="a.7-impact-attendu-et-affectation" w:history="1">
            <w:r>
              <w:rPr>
                <w:rFonts w:ascii="Calibri" w:hAnsi="Calibri"/>
                <w:color w:val="222B2A"/>
                <w:sz w:val="18"/>
              </w:rPr>
              <w:t xml:space="preserve">11A.7 Impact attendu et affectation</w:t>
            </w:r>
            <w:r>
              <w:rPr>
                <w:rFonts w:ascii="Calibri" w:hAnsi="Calibri"/>
                <w:sz w:val="18"/>
              </w:rPr>
              <w:tab/>
            </w:r>
            <w:r>
              <w:rPr>
                <w:rFonts w:ascii="Calibri" w:hAnsi="Calibri"/>
                <w:color w:val="222B2A"/>
                <w:sz w:val="18"/>
              </w:rPr>
              <w:t xml:space="preserve">36</w:t>
            </w:r>
          </w:hyperlink>
        </w:p>
        <w:p>
          <w:pPr>
            <w:tabs>
              <w:tab w:val="right" w:leader="dot" w:pos="9350"/>
            </w:tabs>
            <w:spacing w:before="0" w:after="20"/>
            <w:ind w:left="360"/>
          </w:pPr>
          <w:hyperlink w:anchor="a.8-déploiement-et-demande-formelle" w:history="1">
            <w:r>
              <w:rPr>
                <w:rFonts w:ascii="Calibri" w:hAnsi="Calibri"/>
                <w:color w:val="222B2A"/>
                <w:sz w:val="18"/>
              </w:rPr>
              <w:t xml:space="preserve">11A.8 Déploiement et demande formelle</w:t>
            </w:r>
            <w:r>
              <w:rPr>
                <w:rFonts w:ascii="Calibri" w:hAnsi="Calibri"/>
                <w:sz w:val="18"/>
              </w:rPr>
              <w:tab/>
            </w:r>
            <w:r>
              <w:rPr>
                <w:rFonts w:ascii="Calibri" w:hAnsi="Calibri"/>
                <w:color w:val="222B2A"/>
                <w:sz w:val="18"/>
              </w:rPr>
              <w:t xml:space="preserve">36</w:t>
            </w:r>
          </w:hyperlink>
        </w:p>
        <w:p>
          <w:pPr>
            <w:tabs>
              <w:tab w:val="right" w:leader="dot" w:pos="9350"/>
            </w:tabs>
            <w:spacing w:before="100" w:after="20"/>
            <w:ind w:left="0"/>
          </w:pPr>
          <w:hyperlink w:anchor="X2eef2d4df168c4d52317ae7098f473b66e55949" w:history="1">
            <w:r>
              <w:rPr>
                <w:rFonts w:ascii="Calibri" w:hAnsi="Calibri"/>
                <w:b/>
                <w:color w:val="1BA996"/>
                <w:sz w:val="20"/>
              </w:rPr>
              <w:t xml:space="preserve">11B. Verticale MOSOLO Advertising (KIN PUB CONTROL)</w:t>
            </w:r>
            <w:r>
              <w:rPr>
                <w:rFonts w:ascii="Calibri" w:hAnsi="Calibri"/>
                <w:sz w:val="20"/>
              </w:rPr>
              <w:tab/>
            </w:r>
            <w:r>
              <w:rPr>
                <w:rFonts w:ascii="Calibri" w:hAnsi="Calibri"/>
                <w:b/>
                <w:color w:val="1BA996"/>
                <w:sz w:val="20"/>
              </w:rPr>
              <w:t xml:space="preserve">37</w:t>
            </w:r>
          </w:hyperlink>
        </w:p>
        <w:p>
          <w:pPr>
            <w:tabs>
              <w:tab w:val="right" w:leader="dot" w:pos="9350"/>
            </w:tabs>
            <w:spacing w:before="0" w:after="20"/>
            <w:ind w:left="360"/>
          </w:pPr>
          <w:hyperlink w:anchor="b.1-problèmes-adressés-et-objectifs" w:history="1">
            <w:r>
              <w:rPr>
                <w:rFonts w:ascii="Calibri" w:hAnsi="Calibri"/>
                <w:color w:val="222B2A"/>
                <w:sz w:val="18"/>
              </w:rPr>
              <w:t xml:space="preserve">11B.1 Problèmes adressés et objectifs</w:t>
            </w:r>
            <w:r>
              <w:rPr>
                <w:rFonts w:ascii="Calibri" w:hAnsi="Calibri"/>
                <w:sz w:val="18"/>
              </w:rPr>
              <w:tab/>
            </w:r>
            <w:r>
              <w:rPr>
                <w:rFonts w:ascii="Calibri" w:hAnsi="Calibri"/>
                <w:color w:val="222B2A"/>
                <w:sz w:val="18"/>
              </w:rPr>
              <w:t xml:space="preserve">37</w:t>
            </w:r>
          </w:hyperlink>
        </w:p>
        <w:p>
          <w:pPr>
            <w:tabs>
              <w:tab w:val="right" w:leader="dot" w:pos="9350"/>
            </w:tabs>
            <w:spacing w:before="0" w:after="20"/>
            <w:ind w:left="360"/>
          </w:pPr>
          <w:hyperlink w:anchor="X9ff453cea899905bc839411a4e43b97e07fde42" w:history="1">
            <w:r>
              <w:rPr>
                <w:rFonts w:ascii="Calibri" w:hAnsi="Calibri"/>
                <w:color w:val="222B2A"/>
                <w:sz w:val="18"/>
              </w:rPr>
              <w:t xml:space="preserve">11B.2 Enregistrement et cartographie des supports</w:t>
            </w:r>
            <w:r>
              <w:rPr>
                <w:rFonts w:ascii="Calibri" w:hAnsi="Calibri"/>
                <w:sz w:val="18"/>
              </w:rPr>
              <w:tab/>
            </w:r>
            <w:r>
              <w:rPr>
                <w:rFonts w:ascii="Calibri" w:hAnsi="Calibri"/>
                <w:color w:val="222B2A"/>
                <w:sz w:val="18"/>
              </w:rPr>
              <w:t xml:space="preserve">37</w:t>
            </w:r>
          </w:hyperlink>
        </w:p>
        <w:p>
          <w:pPr>
            <w:tabs>
              <w:tab w:val="right" w:leader="dot" w:pos="9350"/>
            </w:tabs>
            <w:spacing w:before="0" w:after="20"/>
            <w:ind w:left="360"/>
          </w:pPr>
          <w:hyperlink w:anchor="b.3-contrôle-infraction-et-notification" w:history="1">
            <w:r>
              <w:rPr>
                <w:rFonts w:ascii="Calibri" w:hAnsi="Calibri"/>
                <w:color w:val="222B2A"/>
                <w:sz w:val="18"/>
              </w:rPr>
              <w:t xml:space="preserve">11B.3 Contrôle, infraction et notification</w:t>
            </w:r>
            <w:r>
              <w:rPr>
                <w:rFonts w:ascii="Calibri" w:hAnsi="Calibri"/>
                <w:sz w:val="18"/>
              </w:rPr>
              <w:tab/>
            </w:r>
            <w:r>
              <w:rPr>
                <w:rFonts w:ascii="Calibri" w:hAnsi="Calibri"/>
                <w:color w:val="222B2A"/>
                <w:sz w:val="18"/>
              </w:rPr>
              <w:t xml:space="preserve">37</w:t>
            </w:r>
          </w:hyperlink>
        </w:p>
        <w:p>
          <w:pPr>
            <w:tabs>
              <w:tab w:val="right" w:leader="dot" w:pos="9350"/>
            </w:tabs>
            <w:spacing w:before="0" w:after="20"/>
            <w:ind w:left="360"/>
          </w:pPr>
          <w:hyperlink w:anchor="X1a9b67757b244793eb63290ee02fb9748d9d9ef" w:history="1">
            <w:r>
              <w:rPr>
                <w:rFonts w:ascii="Calibri" w:hAnsi="Calibri"/>
                <w:color w:val="222B2A"/>
                <w:sz w:val="18"/>
              </w:rPr>
              <w:t xml:space="preserve">11B.4 Contrôleurs accrédités, anticorruption et supervision</w:t>
            </w:r>
            <w:r>
              <w:rPr>
                <w:rFonts w:ascii="Calibri" w:hAnsi="Calibri"/>
                <w:sz w:val="18"/>
              </w:rPr>
              <w:tab/>
            </w:r>
            <w:r>
              <w:rPr>
                <w:rFonts w:ascii="Calibri" w:hAnsi="Calibri"/>
                <w:color w:val="222B2A"/>
                <w:sz w:val="18"/>
              </w:rPr>
              <w:t xml:space="preserve">37</w:t>
            </w:r>
          </w:hyperlink>
        </w:p>
        <w:p>
          <w:pPr>
            <w:tabs>
              <w:tab w:val="right" w:leader="dot" w:pos="9350"/>
            </w:tabs>
            <w:spacing w:before="0" w:after="20"/>
            <w:ind w:left="360"/>
          </w:pPr>
          <w:hyperlink w:anchor="b.5-phase-pilote-et-vision" w:history="1">
            <w:r>
              <w:rPr>
                <w:rFonts w:ascii="Calibri" w:hAnsi="Calibri"/>
                <w:color w:val="222B2A"/>
                <w:sz w:val="18"/>
              </w:rPr>
              <w:t xml:space="preserve">11B.5 Phase pilote et vision</w:t>
            </w:r>
            <w:r>
              <w:rPr>
                <w:rFonts w:ascii="Calibri" w:hAnsi="Calibri"/>
                <w:sz w:val="18"/>
              </w:rPr>
              <w:tab/>
            </w:r>
            <w:r>
              <w:rPr>
                <w:rFonts w:ascii="Calibri" w:hAnsi="Calibri"/>
                <w:color w:val="222B2A"/>
                <w:sz w:val="18"/>
              </w:rPr>
              <w:t xml:space="preserve">38</w:t>
            </w:r>
          </w:hyperlink>
        </w:p>
        <w:p>
          <w:pPr>
            <w:tabs>
              <w:tab w:val="right" w:leader="dot" w:pos="9350"/>
            </w:tabs>
            <w:spacing w:before="100" w:after="20"/>
            <w:ind w:left="0"/>
          </w:pPr>
          <w:hyperlink w:anchor="c.-verticale-mosolo-avia-kin-avia-fiscus" w:history="1">
            <w:r>
              <w:rPr>
                <w:rFonts w:ascii="Calibri" w:hAnsi="Calibri"/>
                <w:b/>
                <w:color w:val="1BA996"/>
                <w:sz w:val="20"/>
              </w:rPr>
              <w:t xml:space="preserve">11C. Verticale MOSOLO AVIA (KIN-AVIA FISCUS)</w:t>
            </w:r>
            <w:r>
              <w:rPr>
                <w:rFonts w:ascii="Calibri" w:hAnsi="Calibri"/>
                <w:sz w:val="20"/>
              </w:rPr>
              <w:tab/>
            </w:r>
            <w:r>
              <w:rPr>
                <w:rFonts w:ascii="Calibri" w:hAnsi="Calibri"/>
                <w:b/>
                <w:color w:val="1BA996"/>
                <w:sz w:val="20"/>
              </w:rPr>
              <w:t xml:space="preserve">38</w:t>
            </w:r>
          </w:hyperlink>
        </w:p>
        <w:p>
          <w:pPr>
            <w:tabs>
              <w:tab w:val="right" w:leader="dot" w:pos="9350"/>
            </w:tabs>
            <w:spacing w:before="0" w:after="20"/>
            <w:ind w:left="360"/>
          </w:pPr>
          <w:hyperlink w:anchor="X37410742ffd85e5208f24429903fb61ebdc23db" w:history="1">
            <w:r>
              <w:rPr>
                <w:rFonts w:ascii="Calibri" w:hAnsi="Calibri"/>
                <w:color w:val="222B2A"/>
                <w:sz w:val="18"/>
              </w:rPr>
              <w:t xml:space="preserve">11C.1 Constat chiffré (données du dossier source, à vérifier)</w:t>
            </w:r>
            <w:r>
              <w:rPr>
                <w:rFonts w:ascii="Calibri" w:hAnsi="Calibri"/>
                <w:sz w:val="18"/>
              </w:rPr>
              <w:tab/>
            </w:r>
            <w:r>
              <w:rPr>
                <w:rFonts w:ascii="Calibri" w:hAnsi="Calibri"/>
                <w:color w:val="222B2A"/>
                <w:sz w:val="18"/>
              </w:rPr>
              <w:t xml:space="preserve">38</w:t>
            </w:r>
          </w:hyperlink>
        </w:p>
        <w:p>
          <w:pPr>
            <w:tabs>
              <w:tab w:val="right" w:leader="dot" w:pos="9350"/>
            </w:tabs>
            <w:spacing w:before="0" w:after="20"/>
            <w:ind w:left="360"/>
          </w:pPr>
          <w:hyperlink w:anchor="c.2-chaîne-actuelle-et-points-de-rupture" w:history="1">
            <w:r>
              <w:rPr>
                <w:rFonts w:ascii="Calibri" w:hAnsi="Calibri"/>
                <w:color w:val="222B2A"/>
                <w:sz w:val="18"/>
              </w:rPr>
              <w:t xml:space="preserve">11C.2 Chaîne actuelle et points de rupture</w:t>
            </w:r>
            <w:r>
              <w:rPr>
                <w:rFonts w:ascii="Calibri" w:hAnsi="Calibri"/>
                <w:sz w:val="18"/>
              </w:rPr>
              <w:tab/>
            </w:r>
            <w:r>
              <w:rPr>
                <w:rFonts w:ascii="Calibri" w:hAnsi="Calibri"/>
                <w:color w:val="222B2A"/>
                <w:sz w:val="18"/>
              </w:rPr>
              <w:t xml:space="preserve">38</w:t>
            </w:r>
          </w:hyperlink>
        </w:p>
        <w:p>
          <w:pPr>
            <w:tabs>
              <w:tab w:val="right" w:leader="dot" w:pos="9350"/>
            </w:tabs>
            <w:spacing w:before="0" w:after="20"/>
            <w:ind w:left="360"/>
          </w:pPr>
          <w:hyperlink w:anchor="Xa30ec422cb9853498629e588d7a0af17077f491" w:history="1">
            <w:r>
              <w:rPr>
                <w:rFonts w:ascii="Calibri" w:hAnsi="Calibri"/>
                <w:color w:val="222B2A"/>
                <w:sz w:val="18"/>
              </w:rPr>
              <w:t xml:space="preserve">11C.3 Concept : couche souveraine de réconciliation</w:t>
            </w:r>
            <w:r>
              <w:rPr>
                <w:rFonts w:ascii="Calibri" w:hAnsi="Calibri"/>
                <w:sz w:val="18"/>
              </w:rPr>
              <w:tab/>
            </w:r>
            <w:r>
              <w:rPr>
                <w:rFonts w:ascii="Calibri" w:hAnsi="Calibri"/>
                <w:color w:val="222B2A"/>
                <w:sz w:val="18"/>
              </w:rPr>
              <w:t xml:space="preserve">38</w:t>
            </w:r>
          </w:hyperlink>
        </w:p>
        <w:p>
          <w:pPr>
            <w:tabs>
              <w:tab w:val="right" w:leader="dot" w:pos="9350"/>
            </w:tabs>
            <w:spacing w:before="0" w:after="20"/>
            <w:ind w:left="360"/>
          </w:pPr>
          <w:hyperlink w:anchor="c.4-flux-opérationnel" w:history="1">
            <w:r>
              <w:rPr>
                <w:rFonts w:ascii="Calibri" w:hAnsi="Calibri"/>
                <w:color w:val="222B2A"/>
                <w:sz w:val="18"/>
              </w:rPr>
              <w:t xml:space="preserve">11C.4 Flux opérationnel</w:t>
            </w:r>
            <w:r>
              <w:rPr>
                <w:rFonts w:ascii="Calibri" w:hAnsi="Calibri"/>
                <w:sz w:val="18"/>
              </w:rPr>
              <w:tab/>
            </w:r>
            <w:r>
              <w:rPr>
                <w:rFonts w:ascii="Calibri" w:hAnsi="Calibri"/>
                <w:color w:val="222B2A"/>
                <w:sz w:val="18"/>
              </w:rPr>
              <w:t xml:space="preserve">39</w:t>
            </w:r>
          </w:hyperlink>
        </w:p>
        <w:p>
          <w:pPr>
            <w:tabs>
              <w:tab w:val="right" w:leader="dot" w:pos="9350"/>
            </w:tabs>
            <w:spacing w:before="0" w:after="20"/>
            <w:ind w:left="360"/>
          </w:pPr>
          <w:hyperlink w:anchor="c.5-impact-et-valeur-stratégique" w:history="1">
            <w:r>
              <w:rPr>
                <w:rFonts w:ascii="Calibri" w:hAnsi="Calibri"/>
                <w:color w:val="222B2A"/>
                <w:sz w:val="18"/>
              </w:rPr>
              <w:t xml:space="preserve">11C.5 Impact et valeur stratégique</w:t>
            </w:r>
            <w:r>
              <w:rPr>
                <w:rFonts w:ascii="Calibri" w:hAnsi="Calibri"/>
                <w:sz w:val="18"/>
              </w:rPr>
              <w:tab/>
            </w:r>
            <w:r>
              <w:rPr>
                <w:rFonts w:ascii="Calibri" w:hAnsi="Calibri"/>
                <w:color w:val="222B2A"/>
                <w:sz w:val="18"/>
              </w:rPr>
              <w:t xml:space="preserve">39</w:t>
            </w:r>
          </w:hyperlink>
        </w:p>
        <w:p>
          <w:pPr>
            <w:tabs>
              <w:tab w:val="right" w:leader="dot" w:pos="9350"/>
            </w:tabs>
            <w:spacing w:before="0" w:after="20"/>
            <w:ind w:left="360"/>
          </w:pPr>
          <w:hyperlink w:anchor="c.6-modèle-de-rémunération" w:history="1">
            <w:r>
              <w:rPr>
                <w:rFonts w:ascii="Calibri" w:hAnsi="Calibri"/>
                <w:color w:val="222B2A"/>
                <w:sz w:val="18"/>
              </w:rPr>
              <w:t xml:space="preserve">11C.6 Modèle de rémunération</w:t>
            </w:r>
            <w:r>
              <w:rPr>
                <w:rFonts w:ascii="Calibri" w:hAnsi="Calibri"/>
                <w:sz w:val="18"/>
              </w:rPr>
              <w:tab/>
            </w:r>
            <w:r>
              <w:rPr>
                <w:rFonts w:ascii="Calibri" w:hAnsi="Calibri"/>
                <w:color w:val="222B2A"/>
                <w:sz w:val="18"/>
              </w:rPr>
              <w:t xml:space="preserve">39</w:t>
            </w:r>
          </w:hyperlink>
        </w:p>
        <w:p>
          <w:pPr>
            <w:tabs>
              <w:tab w:val="right" w:leader="dot" w:pos="9350"/>
            </w:tabs>
            <w:spacing w:before="100" w:after="20"/>
            <w:ind w:left="0"/>
          </w:pPr>
          <w:hyperlink w:anchor="Xf93584123b26e04e0e22b5175b8b68ff0f11cec" w:history="1">
            <w:r>
              <w:rPr>
                <w:rFonts w:ascii="Calibri" w:hAnsi="Calibri"/>
                <w:b/>
                <w:color w:val="1BA996"/>
                <w:sz w:val="20"/>
              </w:rPr>
              <w:t xml:space="preserve">11D. Billetterie urbaine multi-opérateurs et droits d’accès (socle RakaPay)</w:t>
            </w:r>
            <w:r>
              <w:rPr>
                <w:rFonts w:ascii="Calibri" w:hAnsi="Calibri"/>
                <w:sz w:val="20"/>
              </w:rPr>
              <w:tab/>
            </w:r>
            <w:r>
              <w:rPr>
                <w:rFonts w:ascii="Calibri" w:hAnsi="Calibri"/>
                <w:b/>
                <w:color w:val="1BA996"/>
                <w:sz w:val="20"/>
              </w:rPr>
              <w:t xml:space="preserve">39</w:t>
            </w:r>
          </w:hyperlink>
        </w:p>
        <w:p>
          <w:pPr>
            <w:tabs>
              <w:tab w:val="right" w:leader="dot" w:pos="9350"/>
            </w:tabs>
            <w:spacing w:before="0" w:after="20"/>
            <w:ind w:left="360"/>
          </w:pPr>
          <w:hyperlink w:anchor="d.1-définition-du-ticket" w:history="1">
            <w:r>
              <w:rPr>
                <w:rFonts w:ascii="Calibri" w:hAnsi="Calibri"/>
                <w:color w:val="222B2A"/>
                <w:sz w:val="18"/>
              </w:rPr>
              <w:t xml:space="preserve">11D.1 Définition du ticket</w:t>
            </w:r>
            <w:r>
              <w:rPr>
                <w:rFonts w:ascii="Calibri" w:hAnsi="Calibri"/>
                <w:sz w:val="18"/>
              </w:rPr>
              <w:tab/>
            </w:r>
            <w:r>
              <w:rPr>
                <w:rFonts w:ascii="Calibri" w:hAnsi="Calibri"/>
                <w:color w:val="222B2A"/>
                <w:sz w:val="18"/>
              </w:rPr>
              <w:t xml:space="preserve">40</w:t>
            </w:r>
          </w:hyperlink>
        </w:p>
        <w:p>
          <w:pPr>
            <w:tabs>
              <w:tab w:val="right" w:leader="dot" w:pos="9350"/>
            </w:tabs>
            <w:spacing w:before="0" w:after="20"/>
            <w:ind w:left="360"/>
          </w:pPr>
          <w:hyperlink w:anchor="d.2-rôles" w:history="1">
            <w:r>
              <w:rPr>
                <w:rFonts w:ascii="Calibri" w:hAnsi="Calibri"/>
                <w:color w:val="222B2A"/>
                <w:sz w:val="18"/>
              </w:rPr>
              <w:t xml:space="preserve">11D.2 Rôles</w:t>
            </w:r>
            <w:r>
              <w:rPr>
                <w:rFonts w:ascii="Calibri" w:hAnsi="Calibri"/>
                <w:sz w:val="18"/>
              </w:rPr>
              <w:tab/>
            </w:r>
            <w:r>
              <w:rPr>
                <w:rFonts w:ascii="Calibri" w:hAnsi="Calibri"/>
                <w:color w:val="222B2A"/>
                <w:sz w:val="18"/>
              </w:rPr>
              <w:t xml:space="preserve">40</w:t>
            </w:r>
          </w:hyperlink>
        </w:p>
        <w:p>
          <w:pPr>
            <w:tabs>
              <w:tab w:val="right" w:leader="dot" w:pos="9350"/>
            </w:tabs>
            <w:spacing w:before="0" w:after="20"/>
            <w:ind w:left="360"/>
          </w:pPr>
          <w:hyperlink w:anchor="d.3-contrôle-et-pénalité" w:history="1">
            <w:r>
              <w:rPr>
                <w:rFonts w:ascii="Calibri" w:hAnsi="Calibri"/>
                <w:color w:val="222B2A"/>
                <w:sz w:val="18"/>
              </w:rPr>
              <w:t xml:space="preserve">11D.3 Contrôle et pénalité</w:t>
            </w:r>
            <w:r>
              <w:rPr>
                <w:rFonts w:ascii="Calibri" w:hAnsi="Calibri"/>
                <w:sz w:val="18"/>
              </w:rPr>
              <w:tab/>
            </w:r>
            <w:r>
              <w:rPr>
                <w:rFonts w:ascii="Calibri" w:hAnsi="Calibri"/>
                <w:color w:val="222B2A"/>
                <w:sz w:val="18"/>
              </w:rPr>
              <w:t xml:space="preserve">40</w:t>
            </w:r>
          </w:hyperlink>
        </w:p>
        <w:p>
          <w:pPr>
            <w:tabs>
              <w:tab w:val="right" w:leader="dot" w:pos="9350"/>
            </w:tabs>
            <w:spacing w:before="0" w:after="20"/>
            <w:ind w:left="360"/>
          </w:pPr>
          <w:hyperlink w:anchor="X8ac96eec5f55afcbc3f239921bfb5bcf2783ce1" w:history="1">
            <w:r>
              <w:rPr>
                <w:rFonts w:ascii="Calibri" w:hAnsi="Calibri"/>
                <w:color w:val="222B2A"/>
                <w:sz w:val="18"/>
              </w:rPr>
              <w:t xml:space="preserve">11D.4 Harmonisation avec la règle « zéro espèce »</w:t>
            </w:r>
            <w:r>
              <w:rPr>
                <w:rFonts w:ascii="Calibri" w:hAnsi="Calibri"/>
                <w:sz w:val="18"/>
              </w:rPr>
              <w:tab/>
            </w:r>
            <w:r>
              <w:rPr>
                <w:rFonts w:ascii="Calibri" w:hAnsi="Calibri"/>
                <w:color w:val="222B2A"/>
                <w:sz w:val="18"/>
              </w:rPr>
              <w:t xml:space="preserve">40</w:t>
            </w:r>
          </w:hyperlink>
        </w:p>
        <w:p>
          <w:pPr>
            <w:tabs>
              <w:tab w:val="right" w:leader="dot" w:pos="9350"/>
            </w:tabs>
            <w:spacing w:before="0" w:after="20"/>
            <w:ind w:left="360"/>
          </w:pPr>
          <w:hyperlink w:anchor="d.5-fonctionnalités-et-exigences" w:history="1">
            <w:r>
              <w:rPr>
                <w:rFonts w:ascii="Calibri" w:hAnsi="Calibri"/>
                <w:color w:val="222B2A"/>
                <w:sz w:val="18"/>
              </w:rPr>
              <w:t xml:space="preserve">11D.5 Fonctionnalités et exigences</w:t>
            </w:r>
            <w:r>
              <w:rPr>
                <w:rFonts w:ascii="Calibri" w:hAnsi="Calibri"/>
                <w:sz w:val="18"/>
              </w:rPr>
              <w:tab/>
            </w:r>
            <w:r>
              <w:rPr>
                <w:rFonts w:ascii="Calibri" w:hAnsi="Calibri"/>
                <w:color w:val="222B2A"/>
                <w:sz w:val="18"/>
              </w:rPr>
              <w:t xml:space="preserve">40</w:t>
            </w:r>
          </w:hyperlink>
        </w:p>
        <w:p>
          <w:pPr>
            <w:tabs>
              <w:tab w:val="right" w:leader="dot" w:pos="9350"/>
            </w:tabs>
            <w:spacing w:before="0" w:after="20"/>
            <w:ind w:left="360"/>
          </w:pPr>
          <w:hyperlink w:anchor="d.6-parcours-opérationnels" w:history="1">
            <w:r>
              <w:rPr>
                <w:rFonts w:ascii="Calibri" w:hAnsi="Calibri"/>
                <w:color w:val="222B2A"/>
                <w:sz w:val="18"/>
              </w:rPr>
              <w:t xml:space="preserve">11D.6 Parcours opérationnels</w:t>
            </w:r>
            <w:r>
              <w:rPr>
                <w:rFonts w:ascii="Calibri" w:hAnsi="Calibri"/>
                <w:sz w:val="18"/>
              </w:rPr>
              <w:tab/>
            </w:r>
            <w:r>
              <w:rPr>
                <w:rFonts w:ascii="Calibri" w:hAnsi="Calibri"/>
                <w:color w:val="222B2A"/>
                <w:sz w:val="18"/>
              </w:rPr>
              <w:t xml:space="preserve">41</w:t>
            </w:r>
          </w:hyperlink>
        </w:p>
        <w:p>
          <w:pPr>
            <w:tabs>
              <w:tab w:val="right" w:leader="dot" w:pos="9350"/>
            </w:tabs>
            <w:spacing w:before="0" w:after="20"/>
            <w:ind w:left="360"/>
          </w:pPr>
          <w:hyperlink w:anchor="Xe226307270faaa47b18d1b6bc277e920301e745" w:history="1">
            <w:r>
              <w:rPr>
                <w:rFonts w:ascii="Calibri" w:hAnsi="Calibri"/>
                <w:color w:val="222B2A"/>
                <w:sz w:val="18"/>
              </w:rPr>
              <w:t xml:space="preserve">11D.7 Modèle économique ouvert de la billetterie</w:t>
            </w:r>
            <w:r>
              <w:rPr>
                <w:rFonts w:ascii="Calibri" w:hAnsi="Calibri"/>
                <w:sz w:val="18"/>
              </w:rPr>
              <w:tab/>
            </w:r>
            <w:r>
              <w:rPr>
                <w:rFonts w:ascii="Calibri" w:hAnsi="Calibri"/>
                <w:color w:val="222B2A"/>
                <w:sz w:val="18"/>
              </w:rPr>
              <w:t xml:space="preserve">41</w:t>
            </w:r>
          </w:hyperlink>
        </w:p>
        <w:p>
          <w:pPr>
            <w:tabs>
              <w:tab w:val="right" w:leader="dot" w:pos="9350"/>
            </w:tabs>
            <w:spacing w:before="0" w:after="20"/>
            <w:ind w:left="360"/>
          </w:pPr>
          <w:hyperlink w:anchor="X4e38ec9ba4a868cf40cbc7b27de1d4ccf7fbeb7" w:history="1">
            <w:r>
              <w:rPr>
                <w:rFonts w:ascii="Calibri" w:hAnsi="Calibri"/>
                <w:color w:val="222B2A"/>
                <w:sz w:val="18"/>
              </w:rPr>
              <w:t xml:space="preserve">11D.8 Moto-taxis (wewa) : premier cas d’usage de la billetterie</w:t>
            </w:r>
            <w:r>
              <w:rPr>
                <w:rFonts w:ascii="Calibri" w:hAnsi="Calibri"/>
                <w:sz w:val="18"/>
              </w:rPr>
              <w:tab/>
            </w:r>
            <w:r>
              <w:rPr>
                <w:rFonts w:ascii="Calibri" w:hAnsi="Calibri"/>
                <w:color w:val="222B2A"/>
                <w:sz w:val="18"/>
              </w:rPr>
              <w:t xml:space="preserve">41</w:t>
            </w:r>
          </w:hyperlink>
        </w:p>
        <w:p>
          <w:pPr>
            <w:tabs>
              <w:tab w:val="right" w:leader="dot" w:pos="9350"/>
            </w:tabs>
            <w:spacing w:before="100" w:after="20"/>
            <w:ind w:left="0"/>
          </w:pPr>
          <w:hyperlink w:anchor="rôles-et-matrice-dhabilitations" w:history="1">
            <w:r>
              <w:rPr>
                <w:rFonts w:ascii="Calibri" w:hAnsi="Calibri"/>
                <w:b/>
                <w:color w:val="1BA996"/>
                <w:sz w:val="20"/>
              </w:rPr>
              <w:t xml:space="preserve">12. Rôles et matrice d'habilitations</w:t>
            </w:r>
            <w:r>
              <w:rPr>
                <w:rFonts w:ascii="Calibri" w:hAnsi="Calibri"/>
                <w:sz w:val="20"/>
              </w:rPr>
              <w:tab/>
            </w:r>
            <w:r>
              <w:rPr>
                <w:rFonts w:ascii="Calibri" w:hAnsi="Calibri"/>
                <w:b/>
                <w:color w:val="1BA996"/>
                <w:sz w:val="20"/>
              </w:rPr>
              <w:t xml:space="preserve">43</w:t>
            </w:r>
          </w:hyperlink>
        </w:p>
        <w:p>
          <w:pPr>
            <w:tabs>
              <w:tab w:val="right" w:leader="dot" w:pos="9350"/>
            </w:tabs>
            <w:spacing w:before="0" w:after="20"/>
            <w:ind w:left="360"/>
          </w:pPr>
          <w:hyperlink w:anchor="contrôles-transverses" w:history="1">
            <w:r>
              <w:rPr>
                <w:rFonts w:ascii="Calibri" w:hAnsi="Calibri"/>
                <w:color w:val="222B2A"/>
                <w:sz w:val="18"/>
              </w:rPr>
              <w:t xml:space="preserve">12.1 Contrôles transverses</w:t>
            </w:r>
            <w:r>
              <w:rPr>
                <w:rFonts w:ascii="Calibri" w:hAnsi="Calibri"/>
                <w:sz w:val="18"/>
              </w:rPr>
              <w:tab/>
            </w:r>
            <w:r>
              <w:rPr>
                <w:rFonts w:ascii="Calibri" w:hAnsi="Calibri"/>
                <w:color w:val="222B2A"/>
                <w:sz w:val="18"/>
              </w:rPr>
              <w:t xml:space="preserve">45</w:t>
            </w:r>
          </w:hyperlink>
        </w:p>
        <w:p>
          <w:pPr>
            <w:tabs>
              <w:tab w:val="right" w:leader="dot" w:pos="9350"/>
            </w:tabs>
            <w:spacing w:before="0" w:after="20"/>
            <w:ind w:left="360"/>
          </w:pPr>
          <w:hyperlink w:anchor="X720e586c2135d7cd591ed465a69014ddd5b5f47" w:history="1">
            <w:r>
              <w:rPr>
                <w:rFonts w:ascii="Calibri" w:hAnsi="Calibri"/>
                <w:color w:val="222B2A"/>
                <w:sz w:val="18"/>
              </w:rPr>
              <w:t xml:space="preserve">12.2 Matrice synthétique Voir / Initier / Approuver / Interdit</w:t>
            </w:r>
            <w:r>
              <w:rPr>
                <w:rFonts w:ascii="Calibri" w:hAnsi="Calibri"/>
                <w:sz w:val="18"/>
              </w:rPr>
              <w:tab/>
            </w:r>
            <w:r>
              <w:rPr>
                <w:rFonts w:ascii="Calibri" w:hAnsi="Calibri"/>
                <w:color w:val="222B2A"/>
                <w:sz w:val="18"/>
              </w:rPr>
              <w:t xml:space="preserve">45</w:t>
            </w:r>
          </w:hyperlink>
        </w:p>
        <w:p>
          <w:pPr>
            <w:tabs>
              <w:tab w:val="right" w:leader="dot" w:pos="9350"/>
            </w:tabs>
            <w:spacing w:before="0" w:after="20"/>
            <w:ind w:left="360"/>
          </w:pPr>
          <w:hyperlink w:anchor="la-constitution-financière-mosolo" w:history="1">
            <w:r>
              <w:rPr>
                <w:rFonts w:ascii="Calibri" w:hAnsi="Calibri"/>
                <w:color w:val="222B2A"/>
                <w:sz w:val="18"/>
              </w:rPr>
              <w:t xml:space="preserve">12.3 La Constitution financière MOSOLO</w:t>
            </w:r>
            <w:r>
              <w:rPr>
                <w:rFonts w:ascii="Calibri" w:hAnsi="Calibri"/>
                <w:sz w:val="18"/>
              </w:rPr>
              <w:tab/>
            </w:r>
            <w:r>
              <w:rPr>
                <w:rFonts w:ascii="Calibri" w:hAnsi="Calibri"/>
                <w:color w:val="222B2A"/>
                <w:sz w:val="18"/>
              </w:rPr>
              <w:t xml:space="preserve">45</w:t>
            </w:r>
          </w:hyperlink>
        </w:p>
        <w:p>
          <w:pPr>
            <w:tabs>
              <w:tab w:val="right" w:leader="dot" w:pos="9350"/>
            </w:tabs>
            <w:spacing w:before="0" w:after="20"/>
            <w:ind w:left="360"/>
          </w:pPr>
          <w:hyperlink w:anchor="X942a5c88db208c9c381e8f72ff6ca018e88bccf" w:history="1">
            <w:r>
              <w:rPr>
                <w:rFonts w:ascii="Calibri" w:hAnsi="Calibri"/>
                <w:color w:val="222B2A"/>
                <w:sz w:val="18"/>
              </w:rPr>
              <w:t xml:space="preserve">12.4 Rôles liés aux canaux assistés, aux points de paiement et à la sous-traitance</w:t>
            </w:r>
            <w:r>
              <w:rPr>
                <w:rFonts w:ascii="Calibri" w:hAnsi="Calibri"/>
                <w:sz w:val="18"/>
              </w:rPr>
              <w:tab/>
            </w:r>
            <w:r>
              <w:rPr>
                <w:rFonts w:ascii="Calibri" w:hAnsi="Calibri"/>
                <w:color w:val="222B2A"/>
                <w:sz w:val="18"/>
              </w:rPr>
              <w:t xml:space="preserve">46</w:t>
            </w:r>
          </w:hyperlink>
        </w:p>
        <w:p>
          <w:pPr>
            <w:tabs>
              <w:tab w:val="right" w:leader="dot" w:pos="9350"/>
            </w:tabs>
            <w:spacing w:before="0" w:after="20"/>
            <w:ind w:left="360"/>
          </w:pPr>
          <w:hyperlink w:anchor="X73230503421989c3253b09c18e1b6085b833cfa" w:history="1">
            <w:r>
              <w:rPr>
                <w:rFonts w:ascii="Calibri" w:hAnsi="Calibri"/>
                <w:color w:val="222B2A"/>
                <w:sz w:val="18"/>
              </w:rPr>
              <w:t xml:space="preserve">12.5 Règle des impossibilités et contrôle privilégié</w:t>
            </w:r>
            <w:r>
              <w:rPr>
                <w:rFonts w:ascii="Calibri" w:hAnsi="Calibri"/>
                <w:sz w:val="18"/>
              </w:rPr>
              <w:tab/>
            </w:r>
            <w:r>
              <w:rPr>
                <w:rFonts w:ascii="Calibri" w:hAnsi="Calibri"/>
                <w:color w:val="222B2A"/>
                <w:sz w:val="18"/>
              </w:rPr>
              <w:t xml:space="preserve">47</w:t>
            </w:r>
          </w:hyperlink>
        </w:p>
        <w:p>
          <w:pPr>
            <w:tabs>
              <w:tab w:val="right" w:leader="dot" w:pos="9350"/>
            </w:tabs>
            <w:spacing w:before="100" w:after="20"/>
            <w:ind w:left="0"/>
          </w:pPr>
          <w:hyperlink w:anchor="X0ca3ad40fda1392435fa02a466792b4d6f90e22" w:history="1">
            <w:r>
              <w:rPr>
                <w:rFonts w:ascii="Calibri" w:hAnsi="Calibri"/>
                <w:b/>
                <w:color w:val="1BA996"/>
                <w:sz w:val="20"/>
              </w:rPr>
              <w:t xml:space="preserve">12A. Gestion des accès : invitations en cascade et inscription publique</w:t>
            </w:r>
            <w:r>
              <w:rPr>
                <w:rFonts w:ascii="Calibri" w:hAnsi="Calibri"/>
                <w:sz w:val="20"/>
              </w:rPr>
              <w:tab/>
            </w:r>
            <w:r>
              <w:rPr>
                <w:rFonts w:ascii="Calibri" w:hAnsi="Calibri"/>
                <w:b/>
                <w:color w:val="1BA996"/>
                <w:sz w:val="20"/>
              </w:rPr>
              <w:t xml:space="preserve">47</w:t>
            </w:r>
          </w:hyperlink>
        </w:p>
        <w:p>
          <w:pPr>
            <w:tabs>
              <w:tab w:val="right" w:leader="dot" w:pos="9350"/>
            </w:tabs>
            <w:spacing w:before="0" w:after="20"/>
            <w:ind w:left="360"/>
          </w:pPr>
          <w:hyperlink w:anchor="a.1-deux-portes-dentrée" w:history="1">
            <w:r>
              <w:rPr>
                <w:rFonts w:ascii="Calibri" w:hAnsi="Calibri"/>
                <w:color w:val="222B2A"/>
                <w:sz w:val="18"/>
              </w:rPr>
              <w:t xml:space="preserve">12A.1 Deux portes d’entrée</w:t>
            </w:r>
            <w:r>
              <w:rPr>
                <w:rFonts w:ascii="Calibri" w:hAnsi="Calibri"/>
                <w:sz w:val="18"/>
              </w:rPr>
              <w:tab/>
            </w:r>
            <w:r>
              <w:rPr>
                <w:rFonts w:ascii="Calibri" w:hAnsi="Calibri"/>
                <w:color w:val="222B2A"/>
                <w:sz w:val="18"/>
              </w:rPr>
              <w:t xml:space="preserve">47</w:t>
            </w:r>
          </w:hyperlink>
        </w:p>
        <w:p>
          <w:pPr>
            <w:tabs>
              <w:tab w:val="right" w:leader="dot" w:pos="9350"/>
            </w:tabs>
            <w:spacing w:before="0" w:after="20"/>
            <w:ind w:left="360"/>
          </w:pPr>
          <w:hyperlink w:anchor="a.2-invitations-en-cascade" w:history="1">
            <w:r>
              <w:rPr>
                <w:rFonts w:ascii="Calibri" w:hAnsi="Calibri"/>
                <w:color w:val="222B2A"/>
                <w:sz w:val="18"/>
              </w:rPr>
              <w:t xml:space="preserve">12A.2 Invitations en cascade</w:t>
            </w:r>
            <w:r>
              <w:rPr>
                <w:rFonts w:ascii="Calibri" w:hAnsi="Calibri"/>
                <w:sz w:val="18"/>
              </w:rPr>
              <w:tab/>
            </w:r>
            <w:r>
              <w:rPr>
                <w:rFonts w:ascii="Calibri" w:hAnsi="Calibri"/>
                <w:color w:val="222B2A"/>
                <w:sz w:val="18"/>
              </w:rPr>
              <w:t xml:space="preserve">48</w:t>
            </w:r>
          </w:hyperlink>
        </w:p>
        <w:p>
          <w:pPr>
            <w:tabs>
              <w:tab w:val="right" w:leader="dot" w:pos="9350"/>
            </w:tabs>
            <w:spacing w:before="0" w:after="20"/>
            <w:ind w:left="360"/>
          </w:pPr>
          <w:hyperlink w:anchor="Xd36bb828ae24d3593a9497186697a11a7a4fcb1" w:history="1">
            <w:r>
              <w:rPr>
                <w:rFonts w:ascii="Calibri" w:hAnsi="Calibri"/>
                <w:color w:val="222B2A"/>
                <w:sz w:val="18"/>
              </w:rPr>
              <w:t xml:space="preserve">12A.3 Création des espaces et rattachement des modules</w:t>
            </w:r>
            <w:r>
              <w:rPr>
                <w:rFonts w:ascii="Calibri" w:hAnsi="Calibri"/>
                <w:sz w:val="18"/>
              </w:rPr>
              <w:tab/>
            </w:r>
            <w:r>
              <w:rPr>
                <w:rFonts w:ascii="Calibri" w:hAnsi="Calibri"/>
                <w:color w:val="222B2A"/>
                <w:sz w:val="18"/>
              </w:rPr>
              <w:t xml:space="preserve">48</w:t>
            </w:r>
          </w:hyperlink>
        </w:p>
        <w:p>
          <w:pPr>
            <w:tabs>
              <w:tab w:val="right" w:leader="dot" w:pos="9350"/>
            </w:tabs>
            <w:spacing w:before="0" w:after="20"/>
            <w:ind w:left="360"/>
          </w:pPr>
          <w:hyperlink w:anchor="a.4-niveaux-daccès-standard" w:history="1">
            <w:r>
              <w:rPr>
                <w:rFonts w:ascii="Calibri" w:hAnsi="Calibri"/>
                <w:color w:val="222B2A"/>
                <w:sz w:val="18"/>
              </w:rPr>
              <w:t xml:space="preserve">12A.4 Niveaux d’accès standard</w:t>
            </w:r>
            <w:r>
              <w:rPr>
                <w:rFonts w:ascii="Calibri" w:hAnsi="Calibri"/>
                <w:sz w:val="18"/>
              </w:rPr>
              <w:tab/>
            </w:r>
            <w:r>
              <w:rPr>
                <w:rFonts w:ascii="Calibri" w:hAnsi="Calibri"/>
                <w:color w:val="222B2A"/>
                <w:sz w:val="18"/>
              </w:rPr>
              <w:t xml:space="preserve">49</w:t>
            </w:r>
          </w:hyperlink>
        </w:p>
        <w:p>
          <w:pPr>
            <w:tabs>
              <w:tab w:val="right" w:leader="dot" w:pos="9350"/>
            </w:tabs>
            <w:spacing w:before="0" w:after="20"/>
            <w:ind w:left="360"/>
          </w:pPr>
          <w:hyperlink w:anchor="a.5-cycle-de-vie-dune-invitation" w:history="1">
            <w:r>
              <w:rPr>
                <w:rFonts w:ascii="Calibri" w:hAnsi="Calibri"/>
                <w:color w:val="222B2A"/>
                <w:sz w:val="18"/>
              </w:rPr>
              <w:t xml:space="preserve">12A.5 Cycle de vie d’une invitation</w:t>
            </w:r>
            <w:r>
              <w:rPr>
                <w:rFonts w:ascii="Calibri" w:hAnsi="Calibri"/>
                <w:sz w:val="18"/>
              </w:rPr>
              <w:tab/>
            </w:r>
            <w:r>
              <w:rPr>
                <w:rFonts w:ascii="Calibri" w:hAnsi="Calibri"/>
                <w:color w:val="222B2A"/>
                <w:sz w:val="18"/>
              </w:rPr>
              <w:t xml:space="preserve">49</w:t>
            </w:r>
          </w:hyperlink>
        </w:p>
        <w:p>
          <w:pPr>
            <w:tabs>
              <w:tab w:val="right" w:leader="dot" w:pos="9350"/>
            </w:tabs>
            <w:spacing w:before="0" w:after="20"/>
            <w:ind w:left="360"/>
          </w:pPr>
          <w:hyperlink w:anchor="Xa10c8558a414f997afa278c578ecfc3318eea85" w:history="1">
            <w:r>
              <w:rPr>
                <w:rFonts w:ascii="Calibri" w:hAnsi="Calibri"/>
                <w:color w:val="222B2A"/>
                <w:sz w:val="18"/>
              </w:rPr>
              <w:t xml:space="preserve">12A.6 Garde-fous applicables à l’administrateur de la plateforme</w:t>
            </w:r>
            <w:r>
              <w:rPr>
                <w:rFonts w:ascii="Calibri" w:hAnsi="Calibri"/>
                <w:sz w:val="18"/>
              </w:rPr>
              <w:tab/>
            </w:r>
            <w:r>
              <w:rPr>
                <w:rFonts w:ascii="Calibri" w:hAnsi="Calibri"/>
                <w:color w:val="222B2A"/>
                <w:sz w:val="18"/>
              </w:rPr>
              <w:t xml:space="preserve">50</w:t>
            </w:r>
          </w:hyperlink>
        </w:p>
        <w:p>
          <w:pPr>
            <w:tabs>
              <w:tab w:val="right" w:leader="dot" w:pos="9350"/>
            </w:tabs>
            <w:spacing w:before="0" w:after="20"/>
            <w:ind w:left="360"/>
          </w:pPr>
          <w:hyperlink w:anchor="Xa220dbd89f9925cc1c16375f08e471948871124" w:history="1">
            <w:r>
              <w:rPr>
                <w:rFonts w:ascii="Calibri" w:hAnsi="Calibri"/>
                <w:color w:val="222B2A"/>
                <w:sz w:val="18"/>
              </w:rPr>
              <w:t xml:space="preserve">12A.7 Inscription assistée par l’opérateur d’accès désigné</w:t>
            </w:r>
            <w:r>
              <w:rPr>
                <w:rFonts w:ascii="Calibri" w:hAnsi="Calibri"/>
                <w:sz w:val="18"/>
              </w:rPr>
              <w:tab/>
            </w:r>
            <w:r>
              <w:rPr>
                <w:rFonts w:ascii="Calibri" w:hAnsi="Calibri"/>
                <w:color w:val="222B2A"/>
                <w:sz w:val="18"/>
              </w:rPr>
              <w:t xml:space="preserve">50</w:t>
            </w:r>
          </w:hyperlink>
        </w:p>
        <w:p>
          <w:pPr>
            <w:tabs>
              <w:tab w:val="right" w:leader="dot" w:pos="9350"/>
            </w:tabs>
            <w:spacing w:before="100" w:after="20"/>
            <w:ind w:left="0"/>
          </w:pPr>
          <w:hyperlink w:anchor="parcours-du-contribuable" w:history="1">
            <w:r>
              <w:rPr>
                <w:rFonts w:ascii="Calibri" w:hAnsi="Calibri"/>
                <w:b/>
                <w:color w:val="1BA996"/>
                <w:sz w:val="20"/>
              </w:rPr>
              <w:t xml:space="preserve">13. Parcours du contribuable</w:t>
            </w:r>
            <w:r>
              <w:rPr>
                <w:rFonts w:ascii="Calibri" w:hAnsi="Calibri"/>
                <w:sz w:val="20"/>
              </w:rPr>
              <w:tab/>
            </w:r>
            <w:r>
              <w:rPr>
                <w:rFonts w:ascii="Calibri" w:hAnsi="Calibri"/>
                <w:b/>
                <w:color w:val="1BA996"/>
                <w:sz w:val="20"/>
              </w:rPr>
              <w:t xml:space="preserve">51</w:t>
            </w:r>
          </w:hyperlink>
        </w:p>
        <w:p>
          <w:pPr>
            <w:tabs>
              <w:tab w:val="right" w:leader="dot" w:pos="9350"/>
            </w:tabs>
            <w:spacing w:before="0" w:after="20"/>
            <w:ind w:left="360"/>
          </w:pPr>
          <w:hyperlink w:anchor="enrôlement-et-rattachement-dun-bien" w:history="1">
            <w:r>
              <w:rPr>
                <w:rFonts w:ascii="Calibri" w:hAnsi="Calibri"/>
                <w:color w:val="222B2A"/>
                <w:sz w:val="18"/>
              </w:rPr>
              <w:t xml:space="preserve">13.1 Enrôlement et rattachement d'un bien</w:t>
            </w:r>
            <w:r>
              <w:rPr>
                <w:rFonts w:ascii="Calibri" w:hAnsi="Calibri"/>
                <w:sz w:val="18"/>
              </w:rPr>
              <w:tab/>
            </w:r>
            <w:r>
              <w:rPr>
                <w:rFonts w:ascii="Calibri" w:hAnsi="Calibri"/>
                <w:color w:val="222B2A"/>
                <w:sz w:val="18"/>
              </w:rPr>
              <w:t xml:space="preserve">51</w:t>
            </w:r>
          </w:hyperlink>
        </w:p>
        <w:p>
          <w:pPr>
            <w:tabs>
              <w:tab w:val="right" w:leader="dot" w:pos="9350"/>
            </w:tabs>
            <w:spacing w:before="0" w:after="20"/>
            <w:ind w:left="360"/>
          </w:pPr>
          <w:hyperlink w:anchor="déclaration-et-paiement-annuels" w:history="1">
            <w:r>
              <w:rPr>
                <w:rFonts w:ascii="Calibri" w:hAnsi="Calibri"/>
                <w:color w:val="222B2A"/>
                <w:sz w:val="18"/>
              </w:rPr>
              <w:t xml:space="preserve">13.2 Déclaration et paiement annuels</w:t>
            </w:r>
            <w:r>
              <w:rPr>
                <w:rFonts w:ascii="Calibri" w:hAnsi="Calibri"/>
                <w:sz w:val="18"/>
              </w:rPr>
              <w:tab/>
            </w:r>
            <w:r>
              <w:rPr>
                <w:rFonts w:ascii="Calibri" w:hAnsi="Calibri"/>
                <w:color w:val="222B2A"/>
                <w:sz w:val="18"/>
              </w:rPr>
              <w:t xml:space="preserve">51</w:t>
            </w:r>
          </w:hyperlink>
        </w:p>
        <w:p>
          <w:pPr>
            <w:tabs>
              <w:tab w:val="right" w:leader="dot" w:pos="9350"/>
            </w:tabs>
            <w:spacing w:before="0" w:after="20"/>
            <w:ind w:left="360"/>
          </w:pPr>
          <w:hyperlink w:anchor="parcours-locataire" w:history="1">
            <w:r>
              <w:rPr>
                <w:rFonts w:ascii="Calibri" w:hAnsi="Calibri"/>
                <w:color w:val="222B2A"/>
                <w:sz w:val="18"/>
              </w:rPr>
              <w:t xml:space="preserve">13.3 Parcours locataire</w:t>
            </w:r>
            <w:r>
              <w:rPr>
                <w:rFonts w:ascii="Calibri" w:hAnsi="Calibri"/>
                <w:sz w:val="18"/>
              </w:rPr>
              <w:tab/>
            </w:r>
            <w:r>
              <w:rPr>
                <w:rFonts w:ascii="Calibri" w:hAnsi="Calibri"/>
                <w:color w:val="222B2A"/>
                <w:sz w:val="18"/>
              </w:rPr>
              <w:t xml:space="preserve">51</w:t>
            </w:r>
          </w:hyperlink>
        </w:p>
        <w:p>
          <w:pPr>
            <w:tabs>
              <w:tab w:val="right" w:leader="dot" w:pos="9350"/>
            </w:tabs>
            <w:spacing w:before="0" w:after="20"/>
            <w:ind w:left="360"/>
          </w:pPr>
          <w:hyperlink w:anchor="contestation" w:history="1">
            <w:r>
              <w:rPr>
                <w:rFonts w:ascii="Calibri" w:hAnsi="Calibri"/>
                <w:color w:val="222B2A"/>
                <w:sz w:val="18"/>
              </w:rPr>
              <w:t xml:space="preserve">13.4 Contestation</w:t>
            </w:r>
            <w:r>
              <w:rPr>
                <w:rFonts w:ascii="Calibri" w:hAnsi="Calibri"/>
                <w:sz w:val="18"/>
              </w:rPr>
              <w:tab/>
            </w:r>
            <w:r>
              <w:rPr>
                <w:rFonts w:ascii="Calibri" w:hAnsi="Calibri"/>
                <w:color w:val="222B2A"/>
                <w:sz w:val="18"/>
              </w:rPr>
              <w:t xml:space="preserve">51</w:t>
            </w:r>
          </w:hyperlink>
        </w:p>
        <w:p>
          <w:pPr>
            <w:tabs>
              <w:tab w:val="right" w:leader="dot" w:pos="9350"/>
            </w:tabs>
            <w:spacing w:before="0" w:after="20"/>
            <w:ind w:left="360"/>
          </w:pPr>
          <w:hyperlink w:anchor="parcours-diaspora" w:history="1">
            <w:r>
              <w:rPr>
                <w:rFonts w:ascii="Calibri" w:hAnsi="Calibri"/>
                <w:color w:val="222B2A"/>
                <w:sz w:val="18"/>
              </w:rPr>
              <w:t xml:space="preserve">13.5 Parcours diaspora</w:t>
            </w:r>
            <w:r>
              <w:rPr>
                <w:rFonts w:ascii="Calibri" w:hAnsi="Calibri"/>
                <w:sz w:val="18"/>
              </w:rPr>
              <w:tab/>
            </w:r>
            <w:r>
              <w:rPr>
                <w:rFonts w:ascii="Calibri" w:hAnsi="Calibri"/>
                <w:color w:val="222B2A"/>
                <w:sz w:val="18"/>
              </w:rPr>
              <w:t xml:space="preserve">52</w:t>
            </w:r>
          </w:hyperlink>
        </w:p>
        <w:p>
          <w:pPr>
            <w:tabs>
              <w:tab w:val="right" w:leader="dot" w:pos="9350"/>
            </w:tabs>
            <w:spacing w:before="0" w:after="20"/>
            <w:ind w:left="360"/>
          </w:pPr>
          <w:hyperlink w:anchor="critère-dacceptation-de-référence" w:history="1">
            <w:r>
              <w:rPr>
                <w:rFonts w:ascii="Calibri" w:hAnsi="Calibri"/>
                <w:color w:val="222B2A"/>
                <w:sz w:val="18"/>
              </w:rPr>
              <w:t xml:space="preserve">13.6 Critère d’acceptation de référence</w:t>
            </w:r>
            <w:r>
              <w:rPr>
                <w:rFonts w:ascii="Calibri" w:hAnsi="Calibri"/>
                <w:sz w:val="18"/>
              </w:rPr>
              <w:tab/>
            </w:r>
            <w:r>
              <w:rPr>
                <w:rFonts w:ascii="Calibri" w:hAnsi="Calibri"/>
                <w:color w:val="222B2A"/>
                <w:sz w:val="18"/>
              </w:rPr>
              <w:t xml:space="preserve">52</w:t>
            </w:r>
          </w:hyperlink>
        </w:p>
        <w:p>
          <w:pPr>
            <w:tabs>
              <w:tab w:val="right" w:leader="dot" w:pos="9350"/>
            </w:tabs>
            <w:spacing w:before="100" w:after="20"/>
            <w:ind w:left="0"/>
          </w:pPr>
          <w:hyperlink w:anchor="Xc2e696b80b8e810506852eae6c829cc01d61c2b" w:history="1">
            <w:r>
              <w:rPr>
                <w:rFonts w:ascii="Calibri" w:hAnsi="Calibri"/>
                <w:b/>
                <w:color w:val="1BA996"/>
                <w:sz w:val="20"/>
              </w:rPr>
              <w:t xml:space="preserve">13A. Enrôlement inclusif et canaux assistés</w:t>
            </w:r>
            <w:r>
              <w:rPr>
                <w:rFonts w:ascii="Calibri" w:hAnsi="Calibri"/>
                <w:sz w:val="20"/>
              </w:rPr>
              <w:tab/>
            </w:r>
            <w:r>
              <w:rPr>
                <w:rFonts w:ascii="Calibri" w:hAnsi="Calibri"/>
                <w:b/>
                <w:color w:val="1BA996"/>
                <w:sz w:val="20"/>
              </w:rPr>
              <w:t xml:space="preserve">52</w:t>
            </w:r>
          </w:hyperlink>
        </w:p>
        <w:p>
          <w:pPr>
            <w:tabs>
              <w:tab w:val="right" w:leader="dot" w:pos="9350"/>
            </w:tabs>
            <w:spacing w:before="0" w:after="20"/>
            <w:ind w:left="360"/>
          </w:pPr>
          <w:hyperlink w:anchor="a.1-canaux-denrôlement" w:history="1">
            <w:r>
              <w:rPr>
                <w:rFonts w:ascii="Calibri" w:hAnsi="Calibri"/>
                <w:color w:val="222B2A"/>
                <w:sz w:val="18"/>
              </w:rPr>
              <w:t xml:space="preserve">13A.1 Canaux d’enrôlement</w:t>
            </w:r>
            <w:r>
              <w:rPr>
                <w:rFonts w:ascii="Calibri" w:hAnsi="Calibri"/>
                <w:sz w:val="18"/>
              </w:rPr>
              <w:tab/>
            </w:r>
            <w:r>
              <w:rPr>
                <w:rFonts w:ascii="Calibri" w:hAnsi="Calibri"/>
                <w:color w:val="222B2A"/>
                <w:sz w:val="18"/>
              </w:rPr>
              <w:t xml:space="preserve">52</w:t>
            </w:r>
          </w:hyperlink>
        </w:p>
        <w:p>
          <w:pPr>
            <w:tabs>
              <w:tab w:val="right" w:leader="dot" w:pos="9350"/>
            </w:tabs>
            <w:spacing w:before="0" w:after="20"/>
            <w:ind w:left="360"/>
          </w:pPr>
          <w:hyperlink w:anchor="X5a209424b92bfb216e78678af4472a2aa59cd26" w:history="1">
            <w:r>
              <w:rPr>
                <w:rFonts w:ascii="Calibri" w:hAnsi="Calibri"/>
                <w:color w:val="222B2A"/>
                <w:sz w:val="18"/>
              </w:rPr>
              <w:t xml:space="preserve">13A.2 Identité sans téléphone : la carte MOSOLO</w:t>
            </w:r>
            <w:r>
              <w:rPr>
                <w:rFonts w:ascii="Calibri" w:hAnsi="Calibri"/>
                <w:sz w:val="18"/>
              </w:rPr>
              <w:tab/>
            </w:r>
            <w:r>
              <w:rPr>
                <w:rFonts w:ascii="Calibri" w:hAnsi="Calibri"/>
                <w:color w:val="222B2A"/>
                <w:sz w:val="18"/>
              </w:rPr>
              <w:t xml:space="preserve">53</w:t>
            </w:r>
          </w:hyperlink>
        </w:p>
        <w:p>
          <w:pPr>
            <w:tabs>
              <w:tab w:val="right" w:leader="dot" w:pos="9350"/>
            </w:tabs>
            <w:spacing w:before="0" w:after="20"/>
            <w:ind w:left="360"/>
          </w:pPr>
          <w:hyperlink w:anchor="Xb0585591f8942739ee4a4ab7a879ecb7431f705" w:history="1">
            <w:r>
              <w:rPr>
                <w:rFonts w:ascii="Calibri" w:hAnsi="Calibri"/>
                <w:color w:val="222B2A"/>
                <w:sz w:val="18"/>
              </w:rPr>
              <w:t xml:space="preserve">13A.3 Consentement et signature sans écriture</w:t>
            </w:r>
            <w:r>
              <w:rPr>
                <w:rFonts w:ascii="Calibri" w:hAnsi="Calibri"/>
                <w:sz w:val="18"/>
              </w:rPr>
              <w:tab/>
            </w:r>
            <w:r>
              <w:rPr>
                <w:rFonts w:ascii="Calibri" w:hAnsi="Calibri"/>
                <w:color w:val="222B2A"/>
                <w:sz w:val="18"/>
              </w:rPr>
              <w:t xml:space="preserve">53</w:t>
            </w:r>
          </w:hyperlink>
        </w:p>
        <w:p>
          <w:pPr>
            <w:tabs>
              <w:tab w:val="right" w:leader="dot" w:pos="9350"/>
            </w:tabs>
            <w:spacing w:before="0" w:after="20"/>
            <w:ind w:left="360"/>
          </w:pPr>
          <w:hyperlink w:anchor="Xd5616fcf381b30197685137b1122f5f4dbc0c1f" w:history="1">
            <w:r>
              <w:rPr>
                <w:rFonts w:ascii="Calibri" w:hAnsi="Calibri"/>
                <w:color w:val="222B2A"/>
                <w:sz w:val="18"/>
              </w:rPr>
              <w:t xml:space="preserve">13A.4 Conception pour faible alphabétisation et faible connectivité</w:t>
            </w:r>
            <w:r>
              <w:rPr>
                <w:rFonts w:ascii="Calibri" w:hAnsi="Calibri"/>
                <w:sz w:val="18"/>
              </w:rPr>
              <w:tab/>
            </w:r>
            <w:r>
              <w:rPr>
                <w:rFonts w:ascii="Calibri" w:hAnsi="Calibri"/>
                <w:color w:val="222B2A"/>
                <w:sz w:val="18"/>
              </w:rPr>
              <w:t xml:space="preserve">53</w:t>
            </w:r>
          </w:hyperlink>
        </w:p>
        <w:p>
          <w:pPr>
            <w:tabs>
              <w:tab w:val="right" w:leader="dot" w:pos="9350"/>
            </w:tabs>
            <w:spacing w:before="0" w:after="20"/>
            <w:ind w:left="360"/>
          </w:pPr>
          <w:hyperlink w:anchor="Xa5ddf5abaeb1982f24568c04693edaeb27c7e8a" w:history="1">
            <w:r>
              <w:rPr>
                <w:rFonts w:ascii="Calibri" w:hAnsi="Calibri"/>
                <w:color w:val="222B2A"/>
                <w:sz w:val="18"/>
              </w:rPr>
              <w:t xml:space="preserve">13A.5 Parcours type d’une personne sans téléphone ne sachant pas lire</w:t>
            </w:r>
            <w:r>
              <w:rPr>
                <w:rFonts w:ascii="Calibri" w:hAnsi="Calibri"/>
                <w:sz w:val="18"/>
              </w:rPr>
              <w:tab/>
            </w:r>
            <w:r>
              <w:rPr>
                <w:rFonts w:ascii="Calibri" w:hAnsi="Calibri"/>
                <w:color w:val="222B2A"/>
                <w:sz w:val="18"/>
              </w:rPr>
              <w:t xml:space="preserve">53</w:t>
            </w:r>
          </w:hyperlink>
        </w:p>
        <w:p>
          <w:pPr>
            <w:tabs>
              <w:tab w:val="right" w:leader="dot" w:pos="9350"/>
            </w:tabs>
            <w:spacing w:before="0" w:after="20"/>
            <w:ind w:left="360"/>
          </w:pPr>
          <w:hyperlink w:anchor="a.6-garanties" w:history="1">
            <w:r>
              <w:rPr>
                <w:rFonts w:ascii="Calibri" w:hAnsi="Calibri"/>
                <w:color w:val="222B2A"/>
                <w:sz w:val="18"/>
              </w:rPr>
              <w:t xml:space="preserve">13A.6 Garanties</w:t>
            </w:r>
            <w:r>
              <w:rPr>
                <w:rFonts w:ascii="Calibri" w:hAnsi="Calibri"/>
                <w:sz w:val="18"/>
              </w:rPr>
              <w:tab/>
            </w:r>
            <w:r>
              <w:rPr>
                <w:rFonts w:ascii="Calibri" w:hAnsi="Calibri"/>
                <w:color w:val="222B2A"/>
                <w:sz w:val="18"/>
              </w:rPr>
              <w:t xml:space="preserve">54</w:t>
            </w:r>
          </w:hyperlink>
        </w:p>
        <w:p>
          <w:pPr>
            <w:tabs>
              <w:tab w:val="right" w:leader="dot" w:pos="9350"/>
            </w:tabs>
            <w:spacing w:before="100" w:after="20"/>
            <w:ind w:left="0"/>
          </w:pPr>
          <w:hyperlink w:anchor="Xb032eee0945e97d5fca2f0dd74c7d2ed4974bdc" w:history="1">
            <w:r>
              <w:rPr>
                <w:rFonts w:ascii="Calibri" w:hAnsi="Calibri"/>
                <w:b/>
                <w:color w:val="1BA996"/>
                <w:sz w:val="20"/>
              </w:rPr>
              <w:t xml:space="preserve">14. Parcours des utilisateurs gouvernementaux</w:t>
            </w:r>
            <w:r>
              <w:rPr>
                <w:rFonts w:ascii="Calibri" w:hAnsi="Calibri"/>
                <w:sz w:val="20"/>
              </w:rPr>
              <w:tab/>
            </w:r>
            <w:r>
              <w:rPr>
                <w:rFonts w:ascii="Calibri" w:hAnsi="Calibri"/>
                <w:b/>
                <w:color w:val="1BA996"/>
                <w:sz w:val="20"/>
              </w:rPr>
              <w:t xml:space="preserve">54</w:t>
            </w:r>
          </w:hyperlink>
        </w:p>
        <w:p>
          <w:pPr>
            <w:tabs>
              <w:tab w:val="right" w:leader="dot" w:pos="9350"/>
            </w:tabs>
            <w:spacing w:before="100" w:after="20"/>
            <w:ind w:left="0"/>
          </w:pPr>
          <w:hyperlink w:anchor="parcours-de-lagent-de-terrain" w:history="1">
            <w:r>
              <w:rPr>
                <w:rFonts w:ascii="Calibri" w:hAnsi="Calibri"/>
                <w:b/>
                <w:color w:val="1BA996"/>
                <w:sz w:val="20"/>
              </w:rPr>
              <w:t xml:space="preserve">15. Parcours de l'agent de terrain</w:t>
            </w:r>
            <w:r>
              <w:rPr>
                <w:rFonts w:ascii="Calibri" w:hAnsi="Calibri"/>
                <w:sz w:val="20"/>
              </w:rPr>
              <w:tab/>
            </w:r>
            <w:r>
              <w:rPr>
                <w:rFonts w:ascii="Calibri" w:hAnsi="Calibri"/>
                <w:b/>
                <w:color w:val="1BA996"/>
                <w:sz w:val="20"/>
              </w:rPr>
              <w:t xml:space="preserve">54</w:t>
            </w:r>
          </w:hyperlink>
        </w:p>
        <w:p>
          <w:pPr>
            <w:tabs>
              <w:tab w:val="right" w:leader="dot" w:pos="9350"/>
            </w:tabs>
            <w:spacing w:before="0" w:after="20"/>
            <w:ind w:left="360"/>
          </w:pPr>
          <w:hyperlink w:anchor="avant-la-mission" w:history="1">
            <w:r>
              <w:rPr>
                <w:rFonts w:ascii="Calibri" w:hAnsi="Calibri"/>
                <w:color w:val="222B2A"/>
                <w:sz w:val="18"/>
              </w:rPr>
              <w:t xml:space="preserve">15.1 Avant la mission</w:t>
            </w:r>
            <w:r>
              <w:rPr>
                <w:rFonts w:ascii="Calibri" w:hAnsi="Calibri"/>
                <w:sz w:val="18"/>
              </w:rPr>
              <w:tab/>
            </w:r>
            <w:r>
              <w:rPr>
                <w:rFonts w:ascii="Calibri" w:hAnsi="Calibri"/>
                <w:color w:val="222B2A"/>
                <w:sz w:val="18"/>
              </w:rPr>
              <w:t xml:space="preserve">54</w:t>
            </w:r>
          </w:hyperlink>
        </w:p>
        <w:p>
          <w:pPr>
            <w:tabs>
              <w:tab w:val="right" w:leader="dot" w:pos="9350"/>
            </w:tabs>
            <w:spacing w:before="0" w:after="20"/>
            <w:ind w:left="360"/>
          </w:pPr>
          <w:hyperlink w:anchor="sur-le-terrain" w:history="1">
            <w:r>
              <w:rPr>
                <w:rFonts w:ascii="Calibri" w:hAnsi="Calibri"/>
                <w:color w:val="222B2A"/>
                <w:sz w:val="18"/>
              </w:rPr>
              <w:t xml:space="preserve">15.2 Sur le terrain</w:t>
            </w:r>
            <w:r>
              <w:rPr>
                <w:rFonts w:ascii="Calibri" w:hAnsi="Calibri"/>
                <w:sz w:val="18"/>
              </w:rPr>
              <w:tab/>
            </w:r>
            <w:r>
              <w:rPr>
                <w:rFonts w:ascii="Calibri" w:hAnsi="Calibri"/>
                <w:color w:val="222B2A"/>
                <w:sz w:val="18"/>
              </w:rPr>
              <w:t xml:space="preserve">54</w:t>
            </w:r>
          </w:hyperlink>
        </w:p>
        <w:p>
          <w:pPr>
            <w:tabs>
              <w:tab w:val="right" w:leader="dot" w:pos="9350"/>
            </w:tabs>
            <w:spacing w:before="0" w:after="20"/>
            <w:ind w:left="360"/>
          </w:pPr>
          <w:hyperlink w:anchor="après-la-mission" w:history="1">
            <w:r>
              <w:rPr>
                <w:rFonts w:ascii="Calibri" w:hAnsi="Calibri"/>
                <w:color w:val="222B2A"/>
                <w:sz w:val="18"/>
              </w:rPr>
              <w:t xml:space="preserve">15.3 Après la mission</w:t>
            </w:r>
            <w:r>
              <w:rPr>
                <w:rFonts w:ascii="Calibri" w:hAnsi="Calibri"/>
                <w:sz w:val="18"/>
              </w:rPr>
              <w:tab/>
            </w:r>
            <w:r>
              <w:rPr>
                <w:rFonts w:ascii="Calibri" w:hAnsi="Calibri"/>
                <w:color w:val="222B2A"/>
                <w:sz w:val="18"/>
              </w:rPr>
              <w:t xml:space="preserve">55</w:t>
            </w:r>
          </w:hyperlink>
        </w:p>
        <w:p>
          <w:pPr>
            <w:tabs>
              <w:tab w:val="right" w:leader="dot" w:pos="9350"/>
            </w:tabs>
            <w:spacing w:before="0" w:after="20"/>
            <w:ind w:left="360"/>
          </w:pPr>
          <w:hyperlink w:anchor="X656d32126ea94943b51cf5d72d2c0705068c012" w:history="1">
            <w:r>
              <w:rPr>
                <w:rFonts w:ascii="Calibri" w:hAnsi="Calibri"/>
                <w:color w:val="222B2A"/>
                <w:sz w:val="18"/>
              </w:rPr>
              <w:t xml:space="preserve">15.4 Exigences techniques de la plateforme terrain hors ligne (Offline-First Field Platform)</w:t>
            </w:r>
            <w:r>
              <w:rPr>
                <w:rFonts w:ascii="Calibri" w:hAnsi="Calibri"/>
                <w:sz w:val="18"/>
              </w:rPr>
              <w:tab/>
            </w:r>
            <w:r>
              <w:rPr>
                <w:rFonts w:ascii="Calibri" w:hAnsi="Calibri"/>
                <w:color w:val="222B2A"/>
                <w:sz w:val="18"/>
              </w:rPr>
              <w:t xml:space="preserve">55</w:t>
            </w:r>
          </w:hyperlink>
        </w:p>
        <w:p>
          <w:pPr>
            <w:tabs>
              <w:tab w:val="right" w:leader="dot" w:pos="9350"/>
            </w:tabs>
            <w:spacing w:before="0" w:after="20"/>
            <w:ind w:left="360"/>
          </w:pPr>
          <w:hyperlink w:anchor="écrans-de-contrôle-de-référence" w:history="1">
            <w:r>
              <w:rPr>
                <w:rFonts w:ascii="Calibri" w:hAnsi="Calibri"/>
                <w:color w:val="222B2A"/>
                <w:sz w:val="18"/>
              </w:rPr>
              <w:t xml:space="preserve">15.5 Écrans de contrôle de référence</w:t>
            </w:r>
            <w:r>
              <w:rPr>
                <w:rFonts w:ascii="Calibri" w:hAnsi="Calibri"/>
                <w:sz w:val="18"/>
              </w:rPr>
              <w:tab/>
            </w:r>
            <w:r>
              <w:rPr>
                <w:rFonts w:ascii="Calibri" w:hAnsi="Calibri"/>
                <w:color w:val="222B2A"/>
                <w:sz w:val="18"/>
              </w:rPr>
              <w:t xml:space="preserve">55</w:t>
            </w:r>
          </w:hyperlink>
        </w:p>
        <w:p>
          <w:pPr>
            <w:tabs>
              <w:tab w:val="right" w:leader="dot" w:pos="9350"/>
            </w:tabs>
            <w:spacing w:before="100" w:after="20"/>
            <w:ind w:left="0"/>
          </w:pPr>
          <w:hyperlink w:anchor="X459e9a842ada2486c43d231fd9a3722e61ce28e" w:history="1">
            <w:r>
              <w:rPr>
                <w:rFonts w:ascii="Calibri" w:hAnsi="Calibri"/>
                <w:b/>
                <w:color w:val="1BA996"/>
                <w:sz w:val="20"/>
              </w:rPr>
              <w:t xml:space="preserve">15A. Sous-traitance terrain et gestion des équipes d’agents</w:t>
            </w:r>
            <w:r>
              <w:rPr>
                <w:rFonts w:ascii="Calibri" w:hAnsi="Calibri"/>
                <w:sz w:val="20"/>
              </w:rPr>
              <w:tab/>
            </w:r>
            <w:r>
              <w:rPr>
                <w:rFonts w:ascii="Calibri" w:hAnsi="Calibri"/>
                <w:b/>
                <w:color w:val="1BA996"/>
                <w:sz w:val="20"/>
              </w:rPr>
              <w:t xml:space="preserve">56</w:t>
            </w:r>
          </w:hyperlink>
        </w:p>
        <w:p>
          <w:pPr>
            <w:tabs>
              <w:tab w:val="right" w:leader="dot" w:pos="9350"/>
            </w:tabs>
            <w:spacing w:before="0" w:after="20"/>
            <w:ind w:left="360"/>
          </w:pPr>
          <w:hyperlink w:anchor="a.1-modules-concernés" w:history="1">
            <w:r>
              <w:rPr>
                <w:rFonts w:ascii="Calibri" w:hAnsi="Calibri"/>
                <w:color w:val="222B2A"/>
                <w:sz w:val="18"/>
              </w:rPr>
              <w:t xml:space="preserve">15A.1 Modules concernés</w:t>
            </w:r>
            <w:r>
              <w:rPr>
                <w:rFonts w:ascii="Calibri" w:hAnsi="Calibri"/>
                <w:sz w:val="18"/>
              </w:rPr>
              <w:tab/>
            </w:r>
            <w:r>
              <w:rPr>
                <w:rFonts w:ascii="Calibri" w:hAnsi="Calibri"/>
                <w:color w:val="222B2A"/>
                <w:sz w:val="18"/>
              </w:rPr>
              <w:t xml:space="preserve">56</w:t>
            </w:r>
          </w:hyperlink>
        </w:p>
        <w:p>
          <w:pPr>
            <w:tabs>
              <w:tab w:val="right" w:leader="dot" w:pos="9350"/>
            </w:tabs>
            <w:spacing w:before="0" w:after="20"/>
            <w:ind w:left="360"/>
          </w:pPr>
          <w:hyperlink w:anchor="a.2-hiérarchie-de-gestion" w:history="1">
            <w:r>
              <w:rPr>
                <w:rFonts w:ascii="Calibri" w:hAnsi="Calibri"/>
                <w:color w:val="222B2A"/>
                <w:sz w:val="18"/>
              </w:rPr>
              <w:t xml:space="preserve">15A.2 Hiérarchie de gestion</w:t>
            </w:r>
            <w:r>
              <w:rPr>
                <w:rFonts w:ascii="Calibri" w:hAnsi="Calibri"/>
                <w:sz w:val="18"/>
              </w:rPr>
              <w:tab/>
            </w:r>
            <w:r>
              <w:rPr>
                <w:rFonts w:ascii="Calibri" w:hAnsi="Calibri"/>
                <w:color w:val="222B2A"/>
                <w:sz w:val="18"/>
              </w:rPr>
              <w:t xml:space="preserve">56</w:t>
            </w:r>
          </w:hyperlink>
        </w:p>
        <w:p>
          <w:pPr>
            <w:tabs>
              <w:tab w:val="right" w:leader="dot" w:pos="9350"/>
            </w:tabs>
            <w:spacing w:before="0" w:after="20"/>
            <w:ind w:left="360"/>
          </w:pPr>
          <w:hyperlink w:anchor="Xf19309f3b909b8735d2e272ad6eb697d148c19c" w:history="1">
            <w:r>
              <w:rPr>
                <w:rFonts w:ascii="Calibri" w:hAnsi="Calibri"/>
                <w:color w:val="222B2A"/>
                <w:sz w:val="18"/>
              </w:rPr>
              <w:t xml:space="preserve">15A.3 Inscription et accréditation des sous-traitants</w:t>
            </w:r>
            <w:r>
              <w:rPr>
                <w:rFonts w:ascii="Calibri" w:hAnsi="Calibri"/>
                <w:sz w:val="18"/>
              </w:rPr>
              <w:tab/>
            </w:r>
            <w:r>
              <w:rPr>
                <w:rFonts w:ascii="Calibri" w:hAnsi="Calibri"/>
                <w:color w:val="222B2A"/>
                <w:sz w:val="18"/>
              </w:rPr>
              <w:t xml:space="preserve">56</w:t>
            </w:r>
          </w:hyperlink>
        </w:p>
        <w:p>
          <w:pPr>
            <w:tabs>
              <w:tab w:val="right" w:leader="dot" w:pos="9350"/>
            </w:tabs>
            <w:spacing w:before="0" w:after="20"/>
            <w:ind w:left="360"/>
          </w:pPr>
          <w:hyperlink w:anchor="a.4-gestion-des-agents" w:history="1">
            <w:r>
              <w:rPr>
                <w:rFonts w:ascii="Calibri" w:hAnsi="Calibri"/>
                <w:color w:val="222B2A"/>
                <w:sz w:val="18"/>
              </w:rPr>
              <w:t xml:space="preserve">15A.4 Gestion des agents</w:t>
            </w:r>
            <w:r>
              <w:rPr>
                <w:rFonts w:ascii="Calibri" w:hAnsi="Calibri"/>
                <w:sz w:val="18"/>
              </w:rPr>
              <w:tab/>
            </w:r>
            <w:r>
              <w:rPr>
                <w:rFonts w:ascii="Calibri" w:hAnsi="Calibri"/>
                <w:color w:val="222B2A"/>
                <w:sz w:val="18"/>
              </w:rPr>
              <w:t xml:space="preserve">57</w:t>
            </w:r>
          </w:hyperlink>
        </w:p>
        <w:p>
          <w:pPr>
            <w:tabs>
              <w:tab w:val="right" w:leader="dot" w:pos="9350"/>
            </w:tabs>
            <w:spacing w:before="0" w:after="20"/>
            <w:ind w:left="360"/>
          </w:pPr>
          <w:hyperlink w:anchor="X194e45af643d12acae6c5b8fe44418427de054a" w:history="1">
            <w:r>
              <w:rPr>
                <w:rFonts w:ascii="Calibri" w:hAnsi="Calibri"/>
                <w:color w:val="222B2A"/>
                <w:sz w:val="18"/>
              </w:rPr>
              <w:t xml:space="preserve">15A.5 Contrôle qualité et séparation des rôles</w:t>
            </w:r>
            <w:r>
              <w:rPr>
                <w:rFonts w:ascii="Calibri" w:hAnsi="Calibri"/>
                <w:sz w:val="18"/>
              </w:rPr>
              <w:tab/>
            </w:r>
            <w:r>
              <w:rPr>
                <w:rFonts w:ascii="Calibri" w:hAnsi="Calibri"/>
                <w:color w:val="222B2A"/>
                <w:sz w:val="18"/>
              </w:rPr>
              <w:t xml:space="preserve">57</w:t>
            </w:r>
          </w:hyperlink>
        </w:p>
        <w:p>
          <w:pPr>
            <w:tabs>
              <w:tab w:val="right" w:leader="dot" w:pos="9350"/>
            </w:tabs>
            <w:spacing w:before="0" w:after="20"/>
            <w:ind w:left="360"/>
          </w:pPr>
          <w:hyperlink w:anchor="X062d4ca2d720fcc0f305052d934dfdcbfb76a94" w:history="1">
            <w:r>
              <w:rPr>
                <w:rFonts w:ascii="Calibri" w:hAnsi="Calibri"/>
                <w:color w:val="222B2A"/>
                <w:sz w:val="18"/>
              </w:rPr>
              <w:t xml:space="preserve">15A.6 Identification des agents par le public</w:t>
            </w:r>
            <w:r>
              <w:rPr>
                <w:rFonts w:ascii="Calibri" w:hAnsi="Calibri"/>
                <w:sz w:val="18"/>
              </w:rPr>
              <w:tab/>
            </w:r>
            <w:r>
              <w:rPr>
                <w:rFonts w:ascii="Calibri" w:hAnsi="Calibri"/>
                <w:color w:val="222B2A"/>
                <w:sz w:val="18"/>
              </w:rPr>
              <w:t xml:space="preserve">57</w:t>
            </w:r>
          </w:hyperlink>
        </w:p>
        <w:p>
          <w:pPr>
            <w:tabs>
              <w:tab w:val="right" w:leader="dot" w:pos="9350"/>
            </w:tabs>
            <w:spacing w:before="0" w:after="20"/>
            <w:ind w:left="360"/>
          </w:pPr>
          <w:hyperlink w:anchor="a.7-rémunération-des-sous-traitants" w:history="1">
            <w:r>
              <w:rPr>
                <w:rFonts w:ascii="Calibri" w:hAnsi="Calibri"/>
                <w:color w:val="222B2A"/>
                <w:sz w:val="18"/>
              </w:rPr>
              <w:t xml:space="preserve">15A.7 Rémunération des sous-traitants</w:t>
            </w:r>
            <w:r>
              <w:rPr>
                <w:rFonts w:ascii="Calibri" w:hAnsi="Calibri"/>
                <w:sz w:val="18"/>
              </w:rPr>
              <w:tab/>
            </w:r>
            <w:r>
              <w:rPr>
                <w:rFonts w:ascii="Calibri" w:hAnsi="Calibri"/>
                <w:color w:val="222B2A"/>
                <w:sz w:val="18"/>
              </w:rPr>
              <w:t xml:space="preserve">57</w:t>
            </w:r>
          </w:hyperlink>
        </w:p>
        <w:p>
          <w:pPr>
            <w:tabs>
              <w:tab w:val="right" w:leader="dot" w:pos="9350"/>
            </w:tabs>
            <w:spacing w:before="100" w:after="20"/>
            <w:ind w:left="0"/>
          </w:pPr>
          <w:hyperlink w:anchor="modèle-foncier-et-intelligence-locative" w:history="1">
            <w:r>
              <w:rPr>
                <w:rFonts w:ascii="Calibri" w:hAnsi="Calibri"/>
                <w:b/>
                <w:color w:val="1BA996"/>
                <w:sz w:val="20"/>
              </w:rPr>
              <w:t xml:space="preserve">16. Modèle foncier et intelligence locative</w:t>
            </w:r>
            <w:r>
              <w:rPr>
                <w:rFonts w:ascii="Calibri" w:hAnsi="Calibri"/>
                <w:sz w:val="20"/>
              </w:rPr>
              <w:tab/>
            </w:r>
            <w:r>
              <w:rPr>
                <w:rFonts w:ascii="Calibri" w:hAnsi="Calibri"/>
                <w:b/>
                <w:color w:val="1BA996"/>
                <w:sz w:val="20"/>
              </w:rPr>
              <w:t xml:space="preserve">57</w:t>
            </w:r>
          </w:hyperlink>
        </w:p>
        <w:p>
          <w:pPr>
            <w:tabs>
              <w:tab w:val="right" w:leader="dot" w:pos="9350"/>
            </w:tabs>
            <w:spacing w:before="0" w:after="20"/>
            <w:ind w:left="360"/>
          </w:pPr>
          <w:hyperlink w:anchor="structure-de-données" w:history="1">
            <w:r>
              <w:rPr>
                <w:rFonts w:ascii="Calibri" w:hAnsi="Calibri"/>
                <w:color w:val="222B2A"/>
                <w:sz w:val="18"/>
              </w:rPr>
              <w:t xml:space="preserve">16.1 Structure de données</w:t>
            </w:r>
            <w:r>
              <w:rPr>
                <w:rFonts w:ascii="Calibri" w:hAnsi="Calibri"/>
                <w:sz w:val="18"/>
              </w:rPr>
              <w:tab/>
            </w:r>
            <w:r>
              <w:rPr>
                <w:rFonts w:ascii="Calibri" w:hAnsi="Calibri"/>
                <w:color w:val="222B2A"/>
                <w:sz w:val="18"/>
              </w:rPr>
              <w:t xml:space="preserve">58</w:t>
            </w:r>
          </w:hyperlink>
        </w:p>
        <w:p>
          <w:pPr>
            <w:tabs>
              <w:tab w:val="right" w:leader="dot" w:pos="9350"/>
            </w:tabs>
            <w:spacing w:before="0" w:after="20"/>
            <w:ind w:left="360"/>
          </w:pPr>
          <w:hyperlink w:anchor="taux-et-retenue" w:history="1">
            <w:r>
              <w:rPr>
                <w:rFonts w:ascii="Calibri" w:hAnsi="Calibri"/>
                <w:color w:val="222B2A"/>
                <w:sz w:val="18"/>
              </w:rPr>
              <w:t xml:space="preserve">16.2 Taux et retenue</w:t>
            </w:r>
            <w:r>
              <w:rPr>
                <w:rFonts w:ascii="Calibri" w:hAnsi="Calibri"/>
                <w:sz w:val="18"/>
              </w:rPr>
              <w:tab/>
            </w:r>
            <w:r>
              <w:rPr>
                <w:rFonts w:ascii="Calibri" w:hAnsi="Calibri"/>
                <w:color w:val="222B2A"/>
                <w:sz w:val="18"/>
              </w:rPr>
              <w:t xml:space="preserve">58</w:t>
            </w:r>
          </w:hyperlink>
        </w:p>
        <w:p>
          <w:pPr>
            <w:tabs>
              <w:tab w:val="right" w:leader="dot" w:pos="9350"/>
            </w:tabs>
            <w:spacing w:before="0" w:after="20"/>
            <w:ind w:left="360"/>
          </w:pPr>
          <w:hyperlink w:anchor="Xd34e3ca49cb9157a18ccd9ed2e57ce254aa5e7b" w:history="1">
            <w:r>
              <w:rPr>
                <w:rFonts w:ascii="Calibri" w:hAnsi="Calibri"/>
                <w:color w:val="222B2A"/>
                <w:sz w:val="18"/>
              </w:rPr>
              <w:t xml:space="preserve">16.3 Élargissement d'assiette prévu par l'édit budgétaire 2026</w:t>
            </w:r>
            <w:r>
              <w:rPr>
                <w:rFonts w:ascii="Calibri" w:hAnsi="Calibri"/>
                <w:sz w:val="18"/>
              </w:rPr>
              <w:tab/>
            </w:r>
            <w:r>
              <w:rPr>
                <w:rFonts w:ascii="Calibri" w:hAnsi="Calibri"/>
                <w:color w:val="222B2A"/>
                <w:sz w:val="18"/>
              </w:rPr>
              <w:t xml:space="preserve">58</w:t>
            </w:r>
          </w:hyperlink>
        </w:p>
        <w:p>
          <w:pPr>
            <w:tabs>
              <w:tab w:val="right" w:leader="dot" w:pos="9350"/>
            </w:tabs>
            <w:spacing w:before="0" w:after="20"/>
            <w:ind w:left="360"/>
          </w:pPr>
          <w:hyperlink w:anchor="moteur-de-détection-danomalies-locatives" w:history="1">
            <w:r>
              <w:rPr>
                <w:rFonts w:ascii="Calibri" w:hAnsi="Calibri"/>
                <w:color w:val="222B2A"/>
                <w:sz w:val="18"/>
              </w:rPr>
              <w:t xml:space="preserve">16.4 Moteur de détection d'anomalies locatives</w:t>
            </w:r>
            <w:r>
              <w:rPr>
                <w:rFonts w:ascii="Calibri" w:hAnsi="Calibri"/>
                <w:sz w:val="18"/>
              </w:rPr>
              <w:tab/>
            </w:r>
            <w:r>
              <w:rPr>
                <w:rFonts w:ascii="Calibri" w:hAnsi="Calibri"/>
                <w:color w:val="222B2A"/>
                <w:sz w:val="18"/>
              </w:rPr>
              <w:t xml:space="preserve">58</w:t>
            </w:r>
          </w:hyperlink>
        </w:p>
        <w:p>
          <w:pPr>
            <w:tabs>
              <w:tab w:val="right" w:leader="dot" w:pos="9350"/>
            </w:tabs>
            <w:spacing w:before="0" w:after="20"/>
            <w:ind w:left="360"/>
          </w:pPr>
          <w:hyperlink w:anchor="carte-et-visibilité" w:history="1">
            <w:r>
              <w:rPr>
                <w:rFonts w:ascii="Calibri" w:hAnsi="Calibri"/>
                <w:color w:val="222B2A"/>
                <w:sz w:val="18"/>
              </w:rPr>
              <w:t xml:space="preserve">16.5 Carte et visibilité</w:t>
            </w:r>
            <w:r>
              <w:rPr>
                <w:rFonts w:ascii="Calibri" w:hAnsi="Calibri"/>
                <w:sz w:val="18"/>
              </w:rPr>
              <w:tab/>
            </w:r>
            <w:r>
              <w:rPr>
                <w:rFonts w:ascii="Calibri" w:hAnsi="Calibri"/>
                <w:color w:val="222B2A"/>
                <w:sz w:val="18"/>
              </w:rPr>
              <w:t xml:space="preserve">59</w:t>
            </w:r>
          </w:hyperlink>
        </w:p>
        <w:p>
          <w:pPr>
            <w:tabs>
              <w:tab w:val="right" w:leader="dot" w:pos="9350"/>
            </w:tabs>
            <w:spacing w:before="0" w:after="20"/>
            <w:ind w:left="360"/>
          </w:pPr>
          <w:hyperlink w:anchor="indicateurs-de-couverture-locative" w:history="1">
            <w:r>
              <w:rPr>
                <w:rFonts w:ascii="Calibri" w:hAnsi="Calibri"/>
                <w:color w:val="222B2A"/>
                <w:sz w:val="18"/>
              </w:rPr>
              <w:t xml:space="preserve">16.6 Indicateurs de couverture locative</w:t>
            </w:r>
            <w:r>
              <w:rPr>
                <w:rFonts w:ascii="Calibri" w:hAnsi="Calibri"/>
                <w:sz w:val="18"/>
              </w:rPr>
              <w:tab/>
            </w:r>
            <w:r>
              <w:rPr>
                <w:rFonts w:ascii="Calibri" w:hAnsi="Calibri"/>
                <w:color w:val="222B2A"/>
                <w:sz w:val="18"/>
              </w:rPr>
              <w:t xml:space="preserve">59</w:t>
            </w:r>
          </w:hyperlink>
        </w:p>
        <w:p>
          <w:pPr>
            <w:tabs>
              <w:tab w:val="right" w:leader="dot" w:pos="9350"/>
            </w:tabs>
            <w:spacing w:before="0" w:after="20"/>
            <w:ind w:left="360"/>
          </w:pPr>
          <w:hyperlink w:anchor="X9ef28433eaffb41f1bcae70e9f84bb9066601ce" w:history="1">
            <w:r>
              <w:rPr>
                <w:rFonts w:ascii="Calibri" w:hAnsi="Calibri"/>
                <w:color w:val="222B2A"/>
                <w:sz w:val="18"/>
              </w:rPr>
              <w:t xml:space="preserve">16.7 Plaque fiscale immobilière intelligente (NFIU)</w:t>
            </w:r>
            <w:r>
              <w:rPr>
                <w:rFonts w:ascii="Calibri" w:hAnsi="Calibri"/>
                <w:sz w:val="18"/>
              </w:rPr>
              <w:tab/>
            </w:r>
            <w:r>
              <w:rPr>
                <w:rFonts w:ascii="Calibri" w:hAnsi="Calibri"/>
                <w:color w:val="222B2A"/>
                <w:sz w:val="18"/>
              </w:rPr>
              <w:t xml:space="preserve">59</w:t>
            </w:r>
          </w:hyperlink>
        </w:p>
        <w:p>
          <w:pPr>
            <w:tabs>
              <w:tab w:val="right" w:leader="dot" w:pos="9350"/>
            </w:tabs>
            <w:spacing w:before="0" w:after="20"/>
            <w:ind w:left="360"/>
          </w:pPr>
          <w:hyperlink w:anchor="revenus-locatifs-chantier-prioritaire" w:history="1">
            <w:r>
              <w:rPr>
                <w:rFonts w:ascii="Calibri" w:hAnsi="Calibri"/>
                <w:color w:val="222B2A"/>
                <w:sz w:val="18"/>
              </w:rPr>
              <w:t xml:space="preserve">16.8 Revenus locatifs : chantier prioritaire</w:t>
            </w:r>
            <w:r>
              <w:rPr>
                <w:rFonts w:ascii="Calibri" w:hAnsi="Calibri"/>
                <w:sz w:val="18"/>
              </w:rPr>
              <w:tab/>
            </w:r>
            <w:r>
              <w:rPr>
                <w:rFonts w:ascii="Calibri" w:hAnsi="Calibri"/>
                <w:color w:val="222B2A"/>
                <w:sz w:val="18"/>
              </w:rPr>
              <w:t xml:space="preserve">60</w:t>
            </w:r>
          </w:hyperlink>
        </w:p>
        <w:p>
          <w:pPr>
            <w:tabs>
              <w:tab w:val="right" w:leader="dot" w:pos="9350"/>
            </w:tabs>
            <w:spacing w:before="100" w:after="20"/>
            <w:ind w:left="0"/>
          </w:pPr>
          <w:hyperlink w:anchor="cadastre-fiscal-géospatial" w:history="1">
            <w:r>
              <w:rPr>
                <w:rFonts w:ascii="Calibri" w:hAnsi="Calibri"/>
                <w:b/>
                <w:color w:val="1BA996"/>
                <w:sz w:val="20"/>
              </w:rPr>
              <w:t xml:space="preserve">17. Cadastre fiscal géospatial</w:t>
            </w:r>
            <w:r>
              <w:rPr>
                <w:rFonts w:ascii="Calibri" w:hAnsi="Calibri"/>
                <w:sz w:val="20"/>
              </w:rPr>
              <w:tab/>
            </w:r>
            <w:r>
              <w:rPr>
                <w:rFonts w:ascii="Calibri" w:hAnsi="Calibri"/>
                <w:b/>
                <w:color w:val="1BA996"/>
                <w:sz w:val="20"/>
              </w:rPr>
              <w:t xml:space="preserve">60</w:t>
            </w:r>
          </w:hyperlink>
        </w:p>
        <w:p>
          <w:pPr>
            <w:tabs>
              <w:tab w:val="right" w:leader="dot" w:pos="9350"/>
            </w:tabs>
            <w:spacing w:before="0" w:after="20"/>
            <w:ind w:left="360"/>
          </w:pPr>
          <w:hyperlink w:anchor="couches" w:history="1">
            <w:r>
              <w:rPr>
                <w:rFonts w:ascii="Calibri" w:hAnsi="Calibri"/>
                <w:color w:val="222B2A"/>
                <w:sz w:val="18"/>
              </w:rPr>
              <w:t xml:space="preserve">17.1 Couches</w:t>
            </w:r>
            <w:r>
              <w:rPr>
                <w:rFonts w:ascii="Calibri" w:hAnsi="Calibri"/>
                <w:sz w:val="18"/>
              </w:rPr>
              <w:tab/>
            </w:r>
            <w:r>
              <w:rPr>
                <w:rFonts w:ascii="Calibri" w:hAnsi="Calibri"/>
                <w:color w:val="222B2A"/>
                <w:sz w:val="18"/>
              </w:rPr>
              <w:t xml:space="preserve">60</w:t>
            </w:r>
          </w:hyperlink>
        </w:p>
        <w:p>
          <w:pPr>
            <w:tabs>
              <w:tab w:val="right" w:leader="dot" w:pos="9350"/>
            </w:tabs>
            <w:spacing w:before="0" w:after="20"/>
            <w:ind w:left="360"/>
          </w:pPr>
          <w:hyperlink w:anchor="identifiant-géographique-fiscal" w:history="1">
            <w:r>
              <w:rPr>
                <w:rFonts w:ascii="Calibri" w:hAnsi="Calibri"/>
                <w:color w:val="222B2A"/>
                <w:sz w:val="18"/>
              </w:rPr>
              <w:t xml:space="preserve">17.2 Identifiant géographique fiscal</w:t>
            </w:r>
            <w:r>
              <w:rPr>
                <w:rFonts w:ascii="Calibri" w:hAnsi="Calibri"/>
                <w:sz w:val="18"/>
              </w:rPr>
              <w:tab/>
            </w:r>
            <w:r>
              <w:rPr>
                <w:rFonts w:ascii="Calibri" w:hAnsi="Calibri"/>
                <w:color w:val="222B2A"/>
                <w:sz w:val="18"/>
              </w:rPr>
              <w:t xml:space="preserve">60</w:t>
            </w:r>
          </w:hyperlink>
        </w:p>
        <w:p>
          <w:pPr>
            <w:tabs>
              <w:tab w:val="right" w:leader="dot" w:pos="9350"/>
            </w:tabs>
            <w:spacing w:before="0" w:after="20"/>
            <w:ind w:left="360"/>
          </w:pPr>
          <w:hyperlink w:anchor="cas-difficiles-et-procédures" w:history="1">
            <w:r>
              <w:rPr>
                <w:rFonts w:ascii="Calibri" w:hAnsi="Calibri"/>
                <w:color w:val="222B2A"/>
                <w:sz w:val="18"/>
              </w:rPr>
              <w:t xml:space="preserve">17.3 Cas difficiles et procédures</w:t>
            </w:r>
            <w:r>
              <w:rPr>
                <w:rFonts w:ascii="Calibri" w:hAnsi="Calibri"/>
                <w:sz w:val="18"/>
              </w:rPr>
              <w:tab/>
            </w:r>
            <w:r>
              <w:rPr>
                <w:rFonts w:ascii="Calibri" w:hAnsi="Calibri"/>
                <w:color w:val="222B2A"/>
                <w:sz w:val="18"/>
              </w:rPr>
              <w:t xml:space="preserve">60</w:t>
            </w:r>
          </w:hyperlink>
        </w:p>
        <w:p>
          <w:pPr>
            <w:tabs>
              <w:tab w:val="right" w:leader="dot" w:pos="9350"/>
            </w:tabs>
            <w:spacing w:before="0" w:after="20"/>
            <w:ind w:left="360"/>
          </w:pPr>
          <w:hyperlink w:anchor="méthode-de-recensement-massif" w:history="1">
            <w:r>
              <w:rPr>
                <w:rFonts w:ascii="Calibri" w:hAnsi="Calibri"/>
                <w:color w:val="222B2A"/>
                <w:sz w:val="18"/>
              </w:rPr>
              <w:t xml:space="preserve">17.4 Méthode de recensement massif</w:t>
            </w:r>
            <w:r>
              <w:rPr>
                <w:rFonts w:ascii="Calibri" w:hAnsi="Calibri"/>
                <w:sz w:val="18"/>
              </w:rPr>
              <w:tab/>
            </w:r>
            <w:r>
              <w:rPr>
                <w:rFonts w:ascii="Calibri" w:hAnsi="Calibri"/>
                <w:color w:val="222B2A"/>
                <w:sz w:val="18"/>
              </w:rPr>
              <w:t xml:space="preserve">61</w:t>
            </w:r>
          </w:hyperlink>
        </w:p>
        <w:p>
          <w:pPr>
            <w:tabs>
              <w:tab w:val="right" w:leader="dot" w:pos="9350"/>
            </w:tabs>
            <w:spacing w:before="0" w:after="20"/>
            <w:ind w:left="360"/>
          </w:pPr>
          <w:hyperlink w:anchor="X55d45641bd3c51488dd17541bda1fe9c8f5f533" w:history="1">
            <w:r>
              <w:rPr>
                <w:rFonts w:ascii="Calibri" w:hAnsi="Calibri"/>
                <w:color w:val="222B2A"/>
                <w:sz w:val="18"/>
              </w:rPr>
              <w:t xml:space="preserve">17.5 Identifiant géofiscal et protection des données</w:t>
            </w:r>
            <w:r>
              <w:rPr>
                <w:rFonts w:ascii="Calibri" w:hAnsi="Calibri"/>
                <w:sz w:val="18"/>
              </w:rPr>
              <w:tab/>
            </w:r>
            <w:r>
              <w:rPr>
                <w:rFonts w:ascii="Calibri" w:hAnsi="Calibri"/>
                <w:color w:val="222B2A"/>
                <w:sz w:val="18"/>
              </w:rPr>
              <w:t xml:space="preserve">61</w:t>
            </w:r>
          </w:hyperlink>
        </w:p>
        <w:p>
          <w:pPr>
            <w:tabs>
              <w:tab w:val="right" w:leader="dot" w:pos="9350"/>
            </w:tabs>
            <w:spacing w:before="100" w:after="20"/>
            <w:ind w:left="0"/>
          </w:pPr>
          <w:hyperlink w:anchor="modèle-de-paiement-et-de-règlement" w:history="1">
            <w:r>
              <w:rPr>
                <w:rFonts w:ascii="Calibri" w:hAnsi="Calibri"/>
                <w:b/>
                <w:color w:val="1BA996"/>
                <w:sz w:val="20"/>
              </w:rPr>
              <w:t xml:space="preserve">18. Modèle de paiement et de règlement</w:t>
            </w:r>
            <w:r>
              <w:rPr>
                <w:rFonts w:ascii="Calibri" w:hAnsi="Calibri"/>
                <w:sz w:val="20"/>
              </w:rPr>
              <w:tab/>
            </w:r>
            <w:r>
              <w:rPr>
                <w:rFonts w:ascii="Calibri" w:hAnsi="Calibri"/>
                <w:b/>
                <w:color w:val="1BA996"/>
                <w:sz w:val="20"/>
              </w:rPr>
              <w:t xml:space="preserve">61</w:t>
            </w:r>
          </w:hyperlink>
        </w:p>
        <w:p>
          <w:pPr>
            <w:tabs>
              <w:tab w:val="right" w:leader="dot" w:pos="9350"/>
            </w:tabs>
            <w:spacing w:before="0" w:after="20"/>
            <w:ind w:left="360"/>
          </w:pPr>
          <w:hyperlink w:anchor="canaux" w:history="1">
            <w:r>
              <w:rPr>
                <w:rFonts w:ascii="Calibri" w:hAnsi="Calibri"/>
                <w:color w:val="222B2A"/>
                <w:sz w:val="18"/>
              </w:rPr>
              <w:t xml:space="preserve">18.1 Canaux</w:t>
            </w:r>
            <w:r>
              <w:rPr>
                <w:rFonts w:ascii="Calibri" w:hAnsi="Calibri"/>
                <w:sz w:val="18"/>
              </w:rPr>
              <w:tab/>
            </w:r>
            <w:r>
              <w:rPr>
                <w:rFonts w:ascii="Calibri" w:hAnsi="Calibri"/>
                <w:color w:val="222B2A"/>
                <w:sz w:val="18"/>
              </w:rPr>
              <w:t xml:space="preserve">61</w:t>
            </w:r>
          </w:hyperlink>
        </w:p>
        <w:p>
          <w:pPr>
            <w:tabs>
              <w:tab w:val="right" w:leader="dot" w:pos="9350"/>
            </w:tabs>
            <w:spacing w:before="0" w:after="20"/>
            <w:ind w:left="360"/>
          </w:pPr>
          <w:hyperlink w:anchor="cycle-de-vie-du-paiement" w:history="1">
            <w:r>
              <w:rPr>
                <w:rFonts w:ascii="Calibri" w:hAnsi="Calibri"/>
                <w:color w:val="222B2A"/>
                <w:sz w:val="18"/>
              </w:rPr>
              <w:t xml:space="preserve">18.2 Cycle de vie du paiement</w:t>
            </w:r>
            <w:r>
              <w:rPr>
                <w:rFonts w:ascii="Calibri" w:hAnsi="Calibri"/>
                <w:sz w:val="18"/>
              </w:rPr>
              <w:tab/>
            </w:r>
            <w:r>
              <w:rPr>
                <w:rFonts w:ascii="Calibri" w:hAnsi="Calibri"/>
                <w:color w:val="222B2A"/>
                <w:sz w:val="18"/>
              </w:rPr>
              <w:t xml:space="preserve">61</w:t>
            </w:r>
          </w:hyperlink>
        </w:p>
        <w:p>
          <w:pPr>
            <w:tabs>
              <w:tab w:val="right" w:leader="dot" w:pos="9350"/>
            </w:tabs>
            <w:spacing w:before="0" w:after="20"/>
            <w:ind w:left="360"/>
          </w:pPr>
          <w:hyperlink w:anchor="états-distincts" w:history="1">
            <w:r>
              <w:rPr>
                <w:rFonts w:ascii="Calibri" w:hAnsi="Calibri"/>
                <w:color w:val="222B2A"/>
                <w:sz w:val="18"/>
              </w:rPr>
              <w:t xml:space="preserve">18.3 États distincts</w:t>
            </w:r>
            <w:r>
              <w:rPr>
                <w:rFonts w:ascii="Calibri" w:hAnsi="Calibri"/>
                <w:sz w:val="18"/>
              </w:rPr>
              <w:tab/>
            </w:r>
            <w:r>
              <w:rPr>
                <w:rFonts w:ascii="Calibri" w:hAnsi="Calibri"/>
                <w:color w:val="222B2A"/>
                <w:sz w:val="18"/>
              </w:rPr>
              <w:t xml:space="preserve">62</w:t>
            </w:r>
          </w:hyperlink>
        </w:p>
        <w:p>
          <w:pPr>
            <w:tabs>
              <w:tab w:val="right" w:leader="dot" w:pos="9350"/>
            </w:tabs>
            <w:spacing w:before="0" w:after="20"/>
            <w:ind w:left="360"/>
          </w:pPr>
          <w:hyperlink w:anchor="protection-du-circuit" w:history="1">
            <w:r>
              <w:rPr>
                <w:rFonts w:ascii="Calibri" w:hAnsi="Calibri"/>
                <w:color w:val="222B2A"/>
                <w:sz w:val="18"/>
              </w:rPr>
              <w:t xml:space="preserve">18.4 Protection du circuit</w:t>
            </w:r>
            <w:r>
              <w:rPr>
                <w:rFonts w:ascii="Calibri" w:hAnsi="Calibri"/>
                <w:sz w:val="18"/>
              </w:rPr>
              <w:tab/>
            </w:r>
            <w:r>
              <w:rPr>
                <w:rFonts w:ascii="Calibri" w:hAnsi="Calibri"/>
                <w:color w:val="222B2A"/>
                <w:sz w:val="18"/>
              </w:rPr>
              <w:t xml:space="preserve">62</w:t>
            </w:r>
          </w:hyperlink>
        </w:p>
        <w:p>
          <w:pPr>
            <w:tabs>
              <w:tab w:val="right" w:leader="dot" w:pos="9350"/>
            </w:tabs>
            <w:spacing w:before="0" w:after="20"/>
            <w:ind w:left="360"/>
          </w:pPr>
          <w:hyperlink w:anchor="modèle-détats-de-paiement" w:history="1">
            <w:r>
              <w:rPr>
                <w:rFonts w:ascii="Calibri" w:hAnsi="Calibri"/>
                <w:color w:val="222B2A"/>
                <w:sz w:val="18"/>
              </w:rPr>
              <w:t xml:space="preserve">18.5 Modèle d’états de paiement</w:t>
            </w:r>
            <w:r>
              <w:rPr>
                <w:rFonts w:ascii="Calibri" w:hAnsi="Calibri"/>
                <w:sz w:val="18"/>
              </w:rPr>
              <w:tab/>
            </w:r>
            <w:r>
              <w:rPr>
                <w:rFonts w:ascii="Calibri" w:hAnsi="Calibri"/>
                <w:color w:val="222B2A"/>
                <w:sz w:val="18"/>
              </w:rPr>
              <w:t xml:space="preserve">62</w:t>
            </w:r>
          </w:hyperlink>
        </w:p>
        <w:p>
          <w:pPr>
            <w:tabs>
              <w:tab w:val="right" w:leader="dot" w:pos="9350"/>
            </w:tabs>
            <w:spacing w:before="0" w:after="20"/>
            <w:ind w:left="360"/>
          </w:pPr>
          <w:hyperlink w:anchor="Xafb9c348c869c287d308b7ddd40dce57d1d4d0a" w:history="1">
            <w:r>
              <w:rPr>
                <w:rFonts w:ascii="Calibri" w:hAnsi="Calibri"/>
                <w:color w:val="222B2A"/>
                <w:sz w:val="18"/>
              </w:rPr>
              <w:t xml:space="preserve">18.6 Politique de quittance provisoire et définitive</w:t>
            </w:r>
            <w:r>
              <w:rPr>
                <w:rFonts w:ascii="Calibri" w:hAnsi="Calibri"/>
                <w:sz w:val="18"/>
              </w:rPr>
              <w:tab/>
            </w:r>
            <w:r>
              <w:rPr>
                <w:rFonts w:ascii="Calibri" w:hAnsi="Calibri"/>
                <w:color w:val="222B2A"/>
                <w:sz w:val="18"/>
              </w:rPr>
              <w:t xml:space="preserve">63</w:t>
            </w:r>
          </w:hyperlink>
        </w:p>
        <w:p>
          <w:pPr>
            <w:tabs>
              <w:tab w:val="right" w:leader="dot" w:pos="9350"/>
            </w:tabs>
            <w:spacing w:before="100" w:after="20"/>
            <w:ind w:left="0"/>
          </w:pPr>
          <w:hyperlink w:anchor="Xeee3cf4d8d8b474eddc582f17cf8581faf5d358" w:history="1">
            <w:r>
              <w:rPr>
                <w:rFonts w:ascii="Calibri" w:hAnsi="Calibri"/>
                <w:b/>
                <w:color w:val="1BA996"/>
                <w:sz w:val="20"/>
              </w:rPr>
              <w:t xml:space="preserve">18A. Parcours de paiement de bout en bout et preuve de paiement</w:t>
            </w:r>
            <w:r>
              <w:rPr>
                <w:rFonts w:ascii="Calibri" w:hAnsi="Calibri"/>
                <w:sz w:val="20"/>
              </w:rPr>
              <w:tab/>
            </w:r>
            <w:r>
              <w:rPr>
                <w:rFonts w:ascii="Calibri" w:hAnsi="Calibri"/>
                <w:b/>
                <w:color w:val="1BA996"/>
                <w:sz w:val="20"/>
              </w:rPr>
              <w:t xml:space="preserve">63</w:t>
            </w:r>
          </w:hyperlink>
        </w:p>
        <w:p>
          <w:pPr>
            <w:tabs>
              <w:tab w:val="right" w:leader="dot" w:pos="9350"/>
            </w:tabs>
            <w:spacing w:before="0" w:after="20"/>
            <w:ind w:left="360"/>
          </w:pPr>
          <w:hyperlink w:anchor="a.1-trois-modes-de-paiement" w:history="1">
            <w:r>
              <w:rPr>
                <w:rFonts w:ascii="Calibri" w:hAnsi="Calibri"/>
                <w:color w:val="222B2A"/>
                <w:sz w:val="18"/>
              </w:rPr>
              <w:t xml:space="preserve">18A.1 Trois modes de paiement</w:t>
            </w:r>
            <w:r>
              <w:rPr>
                <w:rFonts w:ascii="Calibri" w:hAnsi="Calibri"/>
                <w:sz w:val="18"/>
              </w:rPr>
              <w:tab/>
            </w:r>
            <w:r>
              <w:rPr>
                <w:rFonts w:ascii="Calibri" w:hAnsi="Calibri"/>
                <w:color w:val="222B2A"/>
                <w:sz w:val="18"/>
              </w:rPr>
              <w:t xml:space="preserve">63</w:t>
            </w:r>
          </w:hyperlink>
        </w:p>
        <w:p>
          <w:pPr>
            <w:tabs>
              <w:tab w:val="right" w:leader="dot" w:pos="9350"/>
            </w:tabs>
            <w:spacing w:before="0" w:after="20"/>
            <w:ind w:left="360"/>
          </w:pPr>
          <w:hyperlink w:anchor="Xfb3161b99100196faac108343d0ad3063759e6c" w:history="1">
            <w:r>
              <w:rPr>
                <w:rFonts w:ascii="Calibri" w:hAnsi="Calibri"/>
                <w:color w:val="222B2A"/>
                <w:sz w:val="18"/>
              </w:rPr>
              <w:t xml:space="preserve">18A.2 Où payer : le réseau des points de paiement agréés</w:t>
            </w:r>
            <w:r>
              <w:rPr>
                <w:rFonts w:ascii="Calibri" w:hAnsi="Calibri"/>
                <w:sz w:val="18"/>
              </w:rPr>
              <w:tab/>
            </w:r>
            <w:r>
              <w:rPr>
                <w:rFonts w:ascii="Calibri" w:hAnsi="Calibri"/>
                <w:color w:val="222B2A"/>
                <w:sz w:val="18"/>
              </w:rPr>
              <w:t xml:space="preserve">63</w:t>
            </w:r>
          </w:hyperlink>
        </w:p>
        <w:p>
          <w:pPr>
            <w:tabs>
              <w:tab w:val="right" w:leader="dot" w:pos="9350"/>
            </w:tabs>
            <w:spacing w:before="0" w:after="20"/>
            <w:ind w:left="360"/>
          </w:pPr>
          <w:hyperlink w:anchor="a.3-étapes-dun-paiement" w:history="1">
            <w:r>
              <w:rPr>
                <w:rFonts w:ascii="Calibri" w:hAnsi="Calibri"/>
                <w:color w:val="222B2A"/>
                <w:sz w:val="18"/>
              </w:rPr>
              <w:t xml:space="preserve">18A.3 Étapes d’un paiement</w:t>
            </w:r>
            <w:r>
              <w:rPr>
                <w:rFonts w:ascii="Calibri" w:hAnsi="Calibri"/>
                <w:sz w:val="18"/>
              </w:rPr>
              <w:tab/>
            </w:r>
            <w:r>
              <w:rPr>
                <w:rFonts w:ascii="Calibri" w:hAnsi="Calibri"/>
                <w:color w:val="222B2A"/>
                <w:sz w:val="18"/>
              </w:rPr>
              <w:t xml:space="preserve">64</w:t>
            </w:r>
          </w:hyperlink>
        </w:p>
        <w:p>
          <w:pPr>
            <w:tabs>
              <w:tab w:val="right" w:leader="dot" w:pos="9350"/>
            </w:tabs>
            <w:spacing w:before="0" w:after="20"/>
            <w:ind w:left="360"/>
          </w:pPr>
          <w:hyperlink w:anchor="a.4-la-preuve-de-paiement" w:history="1">
            <w:r>
              <w:rPr>
                <w:rFonts w:ascii="Calibri" w:hAnsi="Calibri"/>
                <w:color w:val="222B2A"/>
                <w:sz w:val="18"/>
              </w:rPr>
              <w:t xml:space="preserve">18A.4 La preuve de paiement</w:t>
            </w:r>
            <w:r>
              <w:rPr>
                <w:rFonts w:ascii="Calibri" w:hAnsi="Calibri"/>
                <w:sz w:val="18"/>
              </w:rPr>
              <w:tab/>
            </w:r>
            <w:r>
              <w:rPr>
                <w:rFonts w:ascii="Calibri" w:hAnsi="Calibri"/>
                <w:color w:val="222B2A"/>
                <w:sz w:val="18"/>
              </w:rPr>
              <w:t xml:space="preserve">64</w:t>
            </w:r>
          </w:hyperlink>
        </w:p>
        <w:p>
          <w:pPr>
            <w:tabs>
              <w:tab w:val="right" w:leader="dot" w:pos="9350"/>
            </w:tabs>
            <w:spacing w:before="0" w:after="20"/>
            <w:ind w:left="360"/>
          </w:pPr>
          <w:hyperlink w:anchor="Xa2ac975d72f535b0aa9c247106d3b61855b4eb1" w:history="1">
            <w:r>
              <w:rPr>
                <w:rFonts w:ascii="Calibri" w:hAnsi="Calibri"/>
                <w:color w:val="222B2A"/>
                <w:sz w:val="18"/>
              </w:rPr>
              <w:t xml:space="preserve">18A.5 Ce qui est vérifié, par qui et comment</w:t>
            </w:r>
            <w:r>
              <w:rPr>
                <w:rFonts w:ascii="Calibri" w:hAnsi="Calibri"/>
                <w:sz w:val="18"/>
              </w:rPr>
              <w:tab/>
            </w:r>
            <w:r>
              <w:rPr>
                <w:rFonts w:ascii="Calibri" w:hAnsi="Calibri"/>
                <w:color w:val="222B2A"/>
                <w:sz w:val="18"/>
              </w:rPr>
              <w:t xml:space="preserve">64</w:t>
            </w:r>
          </w:hyperlink>
        </w:p>
        <w:p>
          <w:pPr>
            <w:tabs>
              <w:tab w:val="right" w:leader="dot" w:pos="9350"/>
            </w:tabs>
            <w:spacing w:before="0" w:after="20"/>
            <w:ind w:left="360"/>
          </w:pPr>
          <w:hyperlink w:anchor="a.6-authenticité-de-la-preuve" w:history="1">
            <w:r>
              <w:rPr>
                <w:rFonts w:ascii="Calibri" w:hAnsi="Calibri"/>
                <w:color w:val="222B2A"/>
                <w:sz w:val="18"/>
              </w:rPr>
              <w:t xml:space="preserve">18A.6 Authenticité de la preuve</w:t>
            </w:r>
            <w:r>
              <w:rPr>
                <w:rFonts w:ascii="Calibri" w:hAnsi="Calibri"/>
                <w:sz w:val="18"/>
              </w:rPr>
              <w:tab/>
            </w:r>
            <w:r>
              <w:rPr>
                <w:rFonts w:ascii="Calibri" w:hAnsi="Calibri"/>
                <w:color w:val="222B2A"/>
                <w:sz w:val="18"/>
              </w:rPr>
              <w:t xml:space="preserve">65</w:t>
            </w:r>
          </w:hyperlink>
        </w:p>
        <w:p>
          <w:pPr>
            <w:tabs>
              <w:tab w:val="right" w:leader="dot" w:pos="9350"/>
            </w:tabs>
            <w:spacing w:before="0" w:after="20"/>
            <w:ind w:left="360"/>
          </w:pPr>
          <w:hyperlink w:anchor="a.7-verrouillage-des-fuites-dargent" w:history="1">
            <w:r>
              <w:rPr>
                <w:rFonts w:ascii="Calibri" w:hAnsi="Calibri"/>
                <w:color w:val="222B2A"/>
                <w:sz w:val="18"/>
              </w:rPr>
              <w:t xml:space="preserve">18A.7 Verrouillage des fuites d’argent</w:t>
            </w:r>
            <w:r>
              <w:rPr>
                <w:rFonts w:ascii="Calibri" w:hAnsi="Calibri"/>
                <w:sz w:val="18"/>
              </w:rPr>
              <w:tab/>
            </w:r>
            <w:r>
              <w:rPr>
                <w:rFonts w:ascii="Calibri" w:hAnsi="Calibri"/>
                <w:color w:val="222B2A"/>
                <w:sz w:val="18"/>
              </w:rPr>
              <w:t xml:space="preserve">65</w:t>
            </w:r>
          </w:hyperlink>
        </w:p>
        <w:p>
          <w:pPr>
            <w:tabs>
              <w:tab w:val="right" w:leader="dot" w:pos="9350"/>
            </w:tabs>
            <w:spacing w:before="0" w:after="20"/>
            <w:ind w:left="360"/>
          </w:pPr>
          <w:hyperlink w:anchor="X5ba5244bd4aa4ed243f66c5c4a7df997dd7be44" w:history="1">
            <w:r>
              <w:rPr>
                <w:rFonts w:ascii="Calibri" w:hAnsi="Calibri"/>
                <w:color w:val="222B2A"/>
                <w:sz w:val="18"/>
              </w:rPr>
              <w:t xml:space="preserve">18A.8 Ligne de signalement et contrôles mystère</w:t>
            </w:r>
            <w:r>
              <w:rPr>
                <w:rFonts w:ascii="Calibri" w:hAnsi="Calibri"/>
                <w:sz w:val="18"/>
              </w:rPr>
              <w:tab/>
            </w:r>
            <w:r>
              <w:rPr>
                <w:rFonts w:ascii="Calibri" w:hAnsi="Calibri"/>
                <w:color w:val="222B2A"/>
                <w:sz w:val="18"/>
              </w:rPr>
              <w:t xml:space="preserve">65</w:t>
            </w:r>
          </w:hyperlink>
        </w:p>
        <w:p>
          <w:pPr>
            <w:tabs>
              <w:tab w:val="right" w:leader="dot" w:pos="9350"/>
            </w:tabs>
            <w:spacing w:before="100" w:after="20"/>
            <w:ind w:left="0"/>
          </w:pPr>
          <w:hyperlink w:anchor="quittance-électronique" w:history="1">
            <w:r>
              <w:rPr>
                <w:rFonts w:ascii="Calibri" w:hAnsi="Calibri"/>
                <w:b/>
                <w:color w:val="1BA996"/>
                <w:sz w:val="20"/>
              </w:rPr>
              <w:t xml:space="preserve">19. Quittance électronique</w:t>
            </w:r>
            <w:r>
              <w:rPr>
                <w:rFonts w:ascii="Calibri" w:hAnsi="Calibri"/>
                <w:sz w:val="20"/>
              </w:rPr>
              <w:tab/>
            </w:r>
            <w:r>
              <w:rPr>
                <w:rFonts w:ascii="Calibri" w:hAnsi="Calibri"/>
                <w:b/>
                <w:color w:val="1BA996"/>
                <w:sz w:val="20"/>
              </w:rPr>
              <w:t xml:space="preserve">66</w:t>
            </w:r>
          </w:hyperlink>
        </w:p>
        <w:p>
          <w:pPr>
            <w:tabs>
              <w:tab w:val="right" w:leader="dot" w:pos="9350"/>
            </w:tabs>
            <w:spacing w:before="100" w:after="20"/>
            <w:ind w:left="0"/>
          </w:pPr>
          <w:hyperlink w:anchor="X1d5e198da1f64fe3ffc0cdab99dfa5fe9372293" w:history="1">
            <w:r>
              <w:rPr>
                <w:rFonts w:ascii="Calibri" w:hAnsi="Calibri"/>
                <w:b/>
                <w:color w:val="1BA996"/>
                <w:sz w:val="20"/>
              </w:rPr>
              <w:t xml:space="preserve">19A. Titres, preuves et laissez-passer à durée de validité</w:t>
            </w:r>
            <w:r>
              <w:rPr>
                <w:rFonts w:ascii="Calibri" w:hAnsi="Calibri"/>
                <w:sz w:val="20"/>
              </w:rPr>
              <w:tab/>
            </w:r>
            <w:r>
              <w:rPr>
                <w:rFonts w:ascii="Calibri" w:hAnsi="Calibri"/>
                <w:b/>
                <w:color w:val="1BA996"/>
                <w:sz w:val="20"/>
              </w:rPr>
              <w:t xml:space="preserve">66</w:t>
            </w:r>
          </w:hyperlink>
        </w:p>
        <w:p>
          <w:pPr>
            <w:tabs>
              <w:tab w:val="right" w:leader="dot" w:pos="9350"/>
            </w:tabs>
            <w:spacing w:before="0" w:after="20"/>
            <w:ind w:left="360"/>
          </w:pPr>
          <w:hyperlink w:anchor="X1015e2517110ab006bb74851ce228557f273efe" w:history="1">
            <w:r>
              <w:rPr>
                <w:rFonts w:ascii="Calibri" w:hAnsi="Calibri"/>
                <w:color w:val="222B2A"/>
                <w:sz w:val="18"/>
              </w:rPr>
              <w:t xml:space="preserve">19A.1 Quittance et titre : deux choses différentes</w:t>
            </w:r>
            <w:r>
              <w:rPr>
                <w:rFonts w:ascii="Calibri" w:hAnsi="Calibri"/>
                <w:sz w:val="18"/>
              </w:rPr>
              <w:tab/>
            </w:r>
            <w:r>
              <w:rPr>
                <w:rFonts w:ascii="Calibri" w:hAnsi="Calibri"/>
                <w:color w:val="222B2A"/>
                <w:sz w:val="18"/>
              </w:rPr>
              <w:t xml:space="preserve">66</w:t>
            </w:r>
          </w:hyperlink>
        </w:p>
        <w:p>
          <w:pPr>
            <w:tabs>
              <w:tab w:val="right" w:leader="dot" w:pos="9350"/>
            </w:tabs>
            <w:spacing w:before="0" w:after="20"/>
            <w:ind w:left="360"/>
          </w:pPr>
          <w:hyperlink w:anchor="a.2-statuts-et-code-couleur" w:history="1">
            <w:r>
              <w:rPr>
                <w:rFonts w:ascii="Calibri" w:hAnsi="Calibri"/>
                <w:color w:val="222B2A"/>
                <w:sz w:val="18"/>
              </w:rPr>
              <w:t xml:space="preserve">19A.2 Statuts et code couleur</w:t>
            </w:r>
            <w:r>
              <w:rPr>
                <w:rFonts w:ascii="Calibri" w:hAnsi="Calibri"/>
                <w:sz w:val="18"/>
              </w:rPr>
              <w:tab/>
            </w:r>
            <w:r>
              <w:rPr>
                <w:rFonts w:ascii="Calibri" w:hAnsi="Calibri"/>
                <w:color w:val="222B2A"/>
                <w:sz w:val="18"/>
              </w:rPr>
              <w:t xml:space="preserve">66</w:t>
            </w:r>
          </w:hyperlink>
        </w:p>
        <w:p>
          <w:pPr>
            <w:tabs>
              <w:tab w:val="right" w:leader="dot" w:pos="9350"/>
            </w:tabs>
            <w:spacing w:before="0" w:after="20"/>
            <w:ind w:left="360"/>
          </w:pPr>
          <w:hyperlink w:anchor="a.3-modèles-de-validité" w:history="1">
            <w:r>
              <w:rPr>
                <w:rFonts w:ascii="Calibri" w:hAnsi="Calibri"/>
                <w:color w:val="222B2A"/>
                <w:sz w:val="18"/>
              </w:rPr>
              <w:t xml:space="preserve">19A.3 Modèles de validité</w:t>
            </w:r>
            <w:r>
              <w:rPr>
                <w:rFonts w:ascii="Calibri" w:hAnsi="Calibri"/>
                <w:sz w:val="18"/>
              </w:rPr>
              <w:tab/>
            </w:r>
            <w:r>
              <w:rPr>
                <w:rFonts w:ascii="Calibri" w:hAnsi="Calibri"/>
                <w:color w:val="222B2A"/>
                <w:sz w:val="18"/>
              </w:rPr>
              <w:t xml:space="preserve">67</w:t>
            </w:r>
          </w:hyperlink>
        </w:p>
        <w:p>
          <w:pPr>
            <w:tabs>
              <w:tab w:val="right" w:leader="dot" w:pos="9350"/>
            </w:tabs>
            <w:spacing w:before="0" w:after="20"/>
            <w:ind w:left="360"/>
          </w:pPr>
          <w:hyperlink w:anchor="Xccf30489f09a09b2052629c2ba7485b58908f42" w:history="1">
            <w:r>
              <w:rPr>
                <w:rFonts w:ascii="Calibri" w:hAnsi="Calibri"/>
                <w:color w:val="222B2A"/>
                <w:sz w:val="18"/>
              </w:rPr>
              <w:t xml:space="preserve">19A.4 Catalogue des titres et mécanismes par module</w:t>
            </w:r>
            <w:r>
              <w:rPr>
                <w:rFonts w:ascii="Calibri" w:hAnsi="Calibri"/>
                <w:sz w:val="18"/>
              </w:rPr>
              <w:tab/>
            </w:r>
            <w:r>
              <w:rPr>
                <w:rFonts w:ascii="Calibri" w:hAnsi="Calibri"/>
                <w:color w:val="222B2A"/>
                <w:sz w:val="18"/>
              </w:rPr>
              <w:t xml:space="preserve">67</w:t>
            </w:r>
          </w:hyperlink>
        </w:p>
        <w:p>
          <w:pPr>
            <w:tabs>
              <w:tab w:val="right" w:leader="dot" w:pos="9350"/>
            </w:tabs>
            <w:spacing w:before="0" w:after="20"/>
            <w:ind w:left="360"/>
          </w:pPr>
          <w:hyperlink w:anchor="a.5-le-qr-et-les-autres-supports" w:history="1">
            <w:r>
              <w:rPr>
                <w:rFonts w:ascii="Calibri" w:hAnsi="Calibri"/>
                <w:color w:val="222B2A"/>
                <w:sz w:val="18"/>
              </w:rPr>
              <w:t xml:space="preserve">19A.5 Le QR et les autres supports</w:t>
            </w:r>
            <w:r>
              <w:rPr>
                <w:rFonts w:ascii="Calibri" w:hAnsi="Calibri"/>
                <w:sz w:val="18"/>
              </w:rPr>
              <w:tab/>
            </w:r>
            <w:r>
              <w:rPr>
                <w:rFonts w:ascii="Calibri" w:hAnsi="Calibri"/>
                <w:color w:val="222B2A"/>
                <w:sz w:val="18"/>
              </w:rPr>
              <w:t xml:space="preserve">68</w:t>
            </w:r>
          </w:hyperlink>
        </w:p>
        <w:p>
          <w:pPr>
            <w:tabs>
              <w:tab w:val="right" w:leader="dot" w:pos="9350"/>
            </w:tabs>
            <w:spacing w:before="0" w:after="20"/>
            <w:ind w:left="360"/>
          </w:pPr>
          <w:hyperlink w:anchor="a.6-temps-contrôle-et-hors-ligne" w:history="1">
            <w:r>
              <w:rPr>
                <w:rFonts w:ascii="Calibri" w:hAnsi="Calibri"/>
                <w:color w:val="222B2A"/>
                <w:sz w:val="18"/>
              </w:rPr>
              <w:t xml:space="preserve">19A.6 Temps, contrôle et hors-ligne</w:t>
            </w:r>
            <w:r>
              <w:rPr>
                <w:rFonts w:ascii="Calibri" w:hAnsi="Calibri"/>
                <w:sz w:val="18"/>
              </w:rPr>
              <w:tab/>
            </w:r>
            <w:r>
              <w:rPr>
                <w:rFonts w:ascii="Calibri" w:hAnsi="Calibri"/>
                <w:color w:val="222B2A"/>
                <w:sz w:val="18"/>
              </w:rPr>
              <w:t xml:space="preserve">68</w:t>
            </w:r>
          </w:hyperlink>
        </w:p>
        <w:p>
          <w:pPr>
            <w:tabs>
              <w:tab w:val="right" w:leader="dot" w:pos="9350"/>
            </w:tabs>
            <w:spacing w:before="0" w:after="20"/>
            <w:ind w:left="360"/>
          </w:pPr>
          <w:hyperlink w:anchor="a.7-cycle-de-vie-dun-titre" w:history="1">
            <w:r>
              <w:rPr>
                <w:rFonts w:ascii="Calibri" w:hAnsi="Calibri"/>
                <w:color w:val="222B2A"/>
                <w:sz w:val="18"/>
              </w:rPr>
              <w:t xml:space="preserve">19A.7 Cycle de vie d’un titre</w:t>
            </w:r>
            <w:r>
              <w:rPr>
                <w:rFonts w:ascii="Calibri" w:hAnsi="Calibri"/>
                <w:sz w:val="18"/>
              </w:rPr>
              <w:tab/>
            </w:r>
            <w:r>
              <w:rPr>
                <w:rFonts w:ascii="Calibri" w:hAnsi="Calibri"/>
                <w:color w:val="222B2A"/>
                <w:sz w:val="18"/>
              </w:rPr>
              <w:t xml:space="preserve">69</w:t>
            </w:r>
          </w:hyperlink>
        </w:p>
        <w:p>
          <w:pPr>
            <w:tabs>
              <w:tab w:val="right" w:leader="dot" w:pos="9350"/>
            </w:tabs>
            <w:spacing w:before="100" w:after="20"/>
            <w:ind w:left="0"/>
          </w:pPr>
          <w:hyperlink w:anchor="rapprochement" w:history="1">
            <w:r>
              <w:rPr>
                <w:rFonts w:ascii="Calibri" w:hAnsi="Calibri"/>
                <w:b/>
                <w:color w:val="1BA996"/>
                <w:sz w:val="20"/>
              </w:rPr>
              <w:t xml:space="preserve">20. Rapprochement</w:t>
            </w:r>
            <w:r>
              <w:rPr>
                <w:rFonts w:ascii="Calibri" w:hAnsi="Calibri"/>
                <w:sz w:val="20"/>
              </w:rPr>
              <w:tab/>
            </w:r>
            <w:r>
              <w:rPr>
                <w:rFonts w:ascii="Calibri" w:hAnsi="Calibri"/>
                <w:b/>
                <w:color w:val="1BA996"/>
                <w:sz w:val="20"/>
              </w:rPr>
              <w:t xml:space="preserve">69</w:t>
            </w:r>
          </w:hyperlink>
        </w:p>
        <w:p>
          <w:pPr>
            <w:tabs>
              <w:tab w:val="right" w:leader="dot" w:pos="9350"/>
            </w:tabs>
            <w:spacing w:before="0" w:after="20"/>
            <w:ind w:left="360"/>
          </w:pPr>
          <w:hyperlink w:anchor="X4eb9efb5f6e60757db8da35ba266df628677d63" w:history="1">
            <w:r>
              <w:rPr>
                <w:rFonts w:ascii="Calibri" w:hAnsi="Calibri"/>
                <w:color w:val="222B2A"/>
                <w:sz w:val="18"/>
              </w:rPr>
              <w:t xml:space="preserve">20.1 Grand livre public à double entrée (Public Financial Ledger)</w:t>
            </w:r>
            <w:r>
              <w:rPr>
                <w:rFonts w:ascii="Calibri" w:hAnsi="Calibri"/>
                <w:sz w:val="18"/>
              </w:rPr>
              <w:tab/>
            </w:r>
            <w:r>
              <w:rPr>
                <w:rFonts w:ascii="Calibri" w:hAnsi="Calibri"/>
                <w:color w:val="222B2A"/>
                <w:sz w:val="18"/>
              </w:rPr>
              <w:t xml:space="preserve">70</w:t>
            </w:r>
          </w:hyperlink>
        </w:p>
        <w:p>
          <w:pPr>
            <w:tabs>
              <w:tab w:val="right" w:leader="dot" w:pos="9350"/>
            </w:tabs>
            <w:spacing w:before="100" w:after="20"/>
            <w:ind w:left="0"/>
          </w:pPr>
          <w:hyperlink w:anchor="recouvrement-et-exécution" w:history="1">
            <w:r>
              <w:rPr>
                <w:rFonts w:ascii="Calibri" w:hAnsi="Calibri"/>
                <w:b/>
                <w:color w:val="1BA996"/>
                <w:sz w:val="20"/>
              </w:rPr>
              <w:t xml:space="preserve">21. Recouvrement et exécution</w:t>
            </w:r>
            <w:r>
              <w:rPr>
                <w:rFonts w:ascii="Calibri" w:hAnsi="Calibri"/>
                <w:sz w:val="20"/>
              </w:rPr>
              <w:tab/>
            </w:r>
            <w:r>
              <w:rPr>
                <w:rFonts w:ascii="Calibri" w:hAnsi="Calibri"/>
                <w:b/>
                <w:color w:val="1BA996"/>
                <w:sz w:val="20"/>
              </w:rPr>
              <w:t xml:space="preserve">70</w:t>
            </w:r>
          </w:hyperlink>
        </w:p>
        <w:p>
          <w:pPr>
            <w:tabs>
              <w:tab w:val="right" w:leader="dot" w:pos="9350"/>
            </w:tabs>
            <w:spacing w:before="0" w:after="20"/>
            <w:ind w:left="360"/>
          </w:pPr>
          <w:hyperlink w:anchor="segmentation-et-pilotage-des-arriérés" w:history="1">
            <w:r>
              <w:rPr>
                <w:rFonts w:ascii="Calibri" w:hAnsi="Calibri"/>
                <w:color w:val="222B2A"/>
                <w:sz w:val="18"/>
              </w:rPr>
              <w:t xml:space="preserve">21.1 Segmentation et pilotage des arriérés</w:t>
            </w:r>
            <w:r>
              <w:rPr>
                <w:rFonts w:ascii="Calibri" w:hAnsi="Calibri"/>
                <w:sz w:val="18"/>
              </w:rPr>
              <w:tab/>
            </w:r>
            <w:r>
              <w:rPr>
                <w:rFonts w:ascii="Calibri" w:hAnsi="Calibri"/>
                <w:color w:val="222B2A"/>
                <w:sz w:val="18"/>
              </w:rPr>
              <w:t xml:space="preserve">70</w:t>
            </w:r>
          </w:hyperlink>
        </w:p>
        <w:p>
          <w:pPr>
            <w:tabs>
              <w:tab w:val="right" w:leader="dot" w:pos="9350"/>
            </w:tabs>
            <w:spacing w:before="0" w:after="20"/>
            <w:ind w:left="360"/>
          </w:pPr>
          <w:hyperlink w:anchor="recouvrement-équitable-par-segment" w:history="1">
            <w:r>
              <w:rPr>
                <w:rFonts w:ascii="Calibri" w:hAnsi="Calibri"/>
                <w:color w:val="222B2A"/>
                <w:sz w:val="18"/>
              </w:rPr>
              <w:t xml:space="preserve">21.2 Recouvrement équitable par segment</w:t>
            </w:r>
            <w:r>
              <w:rPr>
                <w:rFonts w:ascii="Calibri" w:hAnsi="Calibri"/>
                <w:sz w:val="18"/>
              </w:rPr>
              <w:tab/>
            </w:r>
            <w:r>
              <w:rPr>
                <w:rFonts w:ascii="Calibri" w:hAnsi="Calibri"/>
                <w:color w:val="222B2A"/>
                <w:sz w:val="18"/>
              </w:rPr>
              <w:t xml:space="preserve">71</w:t>
            </w:r>
          </w:hyperlink>
        </w:p>
        <w:p>
          <w:pPr>
            <w:tabs>
              <w:tab w:val="right" w:leader="dot" w:pos="9350"/>
            </w:tabs>
            <w:spacing w:before="100" w:after="20"/>
            <w:ind w:left="0"/>
          </w:pPr>
          <w:hyperlink w:anchor="recours-et-droits-du-contribuable" w:history="1">
            <w:r>
              <w:rPr>
                <w:rFonts w:ascii="Calibri" w:hAnsi="Calibri"/>
                <w:b/>
                <w:color w:val="1BA996"/>
                <w:sz w:val="20"/>
              </w:rPr>
              <w:t xml:space="preserve">22. Recours et droits du contribuable</w:t>
            </w:r>
            <w:r>
              <w:rPr>
                <w:rFonts w:ascii="Calibri" w:hAnsi="Calibri"/>
                <w:sz w:val="20"/>
              </w:rPr>
              <w:tab/>
            </w:r>
            <w:r>
              <w:rPr>
                <w:rFonts w:ascii="Calibri" w:hAnsi="Calibri"/>
                <w:b/>
                <w:color w:val="1BA996"/>
                <w:sz w:val="20"/>
              </w:rPr>
              <w:t xml:space="preserve">71</w:t>
            </w:r>
          </w:hyperlink>
        </w:p>
        <w:p>
          <w:pPr>
            <w:tabs>
              <w:tab w:val="right" w:leader="dot" w:pos="9350"/>
            </w:tabs>
            <w:spacing w:before="0" w:after="20"/>
            <w:ind w:left="360"/>
          </w:pPr>
          <w:hyperlink w:anchor="Xb074c9d090b79eb69785271ae4e1fa6bc88810a" w:history="1">
            <w:r>
              <w:rPr>
                <w:rFonts w:ascii="Calibri" w:hAnsi="Calibri"/>
                <w:color w:val="222B2A"/>
                <w:sz w:val="18"/>
              </w:rPr>
              <w:t xml:space="preserve">22.1 Workflow des contestations, recours, exonérations et corrections</w:t>
            </w:r>
            <w:r>
              <w:rPr>
                <w:rFonts w:ascii="Calibri" w:hAnsi="Calibri"/>
                <w:sz w:val="18"/>
              </w:rPr>
              <w:tab/>
            </w:r>
            <w:r>
              <w:rPr>
                <w:rFonts w:ascii="Calibri" w:hAnsi="Calibri"/>
                <w:color w:val="222B2A"/>
                <w:sz w:val="18"/>
              </w:rPr>
              <w:t xml:space="preserve">71</w:t>
            </w:r>
          </w:hyperlink>
        </w:p>
        <w:p>
          <w:pPr>
            <w:tabs>
              <w:tab w:val="right" w:leader="dot" w:pos="9350"/>
            </w:tabs>
            <w:spacing w:before="100" w:after="20"/>
            <w:ind w:left="0"/>
          </w:pPr>
          <w:hyperlink w:anchor="Xffaa8886a3c8f9c5cd6a9b1edac510bf94ddbe2" w:history="1">
            <w:r>
              <w:rPr>
                <w:rFonts w:ascii="Calibri" w:hAnsi="Calibri"/>
                <w:b/>
                <w:color w:val="1BA996"/>
                <w:sz w:val="20"/>
              </w:rPr>
              <w:t xml:space="preserve">23. Architecture des agents d'intelligence artificielle</w:t>
            </w:r>
            <w:r>
              <w:rPr>
                <w:rFonts w:ascii="Calibri" w:hAnsi="Calibri"/>
                <w:sz w:val="20"/>
              </w:rPr>
              <w:tab/>
            </w:r>
            <w:r>
              <w:rPr>
                <w:rFonts w:ascii="Calibri" w:hAnsi="Calibri"/>
                <w:b/>
                <w:color w:val="1BA996"/>
                <w:sz w:val="20"/>
              </w:rPr>
              <w:t xml:space="preserve">71</w:t>
            </w:r>
          </w:hyperlink>
        </w:p>
        <w:p>
          <w:pPr>
            <w:tabs>
              <w:tab w:val="right" w:leader="dot" w:pos="9350"/>
            </w:tabs>
            <w:spacing w:before="0" w:after="20"/>
            <w:ind w:left="360"/>
          </w:pPr>
          <w:hyperlink w:anchor="gouvernance-des-modèles" w:history="1">
            <w:r>
              <w:rPr>
                <w:rFonts w:ascii="Calibri" w:hAnsi="Calibri"/>
                <w:color w:val="222B2A"/>
                <w:sz w:val="18"/>
              </w:rPr>
              <w:t xml:space="preserve">23.1 Gouvernance des modèles</w:t>
            </w:r>
            <w:r>
              <w:rPr>
                <w:rFonts w:ascii="Calibri" w:hAnsi="Calibri"/>
                <w:sz w:val="18"/>
              </w:rPr>
              <w:tab/>
            </w:r>
            <w:r>
              <w:rPr>
                <w:rFonts w:ascii="Calibri" w:hAnsi="Calibri"/>
                <w:color w:val="222B2A"/>
                <w:sz w:val="18"/>
              </w:rPr>
              <w:t xml:space="preserve">72</w:t>
            </w:r>
          </w:hyperlink>
        </w:p>
        <w:p>
          <w:pPr>
            <w:tabs>
              <w:tab w:val="right" w:leader="dot" w:pos="9350"/>
            </w:tabs>
            <w:spacing w:before="100" w:after="20"/>
            <w:ind w:left="0"/>
          </w:pPr>
          <w:hyperlink w:anchor="Xb68dec3409a3c7d9cb99c26da27dd05b38bdf59" w:history="1">
            <w:r>
              <w:rPr>
                <w:rFonts w:ascii="Calibri" w:hAnsi="Calibri"/>
                <w:b/>
                <w:color w:val="1BA996"/>
                <w:sz w:val="20"/>
              </w:rPr>
              <w:t xml:space="preserve">24. Apprentissage des utilisateurs et environnement de travail</w:t>
            </w:r>
            <w:r>
              <w:rPr>
                <w:rFonts w:ascii="Calibri" w:hAnsi="Calibri"/>
                <w:sz w:val="20"/>
              </w:rPr>
              <w:tab/>
            </w:r>
            <w:r>
              <w:rPr>
                <w:rFonts w:ascii="Calibri" w:hAnsi="Calibri"/>
                <w:b/>
                <w:color w:val="1BA996"/>
                <w:sz w:val="20"/>
              </w:rPr>
              <w:t xml:space="preserve">73</w:t>
            </w:r>
          </w:hyperlink>
        </w:p>
        <w:p>
          <w:pPr>
            <w:tabs>
              <w:tab w:val="right" w:leader="dot" w:pos="9350"/>
            </w:tabs>
            <w:spacing w:before="100" w:after="20"/>
            <w:ind w:left="0"/>
          </w:pPr>
          <w:hyperlink w:anchor="Xf3a60cd30f45fcf2de3d46ce1ee2b7820e24895" w:history="1">
            <w:r>
              <w:rPr>
                <w:rFonts w:ascii="Calibri" w:hAnsi="Calibri"/>
                <w:b/>
                <w:color w:val="1BA996"/>
                <w:sz w:val="20"/>
              </w:rPr>
              <w:t xml:space="preserve">25. Prévention de la fraude et de la déperdition</w:t>
            </w:r>
            <w:r>
              <w:rPr>
                <w:rFonts w:ascii="Calibri" w:hAnsi="Calibri"/>
                <w:sz w:val="20"/>
              </w:rPr>
              <w:tab/>
            </w:r>
            <w:r>
              <w:rPr>
                <w:rFonts w:ascii="Calibri" w:hAnsi="Calibri"/>
                <w:b/>
                <w:color w:val="1BA996"/>
                <w:sz w:val="20"/>
              </w:rPr>
              <w:t xml:space="preserve">73</w:t>
            </w:r>
          </w:hyperlink>
        </w:p>
        <w:p>
          <w:pPr>
            <w:tabs>
              <w:tab w:val="right" w:leader="dot" w:pos="9350"/>
            </w:tabs>
            <w:spacing w:before="0" w:after="20"/>
            <w:ind w:left="360"/>
          </w:pPr>
          <w:hyperlink w:anchor="socle-technique-dintégrité" w:history="1">
            <w:r>
              <w:rPr>
                <w:rFonts w:ascii="Calibri" w:hAnsi="Calibri"/>
                <w:color w:val="222B2A"/>
                <w:sz w:val="18"/>
              </w:rPr>
              <w:t xml:space="preserve">25.1 Socle technique d'intégrité</w:t>
            </w:r>
            <w:r>
              <w:rPr>
                <w:rFonts w:ascii="Calibri" w:hAnsi="Calibri"/>
                <w:sz w:val="18"/>
              </w:rPr>
              <w:tab/>
            </w:r>
            <w:r>
              <w:rPr>
                <w:rFonts w:ascii="Calibri" w:hAnsi="Calibri"/>
                <w:color w:val="222B2A"/>
                <w:sz w:val="18"/>
              </w:rPr>
              <w:t xml:space="preserve">74</w:t>
            </w:r>
          </w:hyperlink>
        </w:p>
        <w:p>
          <w:pPr>
            <w:tabs>
              <w:tab w:val="right" w:leader="dot" w:pos="9350"/>
            </w:tabs>
            <w:spacing w:before="100" w:after="20"/>
            <w:ind w:left="0"/>
          </w:pPr>
          <w:hyperlink w:anchor="tableaux-de-bord" w:history="1">
            <w:r>
              <w:rPr>
                <w:rFonts w:ascii="Calibri" w:hAnsi="Calibri"/>
                <w:b/>
                <w:color w:val="1BA996"/>
                <w:sz w:val="20"/>
              </w:rPr>
              <w:t xml:space="preserve">26. Tableaux de bord</w:t>
            </w:r>
            <w:r>
              <w:rPr>
                <w:rFonts w:ascii="Calibri" w:hAnsi="Calibri"/>
                <w:sz w:val="20"/>
              </w:rPr>
              <w:tab/>
            </w:r>
            <w:r>
              <w:rPr>
                <w:rFonts w:ascii="Calibri" w:hAnsi="Calibri"/>
                <w:b/>
                <w:color w:val="1BA996"/>
                <w:sz w:val="20"/>
              </w:rPr>
              <w:t xml:space="preserve">75</w:t>
            </w:r>
          </w:hyperlink>
        </w:p>
        <w:p>
          <w:pPr>
            <w:tabs>
              <w:tab w:val="right" w:leader="dot" w:pos="9350"/>
            </w:tabs>
            <w:spacing w:before="0" w:after="20"/>
            <w:ind w:left="360"/>
          </w:pPr>
          <w:hyperlink w:anchor="tableau-de-bord-du-gouverneur" w:history="1">
            <w:r>
              <w:rPr>
                <w:rFonts w:ascii="Calibri" w:hAnsi="Calibri"/>
                <w:color w:val="222B2A"/>
                <w:sz w:val="18"/>
              </w:rPr>
              <w:t xml:space="preserve">26.1 Tableau de bord du Gouverneur</w:t>
            </w:r>
            <w:r>
              <w:rPr>
                <w:rFonts w:ascii="Calibri" w:hAnsi="Calibri"/>
                <w:sz w:val="18"/>
              </w:rPr>
              <w:tab/>
            </w:r>
            <w:r>
              <w:rPr>
                <w:rFonts w:ascii="Calibri" w:hAnsi="Calibri"/>
                <w:color w:val="222B2A"/>
                <w:sz w:val="18"/>
              </w:rPr>
              <w:t xml:space="preserve">75</w:t>
            </w:r>
          </w:hyperlink>
        </w:p>
        <w:p>
          <w:pPr>
            <w:tabs>
              <w:tab w:val="right" w:leader="dot" w:pos="9350"/>
            </w:tabs>
            <w:spacing w:before="0" w:after="20"/>
            <w:ind w:left="360"/>
          </w:pPr>
          <w:hyperlink w:anchor="autres-tableaux-de-bord" w:history="1">
            <w:r>
              <w:rPr>
                <w:rFonts w:ascii="Calibri" w:hAnsi="Calibri"/>
                <w:color w:val="222B2A"/>
                <w:sz w:val="18"/>
              </w:rPr>
              <w:t xml:space="preserve">26.2 Autres tableaux de bord</w:t>
            </w:r>
            <w:r>
              <w:rPr>
                <w:rFonts w:ascii="Calibri" w:hAnsi="Calibri"/>
                <w:sz w:val="18"/>
              </w:rPr>
              <w:tab/>
            </w:r>
            <w:r>
              <w:rPr>
                <w:rFonts w:ascii="Calibri" w:hAnsi="Calibri"/>
                <w:color w:val="222B2A"/>
                <w:sz w:val="18"/>
              </w:rPr>
              <w:t xml:space="preserve">76</w:t>
            </w:r>
          </w:hyperlink>
        </w:p>
        <w:p>
          <w:pPr>
            <w:tabs>
              <w:tab w:val="right" w:leader="dot" w:pos="9350"/>
            </w:tabs>
            <w:spacing w:before="100" w:after="20"/>
            <w:ind w:left="0"/>
          </w:pPr>
          <w:hyperlink w:anchor="X4aef5093910a2055244cca3a1961d2dd0246d2c" w:history="1">
            <w:r>
              <w:rPr>
                <w:rFonts w:ascii="Calibri" w:hAnsi="Calibri"/>
                <w:b/>
                <w:color w:val="1BA996"/>
                <w:sz w:val="20"/>
              </w:rPr>
              <w:t xml:space="preserve">27. Affectation des recettes et planification de l'investissement public</w:t>
            </w:r>
            <w:r>
              <w:rPr>
                <w:rFonts w:ascii="Calibri" w:hAnsi="Calibri"/>
                <w:sz w:val="20"/>
              </w:rPr>
              <w:tab/>
            </w:r>
            <w:r>
              <w:rPr>
                <w:rFonts w:ascii="Calibri" w:hAnsi="Calibri"/>
                <w:b/>
                <w:color w:val="1BA996"/>
                <w:sz w:val="20"/>
              </w:rPr>
              <w:t xml:space="preserve">76</w:t>
            </w:r>
          </w:hyperlink>
        </w:p>
        <w:p>
          <w:pPr>
            <w:tabs>
              <w:tab w:val="right" w:leader="dot" w:pos="9350"/>
            </w:tabs>
            <w:spacing w:before="0" w:after="20"/>
            <w:ind w:left="360"/>
          </w:pPr>
          <w:hyperlink w:anchor="règles-daffectation" w:history="1">
            <w:r>
              <w:rPr>
                <w:rFonts w:ascii="Calibri" w:hAnsi="Calibri"/>
                <w:color w:val="222B2A"/>
                <w:sz w:val="18"/>
              </w:rPr>
              <w:t xml:space="preserve">27.1 Règles d'affectation</w:t>
            </w:r>
            <w:r>
              <w:rPr>
                <w:rFonts w:ascii="Calibri" w:hAnsi="Calibri"/>
                <w:sz w:val="18"/>
              </w:rPr>
              <w:tab/>
            </w:r>
            <w:r>
              <w:rPr>
                <w:rFonts w:ascii="Calibri" w:hAnsi="Calibri"/>
                <w:color w:val="222B2A"/>
                <w:sz w:val="18"/>
              </w:rPr>
              <w:t xml:space="preserve">76</w:t>
            </w:r>
          </w:hyperlink>
        </w:p>
        <w:p>
          <w:pPr>
            <w:tabs>
              <w:tab w:val="right" w:leader="dot" w:pos="9350"/>
            </w:tabs>
            <w:spacing w:before="0" w:after="20"/>
            <w:ind w:left="360"/>
          </w:pPr>
          <w:hyperlink w:anchor="recommandation-demploi-des-fonds" w:history="1">
            <w:r>
              <w:rPr>
                <w:rFonts w:ascii="Calibri" w:hAnsi="Calibri"/>
                <w:color w:val="222B2A"/>
                <w:sz w:val="18"/>
              </w:rPr>
              <w:t xml:space="preserve">27.2 Recommandation d'emploi des fonds</w:t>
            </w:r>
            <w:r>
              <w:rPr>
                <w:rFonts w:ascii="Calibri" w:hAnsi="Calibri"/>
                <w:sz w:val="18"/>
              </w:rPr>
              <w:tab/>
            </w:r>
            <w:r>
              <w:rPr>
                <w:rFonts w:ascii="Calibri" w:hAnsi="Calibri"/>
                <w:color w:val="222B2A"/>
                <w:sz w:val="18"/>
              </w:rPr>
              <w:t xml:space="preserve">77</w:t>
            </w:r>
          </w:hyperlink>
        </w:p>
        <w:p>
          <w:pPr>
            <w:tabs>
              <w:tab w:val="right" w:leader="dot" w:pos="9350"/>
            </w:tabs>
            <w:spacing w:before="0" w:after="20"/>
            <w:ind w:left="360"/>
          </w:pPr>
          <w:hyperlink w:anchor="transparence" w:history="1">
            <w:r>
              <w:rPr>
                <w:rFonts w:ascii="Calibri" w:hAnsi="Calibri"/>
                <w:color w:val="222B2A"/>
                <w:sz w:val="18"/>
              </w:rPr>
              <w:t xml:space="preserve">27.3 Transparence</w:t>
            </w:r>
            <w:r>
              <w:rPr>
                <w:rFonts w:ascii="Calibri" w:hAnsi="Calibri"/>
                <w:sz w:val="18"/>
              </w:rPr>
              <w:tab/>
            </w:r>
            <w:r>
              <w:rPr>
                <w:rFonts w:ascii="Calibri" w:hAnsi="Calibri"/>
                <w:color w:val="222B2A"/>
                <w:sz w:val="18"/>
              </w:rPr>
              <w:t xml:space="preserve">77</w:t>
            </w:r>
          </w:hyperlink>
        </w:p>
        <w:p>
          <w:pPr>
            <w:tabs>
              <w:tab w:val="right" w:leader="dot" w:pos="9350"/>
            </w:tabs>
            <w:spacing w:before="100" w:after="20"/>
            <w:ind w:left="0"/>
          </w:pPr>
          <w:hyperlink w:anchor="Xf31cd15f3a7b787d8ef284303343aef656b1b96" w:history="1">
            <w:r>
              <w:rPr>
                <w:rFonts w:ascii="Calibri" w:hAnsi="Calibri"/>
                <w:b/>
                <w:color w:val="1BA996"/>
                <w:sz w:val="20"/>
              </w:rPr>
              <w:t xml:space="preserve">27A. Contrôle de la dépense publique et des comptes publics (module CALCU)</w:t>
            </w:r>
            <w:r>
              <w:rPr>
                <w:rFonts w:ascii="Calibri" w:hAnsi="Calibri"/>
                <w:sz w:val="20"/>
              </w:rPr>
              <w:tab/>
            </w:r>
            <w:r>
              <w:rPr>
                <w:rFonts w:ascii="Calibri" w:hAnsi="Calibri"/>
                <w:b/>
                <w:color w:val="1BA996"/>
                <w:sz w:val="20"/>
              </w:rPr>
              <w:t xml:space="preserve">77</w:t>
            </w:r>
          </w:hyperlink>
        </w:p>
        <w:p>
          <w:pPr>
            <w:tabs>
              <w:tab w:val="right" w:leader="dot" w:pos="9350"/>
            </w:tabs>
            <w:spacing w:before="0" w:after="20"/>
            <w:ind w:left="360"/>
          </w:pPr>
          <w:hyperlink w:anchor="a.1-problèmes-et-objectifs" w:history="1">
            <w:r>
              <w:rPr>
                <w:rFonts w:ascii="Calibri" w:hAnsi="Calibri"/>
                <w:color w:val="222B2A"/>
                <w:sz w:val="18"/>
              </w:rPr>
              <w:t xml:space="preserve">27A.1 Problèmes et objectifs</w:t>
            </w:r>
            <w:r>
              <w:rPr>
                <w:rFonts w:ascii="Calibri" w:hAnsi="Calibri"/>
                <w:sz w:val="18"/>
              </w:rPr>
              <w:tab/>
            </w:r>
            <w:r>
              <w:rPr>
                <w:rFonts w:ascii="Calibri" w:hAnsi="Calibri"/>
                <w:color w:val="222B2A"/>
                <w:sz w:val="18"/>
              </w:rPr>
              <w:t xml:space="preserve">77</w:t>
            </w:r>
          </w:hyperlink>
        </w:p>
        <w:p>
          <w:pPr>
            <w:tabs>
              <w:tab w:val="right" w:leader="dot" w:pos="9350"/>
            </w:tabs>
            <w:spacing w:before="0" w:after="20"/>
            <w:ind w:left="360"/>
          </w:pPr>
          <w:hyperlink w:anchor="a.2-registre-des-comptes-publics" w:history="1">
            <w:r>
              <w:rPr>
                <w:rFonts w:ascii="Calibri" w:hAnsi="Calibri"/>
                <w:color w:val="222B2A"/>
                <w:sz w:val="18"/>
              </w:rPr>
              <w:t xml:space="preserve">27A.2 Registre des comptes publics</w:t>
            </w:r>
            <w:r>
              <w:rPr>
                <w:rFonts w:ascii="Calibri" w:hAnsi="Calibri"/>
                <w:sz w:val="18"/>
              </w:rPr>
              <w:tab/>
            </w:r>
            <w:r>
              <w:rPr>
                <w:rFonts w:ascii="Calibri" w:hAnsi="Calibri"/>
                <w:color w:val="222B2A"/>
                <w:sz w:val="18"/>
              </w:rPr>
              <w:t xml:space="preserve">77</w:t>
            </w:r>
          </w:hyperlink>
        </w:p>
        <w:p>
          <w:pPr>
            <w:tabs>
              <w:tab w:val="right" w:leader="dot" w:pos="9350"/>
            </w:tabs>
            <w:spacing w:before="0" w:after="20"/>
            <w:ind w:left="360"/>
          </w:pPr>
          <w:hyperlink w:anchor="a.3-interconnexion-bancaire" w:history="1">
            <w:r>
              <w:rPr>
                <w:rFonts w:ascii="Calibri" w:hAnsi="Calibri"/>
                <w:color w:val="222B2A"/>
                <w:sz w:val="18"/>
              </w:rPr>
              <w:t xml:space="preserve">27A.3 Interconnexion bancaire</w:t>
            </w:r>
            <w:r>
              <w:rPr>
                <w:rFonts w:ascii="Calibri" w:hAnsi="Calibri"/>
                <w:sz w:val="18"/>
              </w:rPr>
              <w:tab/>
            </w:r>
            <w:r>
              <w:rPr>
                <w:rFonts w:ascii="Calibri" w:hAnsi="Calibri"/>
                <w:color w:val="222B2A"/>
                <w:sz w:val="18"/>
              </w:rPr>
              <w:t xml:space="preserve">78</w:t>
            </w:r>
          </w:hyperlink>
        </w:p>
        <w:p>
          <w:pPr>
            <w:tabs>
              <w:tab w:val="right" w:leader="dot" w:pos="9350"/>
            </w:tabs>
            <w:spacing w:before="0" w:after="20"/>
            <w:ind w:left="360"/>
          </w:pPr>
          <w:hyperlink w:anchor="X900dac187f1d2f15279e6f0b25aa988e3ecba6f" w:history="1">
            <w:r>
              <w:rPr>
                <w:rFonts w:ascii="Calibri" w:hAnsi="Calibri"/>
                <w:color w:val="222B2A"/>
                <w:sz w:val="18"/>
              </w:rPr>
              <w:t xml:space="preserve">27A.4 Justificatifs numériques et moteur de correspondance</w:t>
            </w:r>
            <w:r>
              <w:rPr>
                <w:rFonts w:ascii="Calibri" w:hAnsi="Calibri"/>
                <w:sz w:val="18"/>
              </w:rPr>
              <w:tab/>
            </w:r>
            <w:r>
              <w:rPr>
                <w:rFonts w:ascii="Calibri" w:hAnsi="Calibri"/>
                <w:color w:val="222B2A"/>
                <w:sz w:val="18"/>
              </w:rPr>
              <w:t xml:space="preserve">78</w:t>
            </w:r>
          </w:hyperlink>
        </w:p>
        <w:p>
          <w:pPr>
            <w:tabs>
              <w:tab w:val="right" w:leader="dot" w:pos="9350"/>
            </w:tabs>
            <w:spacing w:before="0" w:after="20"/>
            <w:ind w:left="360"/>
          </w:pPr>
          <w:hyperlink w:anchor="X3d587ea9b9b04ff9ae35a63a7ccf2dc15c74705" w:history="1">
            <w:r>
              <w:rPr>
                <w:rFonts w:ascii="Calibri" w:hAnsi="Calibri"/>
                <w:color w:val="222B2A"/>
                <w:sz w:val="18"/>
              </w:rPr>
              <w:t xml:space="preserve">27A.5 Pouvoirs de l’organe de contrôle et tableaux de bord</w:t>
            </w:r>
            <w:r>
              <w:rPr>
                <w:rFonts w:ascii="Calibri" w:hAnsi="Calibri"/>
                <w:sz w:val="18"/>
              </w:rPr>
              <w:tab/>
            </w:r>
            <w:r>
              <w:rPr>
                <w:rFonts w:ascii="Calibri" w:hAnsi="Calibri"/>
                <w:color w:val="222B2A"/>
                <w:sz w:val="18"/>
              </w:rPr>
              <w:t xml:space="preserve">78</w:t>
            </w:r>
          </w:hyperlink>
        </w:p>
        <w:p>
          <w:pPr>
            <w:tabs>
              <w:tab w:val="right" w:leader="dot" w:pos="9350"/>
            </w:tabs>
            <w:spacing w:before="0" w:after="20"/>
            <w:ind w:left="360"/>
          </w:pPr>
          <w:hyperlink w:anchor="X9684aff07157dc93f03163ca8244071f50d324b" w:history="1">
            <w:r>
              <w:rPr>
                <w:rFonts w:ascii="Calibri" w:hAnsi="Calibri"/>
                <w:color w:val="222B2A"/>
                <w:sz w:val="18"/>
              </w:rPr>
              <w:t xml:space="preserve">27A.6 Sécurité, cadre juridique et déploiement</w:t>
            </w:r>
            <w:r>
              <w:rPr>
                <w:rFonts w:ascii="Calibri" w:hAnsi="Calibri"/>
                <w:sz w:val="18"/>
              </w:rPr>
              <w:tab/>
            </w:r>
            <w:r>
              <w:rPr>
                <w:rFonts w:ascii="Calibri" w:hAnsi="Calibri"/>
                <w:color w:val="222B2A"/>
                <w:sz w:val="18"/>
              </w:rPr>
              <w:t xml:space="preserve">78</w:t>
            </w:r>
          </w:hyperlink>
        </w:p>
        <w:p>
          <w:pPr>
            <w:tabs>
              <w:tab w:val="right" w:leader="dot" w:pos="9350"/>
            </w:tabs>
            <w:spacing w:before="100" w:after="20"/>
            <w:ind w:left="0"/>
          </w:pPr>
          <w:hyperlink w:anchor="architecture-technique" w:history="1">
            <w:r>
              <w:rPr>
                <w:rFonts w:ascii="Calibri" w:hAnsi="Calibri"/>
                <w:b/>
                <w:color w:val="1BA996"/>
                <w:sz w:val="20"/>
              </w:rPr>
              <w:t xml:space="preserve">28. Architecture technique</w:t>
            </w:r>
            <w:r>
              <w:rPr>
                <w:rFonts w:ascii="Calibri" w:hAnsi="Calibri"/>
                <w:sz w:val="20"/>
              </w:rPr>
              <w:tab/>
            </w:r>
            <w:r>
              <w:rPr>
                <w:rFonts w:ascii="Calibri" w:hAnsi="Calibri"/>
                <w:b/>
                <w:color w:val="1BA996"/>
                <w:sz w:val="20"/>
              </w:rPr>
              <w:t xml:space="preserve">79</w:t>
            </w:r>
          </w:hyperlink>
        </w:p>
        <w:p>
          <w:pPr>
            <w:tabs>
              <w:tab w:val="right" w:leader="dot" w:pos="9350"/>
            </w:tabs>
            <w:spacing w:before="0" w:after="20"/>
            <w:ind w:left="360"/>
          </w:pPr>
          <w:hyperlink w:anchor="recommandation-darchitecture" w:history="1">
            <w:r>
              <w:rPr>
                <w:rFonts w:ascii="Calibri" w:hAnsi="Calibri"/>
                <w:color w:val="222B2A"/>
                <w:sz w:val="18"/>
              </w:rPr>
              <w:t xml:space="preserve">28.1 Recommandation d'architecture</w:t>
            </w:r>
            <w:r>
              <w:rPr>
                <w:rFonts w:ascii="Calibri" w:hAnsi="Calibri"/>
                <w:sz w:val="18"/>
              </w:rPr>
              <w:tab/>
            </w:r>
            <w:r>
              <w:rPr>
                <w:rFonts w:ascii="Calibri" w:hAnsi="Calibri"/>
                <w:color w:val="222B2A"/>
                <w:sz w:val="18"/>
              </w:rPr>
              <w:t xml:space="preserve">79</w:t>
            </w:r>
          </w:hyperlink>
        </w:p>
        <w:p>
          <w:pPr>
            <w:tabs>
              <w:tab w:val="right" w:leader="dot" w:pos="9350"/>
            </w:tabs>
            <w:spacing w:before="0" w:after="20"/>
            <w:ind w:left="360"/>
          </w:pPr>
          <w:hyperlink w:anchor="composants-cibles" w:history="1">
            <w:r>
              <w:rPr>
                <w:rFonts w:ascii="Calibri" w:hAnsi="Calibri"/>
                <w:color w:val="222B2A"/>
                <w:sz w:val="18"/>
              </w:rPr>
              <w:t xml:space="preserve">28.2 Composants cibles</w:t>
            </w:r>
            <w:r>
              <w:rPr>
                <w:rFonts w:ascii="Calibri" w:hAnsi="Calibri"/>
                <w:sz w:val="18"/>
              </w:rPr>
              <w:tab/>
            </w:r>
            <w:r>
              <w:rPr>
                <w:rFonts w:ascii="Calibri" w:hAnsi="Calibri"/>
                <w:color w:val="222B2A"/>
                <w:sz w:val="18"/>
              </w:rPr>
              <w:t xml:space="preserve">79</w:t>
            </w:r>
          </w:hyperlink>
        </w:p>
        <w:p>
          <w:pPr>
            <w:tabs>
              <w:tab w:val="right" w:leader="dot" w:pos="9350"/>
            </w:tabs>
            <w:spacing w:before="0" w:after="20"/>
            <w:ind w:left="360"/>
          </w:pPr>
          <w:hyperlink w:anchor="séquences-critiques" w:history="1">
            <w:r>
              <w:rPr>
                <w:rFonts w:ascii="Calibri" w:hAnsi="Calibri"/>
                <w:color w:val="222B2A"/>
                <w:sz w:val="18"/>
              </w:rPr>
              <w:t xml:space="preserve">28.3 Séquences critiques</w:t>
            </w:r>
            <w:r>
              <w:rPr>
                <w:rFonts w:ascii="Calibri" w:hAnsi="Calibri"/>
                <w:sz w:val="18"/>
              </w:rPr>
              <w:tab/>
            </w:r>
            <w:r>
              <w:rPr>
                <w:rFonts w:ascii="Calibri" w:hAnsi="Calibri"/>
                <w:color w:val="222B2A"/>
                <w:sz w:val="18"/>
              </w:rPr>
              <w:t xml:space="preserve">79</w:t>
            </w:r>
          </w:hyperlink>
        </w:p>
        <w:p>
          <w:pPr>
            <w:tabs>
              <w:tab w:val="right" w:leader="dot" w:pos="9350"/>
            </w:tabs>
            <w:spacing w:before="0" w:after="20"/>
            <w:ind w:left="360"/>
          </w:pPr>
          <w:hyperlink w:anchor="diagrammes-à-produire-au-démarrage" w:history="1">
            <w:r>
              <w:rPr>
                <w:rFonts w:ascii="Calibri" w:hAnsi="Calibri"/>
                <w:color w:val="222B2A"/>
                <w:sz w:val="18"/>
              </w:rPr>
              <w:t xml:space="preserve">28.4 Diagrammes à produire au démarrage</w:t>
            </w:r>
            <w:r>
              <w:rPr>
                <w:rFonts w:ascii="Calibri" w:hAnsi="Calibri"/>
                <w:sz w:val="18"/>
              </w:rPr>
              <w:tab/>
            </w:r>
            <w:r>
              <w:rPr>
                <w:rFonts w:ascii="Calibri" w:hAnsi="Calibri"/>
                <w:color w:val="222B2A"/>
                <w:sz w:val="18"/>
              </w:rPr>
              <w:t xml:space="preserve">80</w:t>
            </w:r>
          </w:hyperlink>
        </w:p>
        <w:p>
          <w:pPr>
            <w:tabs>
              <w:tab w:val="right" w:leader="dot" w:pos="9350"/>
            </w:tabs>
            <w:spacing w:before="0" w:after="20"/>
            <w:ind w:left="360"/>
          </w:pPr>
          <w:hyperlink w:anchor="architecture-des-données" w:history="1">
            <w:r>
              <w:rPr>
                <w:rFonts w:ascii="Calibri" w:hAnsi="Calibri"/>
                <w:color w:val="222B2A"/>
                <w:sz w:val="18"/>
              </w:rPr>
              <w:t xml:space="preserve">28.5 Architecture des données</w:t>
            </w:r>
            <w:r>
              <w:rPr>
                <w:rFonts w:ascii="Calibri" w:hAnsi="Calibri"/>
                <w:sz w:val="18"/>
              </w:rPr>
              <w:tab/>
            </w:r>
            <w:r>
              <w:rPr>
                <w:rFonts w:ascii="Calibri" w:hAnsi="Calibri"/>
                <w:color w:val="222B2A"/>
                <w:sz w:val="18"/>
              </w:rPr>
              <w:t xml:space="preserve">80</w:t>
            </w:r>
          </w:hyperlink>
        </w:p>
        <w:p>
          <w:pPr>
            <w:tabs>
              <w:tab w:val="right" w:leader="dot" w:pos="9350"/>
            </w:tabs>
            <w:spacing w:before="0" w:after="20"/>
            <w:ind w:left="360"/>
          </w:pPr>
          <w:hyperlink w:anchor="Xd330c1f4313744497f5e6e11d23dfe7cb0cc74d" w:history="1">
            <w:r>
              <w:rPr>
                <w:rFonts w:ascii="Calibri" w:hAnsi="Calibri"/>
                <w:color w:val="222B2A"/>
                <w:sz w:val="18"/>
              </w:rPr>
              <w:t xml:space="preserve">28.6 Disponibilité, continuité et pile technique recommandée</w:t>
            </w:r>
            <w:r>
              <w:rPr>
                <w:rFonts w:ascii="Calibri" w:hAnsi="Calibri"/>
                <w:sz w:val="18"/>
              </w:rPr>
              <w:tab/>
            </w:r>
            <w:r>
              <w:rPr>
                <w:rFonts w:ascii="Calibri" w:hAnsi="Calibri"/>
                <w:color w:val="222B2A"/>
                <w:sz w:val="18"/>
              </w:rPr>
              <w:t xml:space="preserve">80</w:t>
            </w:r>
          </w:hyperlink>
        </w:p>
        <w:p>
          <w:pPr>
            <w:tabs>
              <w:tab w:val="right" w:leader="dot" w:pos="9350"/>
            </w:tabs>
            <w:spacing w:before="100" w:after="20"/>
            <w:ind w:left="0"/>
          </w:pPr>
          <w:hyperlink w:anchor="modèle-de-données-conceptuel" w:history="1">
            <w:r>
              <w:rPr>
                <w:rFonts w:ascii="Calibri" w:hAnsi="Calibri"/>
                <w:b/>
                <w:color w:val="1BA996"/>
                <w:sz w:val="20"/>
              </w:rPr>
              <w:t xml:space="preserve">29. Modèle de données conceptuel</w:t>
            </w:r>
            <w:r>
              <w:rPr>
                <w:rFonts w:ascii="Calibri" w:hAnsi="Calibri"/>
                <w:sz w:val="20"/>
              </w:rPr>
              <w:tab/>
            </w:r>
            <w:r>
              <w:rPr>
                <w:rFonts w:ascii="Calibri" w:hAnsi="Calibri"/>
                <w:b/>
                <w:color w:val="1BA996"/>
                <w:sz w:val="20"/>
              </w:rPr>
              <w:t xml:space="preserve">81</w:t>
            </w:r>
          </w:hyperlink>
        </w:p>
        <w:p>
          <w:pPr>
            <w:tabs>
              <w:tab w:val="right" w:leader="dot" w:pos="9350"/>
            </w:tabs>
            <w:spacing w:before="0" w:after="20"/>
            <w:ind w:left="360"/>
          </w:pPr>
          <w:hyperlink w:anchor="attributs-daudit-obligatoires" w:history="1">
            <w:r>
              <w:rPr>
                <w:rFonts w:ascii="Calibri" w:hAnsi="Calibri"/>
                <w:color w:val="222B2A"/>
                <w:sz w:val="18"/>
              </w:rPr>
              <w:t xml:space="preserve">29.1 Attributs d’audit obligatoires</w:t>
            </w:r>
            <w:r>
              <w:rPr>
                <w:rFonts w:ascii="Calibri" w:hAnsi="Calibri"/>
                <w:sz w:val="18"/>
              </w:rPr>
              <w:tab/>
            </w:r>
            <w:r>
              <w:rPr>
                <w:rFonts w:ascii="Calibri" w:hAnsi="Calibri"/>
                <w:color w:val="222B2A"/>
                <w:sz w:val="18"/>
              </w:rPr>
              <w:t xml:space="preserve">82</w:t>
            </w:r>
          </w:hyperlink>
        </w:p>
        <w:p>
          <w:pPr>
            <w:tabs>
              <w:tab w:val="right" w:leader="dot" w:pos="9350"/>
            </w:tabs>
            <w:spacing w:before="0" w:after="20"/>
            <w:ind w:left="360"/>
          </w:pPr>
          <w:hyperlink w:anchor="X717737f839c6bc1902b2db29b9e84e07cd4fb54" w:history="1">
            <w:r>
              <w:rPr>
                <w:rFonts w:ascii="Calibri" w:hAnsi="Calibri"/>
                <w:color w:val="222B2A"/>
                <w:sz w:val="18"/>
              </w:rPr>
              <w:t xml:space="preserve">29.2 Correspondance avec le modèle développeur</w:t>
            </w:r>
            <w:r>
              <w:rPr>
                <w:rFonts w:ascii="Calibri" w:hAnsi="Calibri"/>
                <w:sz w:val="18"/>
              </w:rPr>
              <w:tab/>
            </w:r>
            <w:r>
              <w:rPr>
                <w:rFonts w:ascii="Calibri" w:hAnsi="Calibri"/>
                <w:color w:val="222B2A"/>
                <w:sz w:val="18"/>
              </w:rPr>
              <w:t xml:space="preserve">82</w:t>
            </w:r>
          </w:hyperlink>
        </w:p>
        <w:p>
          <w:pPr>
            <w:tabs>
              <w:tab w:val="right" w:leader="dot" w:pos="9350"/>
            </w:tabs>
            <w:spacing w:before="0" w:after="20"/>
            <w:ind w:left="360"/>
          </w:pPr>
          <w:hyperlink w:anchor="champs-critiques-des-objets-de-données" w:history="1">
            <w:r>
              <w:rPr>
                <w:rFonts w:ascii="Calibri" w:hAnsi="Calibri"/>
                <w:color w:val="222B2A"/>
                <w:sz w:val="18"/>
              </w:rPr>
              <w:t xml:space="preserve">29.3 Champs critiques des objets de données</w:t>
            </w:r>
            <w:r>
              <w:rPr>
                <w:rFonts w:ascii="Calibri" w:hAnsi="Calibri"/>
                <w:sz w:val="18"/>
              </w:rPr>
              <w:tab/>
            </w:r>
            <w:r>
              <w:rPr>
                <w:rFonts w:ascii="Calibri" w:hAnsi="Calibri"/>
                <w:color w:val="222B2A"/>
                <w:sz w:val="18"/>
              </w:rPr>
              <w:t xml:space="preserve">83</w:t>
            </w:r>
          </w:hyperlink>
        </w:p>
        <w:p>
          <w:pPr>
            <w:tabs>
              <w:tab w:val="right" w:leader="dot" w:pos="9350"/>
            </w:tabs>
            <w:spacing w:before="100" w:after="20"/>
            <w:ind w:left="0"/>
          </w:pPr>
          <w:hyperlink w:anchor="catalogue-des-api" w:history="1">
            <w:r>
              <w:rPr>
                <w:rFonts w:ascii="Calibri" w:hAnsi="Calibri"/>
                <w:b/>
                <w:color w:val="1BA996"/>
                <w:sz w:val="20"/>
              </w:rPr>
              <w:t xml:space="preserve">30. Catalogue des API</w:t>
            </w:r>
            <w:r>
              <w:rPr>
                <w:rFonts w:ascii="Calibri" w:hAnsi="Calibri"/>
                <w:sz w:val="20"/>
              </w:rPr>
              <w:tab/>
            </w:r>
            <w:r>
              <w:rPr>
                <w:rFonts w:ascii="Calibri" w:hAnsi="Calibri"/>
                <w:b/>
                <w:color w:val="1BA996"/>
                <w:sz w:val="20"/>
              </w:rPr>
              <w:t xml:space="preserve">84</w:t>
            </w:r>
          </w:hyperlink>
        </w:p>
        <w:p>
          <w:pPr>
            <w:tabs>
              <w:tab w:val="right" w:leader="dot" w:pos="9350"/>
            </w:tabs>
            <w:spacing w:before="0" w:after="20"/>
            <w:ind w:left="360"/>
          </w:pPr>
          <w:hyperlink w:anchor="normes-dinterface" w:history="1">
            <w:r>
              <w:rPr>
                <w:rFonts w:ascii="Calibri" w:hAnsi="Calibri"/>
                <w:color w:val="222B2A"/>
                <w:sz w:val="18"/>
              </w:rPr>
              <w:t xml:space="preserve">30.1 Normes d’interface</w:t>
            </w:r>
            <w:r>
              <w:rPr>
                <w:rFonts w:ascii="Calibri" w:hAnsi="Calibri"/>
                <w:sz w:val="18"/>
              </w:rPr>
              <w:tab/>
            </w:r>
            <w:r>
              <w:rPr>
                <w:rFonts w:ascii="Calibri" w:hAnsi="Calibri"/>
                <w:color w:val="222B2A"/>
                <w:sz w:val="18"/>
              </w:rPr>
              <w:t xml:space="preserve">85</w:t>
            </w:r>
          </w:hyperlink>
        </w:p>
        <w:p>
          <w:pPr>
            <w:tabs>
              <w:tab w:val="right" w:leader="dot" w:pos="9350"/>
            </w:tabs>
            <w:spacing w:before="0" w:after="20"/>
            <w:ind w:left="360"/>
          </w:pPr>
          <w:hyperlink w:anchor="routes-complémentaires-et-correspondance" w:history="1">
            <w:r>
              <w:rPr>
                <w:rFonts w:ascii="Calibri" w:hAnsi="Calibri"/>
                <w:color w:val="222B2A"/>
                <w:sz w:val="18"/>
              </w:rPr>
              <w:t xml:space="preserve">30.2 Routes complémentaires et correspondance</w:t>
            </w:r>
            <w:r>
              <w:rPr>
                <w:rFonts w:ascii="Calibri" w:hAnsi="Calibri"/>
                <w:sz w:val="18"/>
              </w:rPr>
              <w:tab/>
            </w:r>
            <w:r>
              <w:rPr>
                <w:rFonts w:ascii="Calibri" w:hAnsi="Calibri"/>
                <w:color w:val="222B2A"/>
                <w:sz w:val="18"/>
              </w:rPr>
              <w:t xml:space="preserve">85</w:t>
            </w:r>
          </w:hyperlink>
        </w:p>
        <w:p>
          <w:pPr>
            <w:tabs>
              <w:tab w:val="right" w:leader="dot" w:pos="9350"/>
            </w:tabs>
            <w:spacing w:before="0" w:after="20"/>
            <w:ind w:left="360"/>
          </w:pPr>
          <w:hyperlink w:anchor="Xea005bab0ca005cb52e6ba15def922df9312252" w:history="1">
            <w:r>
              <w:rPr>
                <w:rFonts w:ascii="Calibri" w:hAnsi="Calibri"/>
                <w:color w:val="222B2A"/>
                <w:sz w:val="18"/>
              </w:rPr>
              <w:t xml:space="preserve">30.3 Spécification de référence : émission d’une référence de paiement</w:t>
            </w:r>
            <w:r>
              <w:rPr>
                <w:rFonts w:ascii="Calibri" w:hAnsi="Calibri"/>
                <w:sz w:val="18"/>
              </w:rPr>
              <w:tab/>
            </w:r>
            <w:r>
              <w:rPr>
                <w:rFonts w:ascii="Calibri" w:hAnsi="Calibri"/>
                <w:color w:val="222B2A"/>
                <w:sz w:val="18"/>
              </w:rPr>
              <w:t xml:space="preserve">85</w:t>
            </w:r>
          </w:hyperlink>
        </w:p>
        <w:p>
          <w:pPr>
            <w:tabs>
              <w:tab w:val="right" w:leader="dot" w:pos="9350"/>
            </w:tabs>
            <w:spacing w:before="0" w:after="20"/>
            <w:ind w:left="360"/>
          </w:pPr>
          <w:hyperlink w:anchor="X614e3e1fc34161dab6c222136486cc9266f629c" w:history="1">
            <w:r>
              <w:rPr>
                <w:rFonts w:ascii="Calibri" w:hAnsi="Calibri"/>
                <w:color w:val="222B2A"/>
                <w:sz w:val="18"/>
              </w:rPr>
              <w:t xml:space="preserve">30.4 Routes complémentaires (canaux assistés, points de paiement, sous-traitance)</w:t>
            </w:r>
            <w:r>
              <w:rPr>
                <w:rFonts w:ascii="Calibri" w:hAnsi="Calibri"/>
                <w:sz w:val="18"/>
              </w:rPr>
              <w:tab/>
            </w:r>
            <w:r>
              <w:rPr>
                <w:rFonts w:ascii="Calibri" w:hAnsi="Calibri"/>
                <w:color w:val="222B2A"/>
                <w:sz w:val="18"/>
              </w:rPr>
              <w:t xml:space="preserve">86</w:t>
            </w:r>
          </w:hyperlink>
        </w:p>
        <w:p>
          <w:pPr>
            <w:tabs>
              <w:tab w:val="right" w:leader="dot" w:pos="9350"/>
            </w:tabs>
            <w:spacing w:before="0" w:after="20"/>
            <w:ind w:left="360"/>
          </w:pPr>
          <w:hyperlink w:anchor="routes-des-titres-et-des-entités" w:history="1">
            <w:r>
              <w:rPr>
                <w:rFonts w:ascii="Calibri" w:hAnsi="Calibri"/>
                <w:color w:val="222B2A"/>
                <w:sz w:val="18"/>
              </w:rPr>
              <w:t xml:space="preserve">30.5 Routes des titres et des entités</w:t>
            </w:r>
            <w:r>
              <w:rPr>
                <w:rFonts w:ascii="Calibri" w:hAnsi="Calibri"/>
                <w:sz w:val="18"/>
              </w:rPr>
              <w:tab/>
            </w:r>
            <w:r>
              <w:rPr>
                <w:rFonts w:ascii="Calibri" w:hAnsi="Calibri"/>
                <w:color w:val="222B2A"/>
                <w:sz w:val="18"/>
              </w:rPr>
              <w:t xml:space="preserve">86</w:t>
            </w:r>
          </w:hyperlink>
        </w:p>
        <w:p>
          <w:pPr>
            <w:tabs>
              <w:tab w:val="right" w:leader="dot" w:pos="9350"/>
            </w:tabs>
            <w:spacing w:before="0" w:after="20"/>
            <w:ind w:left="360"/>
          </w:pPr>
          <w:hyperlink w:anchor="routes-de-la-répartition-des-recettes" w:history="1">
            <w:r>
              <w:rPr>
                <w:rFonts w:ascii="Calibri" w:hAnsi="Calibri"/>
                <w:color w:val="222B2A"/>
                <w:sz w:val="18"/>
              </w:rPr>
              <w:t xml:space="preserve">30.6 Routes de la répartition des recettes</w:t>
            </w:r>
            <w:r>
              <w:rPr>
                <w:rFonts w:ascii="Calibri" w:hAnsi="Calibri"/>
                <w:sz w:val="18"/>
              </w:rPr>
              <w:tab/>
            </w:r>
            <w:r>
              <w:rPr>
                <w:rFonts w:ascii="Calibri" w:hAnsi="Calibri"/>
                <w:color w:val="222B2A"/>
                <w:sz w:val="18"/>
              </w:rPr>
              <w:t xml:space="preserve">87</w:t>
            </w:r>
          </w:hyperlink>
        </w:p>
        <w:p>
          <w:pPr>
            <w:tabs>
              <w:tab w:val="right" w:leader="dot" w:pos="9350"/>
            </w:tabs>
            <w:spacing w:before="0" w:after="20"/>
            <w:ind w:left="360"/>
          </w:pPr>
          <w:hyperlink w:anchor="routes-des-invitations-et-des-accès" w:history="1">
            <w:r>
              <w:rPr>
                <w:rFonts w:ascii="Calibri" w:hAnsi="Calibri"/>
                <w:color w:val="222B2A"/>
                <w:sz w:val="18"/>
              </w:rPr>
              <w:t xml:space="preserve">30.7 Routes des invitations et des accès</w:t>
            </w:r>
            <w:r>
              <w:rPr>
                <w:rFonts w:ascii="Calibri" w:hAnsi="Calibri"/>
                <w:sz w:val="18"/>
              </w:rPr>
              <w:tab/>
            </w:r>
            <w:r>
              <w:rPr>
                <w:rFonts w:ascii="Calibri" w:hAnsi="Calibri"/>
                <w:color w:val="222B2A"/>
                <w:sz w:val="18"/>
              </w:rPr>
              <w:t xml:space="preserve">87</w:t>
            </w:r>
          </w:hyperlink>
        </w:p>
        <w:p>
          <w:pPr>
            <w:tabs>
              <w:tab w:val="right" w:leader="dot" w:pos="9350"/>
            </w:tabs>
            <w:spacing w:before="0" w:after="20"/>
            <w:ind w:left="360"/>
          </w:pPr>
          <w:hyperlink w:anchor="routes-de-la-spécification-kin-recettes" w:history="1">
            <w:r>
              <w:rPr>
                <w:rFonts w:ascii="Calibri" w:hAnsi="Calibri"/>
                <w:color w:val="222B2A"/>
                <w:sz w:val="18"/>
              </w:rPr>
              <w:t xml:space="preserve">30.8 Routes de la spécification KIN RECETTES</w:t>
            </w:r>
            <w:r>
              <w:rPr>
                <w:rFonts w:ascii="Calibri" w:hAnsi="Calibri"/>
                <w:sz w:val="18"/>
              </w:rPr>
              <w:tab/>
            </w:r>
            <w:r>
              <w:rPr>
                <w:rFonts w:ascii="Calibri" w:hAnsi="Calibri"/>
                <w:color w:val="222B2A"/>
                <w:sz w:val="18"/>
              </w:rPr>
              <w:t xml:space="preserve">87</w:t>
            </w:r>
          </w:hyperlink>
        </w:p>
        <w:p>
          <w:pPr>
            <w:tabs>
              <w:tab w:val="right" w:leader="dot" w:pos="9350"/>
            </w:tabs>
            <w:spacing w:before="100" w:after="20"/>
            <w:ind w:left="0"/>
          </w:pPr>
          <w:hyperlink w:anchor="architecture-de-sécurité" w:history="1">
            <w:r>
              <w:rPr>
                <w:rFonts w:ascii="Calibri" w:hAnsi="Calibri"/>
                <w:b/>
                <w:color w:val="1BA996"/>
                <w:sz w:val="20"/>
              </w:rPr>
              <w:t xml:space="preserve">31. Architecture de sécurité</w:t>
            </w:r>
            <w:r>
              <w:rPr>
                <w:rFonts w:ascii="Calibri" w:hAnsi="Calibri"/>
                <w:sz w:val="20"/>
              </w:rPr>
              <w:tab/>
            </w:r>
            <w:r>
              <w:rPr>
                <w:rFonts w:ascii="Calibri" w:hAnsi="Calibri"/>
                <w:b/>
                <w:color w:val="1BA996"/>
                <w:sz w:val="20"/>
              </w:rPr>
              <w:t xml:space="preserve">88</w:t>
            </w:r>
          </w:hyperlink>
        </w:p>
        <w:p>
          <w:pPr>
            <w:tabs>
              <w:tab w:val="right" w:leader="dot" w:pos="9350"/>
            </w:tabs>
            <w:spacing w:before="0" w:after="20"/>
            <w:ind w:left="360"/>
          </w:pPr>
          <w:hyperlink w:anchor="X8460374294c2269d55317df9e6ceb796f36a864" w:history="1">
            <w:r>
              <w:rPr>
                <w:rFonts w:ascii="Calibri" w:hAnsi="Calibri"/>
                <w:color w:val="222B2A"/>
                <w:sz w:val="18"/>
              </w:rPr>
              <w:t xml:space="preserve">31.1 Exigences non fonctionnelles complémentaires</w:t>
            </w:r>
            <w:r>
              <w:rPr>
                <w:rFonts w:ascii="Calibri" w:hAnsi="Calibri"/>
                <w:sz w:val="18"/>
              </w:rPr>
              <w:tab/>
            </w:r>
            <w:r>
              <w:rPr>
                <w:rFonts w:ascii="Calibri" w:hAnsi="Calibri"/>
                <w:color w:val="222B2A"/>
                <w:sz w:val="18"/>
              </w:rPr>
              <w:t xml:space="preserve">88</w:t>
            </w:r>
          </w:hyperlink>
        </w:p>
        <w:p>
          <w:pPr>
            <w:tabs>
              <w:tab w:val="right" w:leader="dot" w:pos="9350"/>
            </w:tabs>
            <w:spacing w:before="100" w:after="20"/>
            <w:ind w:left="0"/>
          </w:pPr>
          <w:hyperlink w:anchor="gouvernance-des-données" w:history="1">
            <w:r>
              <w:rPr>
                <w:rFonts w:ascii="Calibri" w:hAnsi="Calibri"/>
                <w:b/>
                <w:color w:val="1BA996"/>
                <w:sz w:val="20"/>
              </w:rPr>
              <w:t xml:space="preserve">32. Gouvernance des données</w:t>
            </w:r>
            <w:r>
              <w:rPr>
                <w:rFonts w:ascii="Calibri" w:hAnsi="Calibri"/>
                <w:sz w:val="20"/>
              </w:rPr>
              <w:tab/>
            </w:r>
            <w:r>
              <w:rPr>
                <w:rFonts w:ascii="Calibri" w:hAnsi="Calibri"/>
                <w:b/>
                <w:color w:val="1BA996"/>
                <w:sz w:val="20"/>
              </w:rPr>
              <w:t xml:space="preserve">89</w:t>
            </w:r>
          </w:hyperlink>
        </w:p>
        <w:p>
          <w:pPr>
            <w:tabs>
              <w:tab w:val="right" w:leader="dot" w:pos="9350"/>
            </w:tabs>
            <w:spacing w:before="100" w:after="20"/>
            <w:ind w:left="0"/>
          </w:pPr>
          <w:hyperlink w:anchor="hébergement-et-souveraineté" w:history="1">
            <w:r>
              <w:rPr>
                <w:rFonts w:ascii="Calibri" w:hAnsi="Calibri"/>
                <w:b/>
                <w:color w:val="1BA996"/>
                <w:sz w:val="20"/>
              </w:rPr>
              <w:t xml:space="preserve">33. Hébergement et souveraineté</w:t>
            </w:r>
            <w:r>
              <w:rPr>
                <w:rFonts w:ascii="Calibri" w:hAnsi="Calibri"/>
                <w:sz w:val="20"/>
              </w:rPr>
              <w:tab/>
            </w:r>
            <w:r>
              <w:rPr>
                <w:rFonts w:ascii="Calibri" w:hAnsi="Calibri"/>
                <w:b/>
                <w:color w:val="1BA996"/>
                <w:sz w:val="20"/>
              </w:rPr>
              <w:t xml:space="preserve">89</w:t>
            </w:r>
          </w:hyperlink>
        </w:p>
        <w:p>
          <w:pPr>
            <w:tabs>
              <w:tab w:val="right" w:leader="dot" w:pos="9350"/>
            </w:tabs>
            <w:spacing w:before="100" w:after="20"/>
            <w:ind w:left="0"/>
          </w:pPr>
          <w:hyperlink w:anchor="feuille-de-route-de-mise-en-œuvre" w:history="1">
            <w:r>
              <w:rPr>
                <w:rFonts w:ascii="Calibri" w:hAnsi="Calibri"/>
                <w:b/>
                <w:color w:val="1BA996"/>
                <w:sz w:val="20"/>
              </w:rPr>
              <w:t xml:space="preserve">34. Feuille de route de mise en œuvre</w:t>
            </w:r>
            <w:r>
              <w:rPr>
                <w:rFonts w:ascii="Calibri" w:hAnsi="Calibri"/>
                <w:sz w:val="20"/>
              </w:rPr>
              <w:tab/>
            </w:r>
            <w:r>
              <w:rPr>
                <w:rFonts w:ascii="Calibri" w:hAnsi="Calibri"/>
                <w:b/>
                <w:color w:val="1BA996"/>
                <w:sz w:val="20"/>
              </w:rPr>
              <w:t xml:space="preserve">90</w:t>
            </w:r>
          </w:hyperlink>
        </w:p>
        <w:p>
          <w:pPr>
            <w:tabs>
              <w:tab w:val="right" w:leader="dot" w:pos="9350"/>
            </w:tabs>
            <w:spacing w:before="0" w:after="20"/>
            <w:ind w:left="360"/>
          </w:pPr>
          <w:hyperlink w:anchor="phases" w:history="1">
            <w:r>
              <w:rPr>
                <w:rFonts w:ascii="Calibri" w:hAnsi="Calibri"/>
                <w:color w:val="222B2A"/>
                <w:sz w:val="18"/>
              </w:rPr>
              <w:t xml:space="preserve">34.1 Phases</w:t>
            </w:r>
            <w:r>
              <w:rPr>
                <w:rFonts w:ascii="Calibri" w:hAnsi="Calibri"/>
                <w:sz w:val="18"/>
              </w:rPr>
              <w:tab/>
            </w:r>
            <w:r>
              <w:rPr>
                <w:rFonts w:ascii="Calibri" w:hAnsi="Calibri"/>
                <w:color w:val="222B2A"/>
                <w:sz w:val="18"/>
              </w:rPr>
              <w:t xml:space="preserve">90</w:t>
            </w:r>
          </w:hyperlink>
        </w:p>
        <w:p>
          <w:pPr>
            <w:tabs>
              <w:tab w:val="right" w:leader="dot" w:pos="9350"/>
            </w:tabs>
            <w:spacing w:before="0" w:after="20"/>
            <w:ind w:left="360"/>
          </w:pPr>
          <w:hyperlink w:anchor="plans-daction-datés" w:history="1">
            <w:r>
              <w:rPr>
                <w:rFonts w:ascii="Calibri" w:hAnsi="Calibri"/>
                <w:color w:val="222B2A"/>
                <w:sz w:val="18"/>
              </w:rPr>
              <w:t xml:space="preserve">34.2 Plans d'action datés</w:t>
            </w:r>
            <w:r>
              <w:rPr>
                <w:rFonts w:ascii="Calibri" w:hAnsi="Calibri"/>
                <w:sz w:val="18"/>
              </w:rPr>
              <w:tab/>
            </w:r>
            <w:r>
              <w:rPr>
                <w:rFonts w:ascii="Calibri" w:hAnsi="Calibri"/>
                <w:color w:val="222B2A"/>
                <w:sz w:val="18"/>
              </w:rPr>
              <w:t xml:space="preserve">90</w:t>
            </w:r>
          </w:hyperlink>
        </w:p>
        <w:p>
          <w:pPr>
            <w:tabs>
              <w:tab w:val="right" w:leader="dot" w:pos="9350"/>
            </w:tabs>
            <w:spacing w:before="0" w:after="20"/>
            <w:ind w:left="360"/>
          </w:pPr>
          <w:hyperlink w:anchor="lots-fonctionnels-du-produit-sur-24-mois" w:history="1">
            <w:r>
              <w:rPr>
                <w:rFonts w:ascii="Calibri" w:hAnsi="Calibri"/>
                <w:color w:val="222B2A"/>
                <w:sz w:val="18"/>
              </w:rPr>
              <w:t xml:space="preserve">34.3 Lots fonctionnels du produit sur 24 mois</w:t>
            </w:r>
            <w:r>
              <w:rPr>
                <w:rFonts w:ascii="Calibri" w:hAnsi="Calibri"/>
                <w:sz w:val="18"/>
              </w:rPr>
              <w:tab/>
            </w:r>
            <w:r>
              <w:rPr>
                <w:rFonts w:ascii="Calibri" w:hAnsi="Calibri"/>
                <w:color w:val="222B2A"/>
                <w:sz w:val="18"/>
              </w:rPr>
              <w:t xml:space="preserve">91</w:t>
            </w:r>
          </w:hyperlink>
        </w:p>
        <w:p>
          <w:pPr>
            <w:tabs>
              <w:tab w:val="right" w:leader="dot" w:pos="9350"/>
            </w:tabs>
            <w:spacing w:before="0" w:after="20"/>
            <w:ind w:left="360"/>
          </w:pPr>
          <w:hyperlink w:anchor="Xf67566b1506d993e42da59bf793182fa593d4dd" w:history="1">
            <w:r>
              <w:rPr>
                <w:rFonts w:ascii="Calibri" w:hAnsi="Calibri"/>
                <w:color w:val="222B2A"/>
                <w:sz w:val="18"/>
              </w:rPr>
              <w:t xml:space="preserve">34.4 Découpage alternatif en jours et conditions de passage à l’échelle</w:t>
            </w:r>
            <w:r>
              <w:rPr>
                <w:rFonts w:ascii="Calibri" w:hAnsi="Calibri"/>
                <w:sz w:val="18"/>
              </w:rPr>
              <w:tab/>
            </w:r>
            <w:r>
              <w:rPr>
                <w:rFonts w:ascii="Calibri" w:hAnsi="Calibri"/>
                <w:color w:val="222B2A"/>
                <w:sz w:val="18"/>
              </w:rPr>
              <w:t xml:space="preserve">91</w:t>
            </w:r>
          </w:hyperlink>
        </w:p>
        <w:p>
          <w:pPr>
            <w:tabs>
              <w:tab w:val="right" w:leader="dot" w:pos="9350"/>
            </w:tabs>
            <w:spacing w:before="100" w:after="20"/>
            <w:ind w:left="0"/>
          </w:pPr>
          <w:hyperlink w:anchor="modèle-opérationnel" w:history="1">
            <w:r>
              <w:rPr>
                <w:rFonts w:ascii="Calibri" w:hAnsi="Calibri"/>
                <w:b/>
                <w:color w:val="1BA996"/>
                <w:sz w:val="20"/>
              </w:rPr>
              <w:t xml:space="preserve">35. Modèle opérationnel</w:t>
            </w:r>
            <w:r>
              <w:rPr>
                <w:rFonts w:ascii="Calibri" w:hAnsi="Calibri"/>
                <w:sz w:val="20"/>
              </w:rPr>
              <w:tab/>
            </w:r>
            <w:r>
              <w:rPr>
                <w:rFonts w:ascii="Calibri" w:hAnsi="Calibri"/>
                <w:b/>
                <w:color w:val="1BA996"/>
                <w:sz w:val="20"/>
              </w:rPr>
              <w:t xml:space="preserve">91</w:t>
            </w:r>
          </w:hyperlink>
        </w:p>
        <w:p>
          <w:pPr>
            <w:tabs>
              <w:tab w:val="right" w:leader="dot" w:pos="9350"/>
            </w:tabs>
            <w:spacing w:before="100" w:after="20"/>
            <w:ind w:left="0"/>
          </w:pPr>
          <w:hyperlink w:anchor="gouvernance-du-programme" w:history="1">
            <w:r>
              <w:rPr>
                <w:rFonts w:ascii="Calibri" w:hAnsi="Calibri"/>
                <w:b/>
                <w:color w:val="1BA996"/>
                <w:sz w:val="20"/>
              </w:rPr>
              <w:t xml:space="preserve">36. Gouvernance du programme</w:t>
            </w:r>
            <w:r>
              <w:rPr>
                <w:rFonts w:ascii="Calibri" w:hAnsi="Calibri"/>
                <w:sz w:val="20"/>
              </w:rPr>
              <w:tab/>
            </w:r>
            <w:r>
              <w:rPr>
                <w:rFonts w:ascii="Calibri" w:hAnsi="Calibri"/>
                <w:b/>
                <w:color w:val="1BA996"/>
                <w:sz w:val="20"/>
              </w:rPr>
              <w:t xml:space="preserve">92</w:t>
            </w:r>
          </w:hyperlink>
        </w:p>
        <w:p>
          <w:pPr>
            <w:tabs>
              <w:tab w:val="right" w:leader="dot" w:pos="9350"/>
            </w:tabs>
            <w:spacing w:before="0" w:after="20"/>
            <w:ind w:left="360"/>
          </w:pPr>
          <w:hyperlink w:anchor="Xc1e92eb9457748073612a753b8db507193b692f" w:history="1">
            <w:r>
              <w:rPr>
                <w:rFonts w:ascii="Calibri" w:hAnsi="Calibri"/>
                <w:color w:val="222B2A"/>
                <w:sz w:val="18"/>
              </w:rPr>
              <w:t xml:space="preserve">36.1 Standard minimal applicable à chaque module critique</w:t>
            </w:r>
            <w:r>
              <w:rPr>
                <w:rFonts w:ascii="Calibri" w:hAnsi="Calibri"/>
                <w:sz w:val="18"/>
              </w:rPr>
              <w:tab/>
            </w:r>
            <w:r>
              <w:rPr>
                <w:rFonts w:ascii="Calibri" w:hAnsi="Calibri"/>
                <w:color w:val="222B2A"/>
                <w:sz w:val="18"/>
              </w:rPr>
              <w:t xml:space="preserve">92</w:t>
            </w:r>
          </w:hyperlink>
        </w:p>
        <w:p>
          <w:pPr>
            <w:tabs>
              <w:tab w:val="right" w:leader="dot" w:pos="9350"/>
            </w:tabs>
            <w:spacing w:before="100" w:after="20"/>
            <w:ind w:left="0"/>
          </w:pPr>
          <w:hyperlink w:anchor="passation-et-modèle-commercial" w:history="1">
            <w:r>
              <w:rPr>
                <w:rFonts w:ascii="Calibri" w:hAnsi="Calibri"/>
                <w:b/>
                <w:color w:val="1BA996"/>
                <w:sz w:val="20"/>
              </w:rPr>
              <w:t xml:space="preserve">37. Passation et modèle commercial</w:t>
            </w:r>
            <w:r>
              <w:rPr>
                <w:rFonts w:ascii="Calibri" w:hAnsi="Calibri"/>
                <w:sz w:val="20"/>
              </w:rPr>
              <w:tab/>
            </w:r>
            <w:r>
              <w:rPr>
                <w:rFonts w:ascii="Calibri" w:hAnsi="Calibri"/>
                <w:b/>
                <w:color w:val="1BA996"/>
                <w:sz w:val="20"/>
              </w:rPr>
              <w:t xml:space="preserve">93</w:t>
            </w:r>
          </w:hyperlink>
        </w:p>
        <w:p>
          <w:pPr>
            <w:tabs>
              <w:tab w:val="right" w:leader="dot" w:pos="9350"/>
            </w:tabs>
            <w:spacing w:before="100" w:after="20"/>
            <w:ind w:left="0"/>
          </w:pPr>
          <w:hyperlink w:anchor="Xe61dfc94e221922bd03af8e294697a5bf6cd264" w:history="1">
            <w:r>
              <w:rPr>
                <w:rFonts w:ascii="Calibri" w:hAnsi="Calibri"/>
                <w:b/>
                <w:color w:val="1BA996"/>
                <w:sz w:val="20"/>
              </w:rPr>
              <w:t xml:space="preserve">37A. Modèle de financement et de partage des recettes retenu</w:t>
            </w:r>
            <w:r>
              <w:rPr>
                <w:rFonts w:ascii="Calibri" w:hAnsi="Calibri"/>
                <w:sz w:val="20"/>
              </w:rPr>
              <w:tab/>
            </w:r>
            <w:r>
              <w:rPr>
                <w:rFonts w:ascii="Calibri" w:hAnsi="Calibri"/>
                <w:b/>
                <w:color w:val="1BA996"/>
                <w:sz w:val="20"/>
              </w:rPr>
              <w:t xml:space="preserve">95</w:t>
            </w:r>
          </w:hyperlink>
        </w:p>
        <w:p>
          <w:pPr>
            <w:tabs>
              <w:tab w:val="right" w:leader="dot" w:pos="9350"/>
            </w:tabs>
            <w:spacing w:before="0" w:after="20"/>
            <w:ind w:left="360"/>
          </w:pPr>
          <w:hyperlink w:anchor="X194cb66224e7478546868b9fb96c5c51cf323f6" w:history="1">
            <w:r>
              <w:rPr>
                <w:rFonts w:ascii="Calibri" w:hAnsi="Calibri"/>
                <w:color w:val="222B2A"/>
                <w:sz w:val="18"/>
              </w:rPr>
              <w:t xml:space="preserve">37A.1 Périmètre de l’investissement : le numérique, pas le physique</w:t>
            </w:r>
            <w:r>
              <w:rPr>
                <w:rFonts w:ascii="Calibri" w:hAnsi="Calibri"/>
                <w:sz w:val="18"/>
              </w:rPr>
              <w:tab/>
            </w:r>
            <w:r>
              <w:rPr>
                <w:rFonts w:ascii="Calibri" w:hAnsi="Calibri"/>
                <w:color w:val="222B2A"/>
                <w:sz w:val="18"/>
              </w:rPr>
              <w:t xml:space="preserve">95</w:t>
            </w:r>
          </w:hyperlink>
        </w:p>
        <w:p>
          <w:pPr>
            <w:tabs>
              <w:tab w:val="right" w:leader="dot" w:pos="9350"/>
            </w:tabs>
            <w:spacing w:before="0" w:after="20"/>
            <w:ind w:left="360"/>
          </w:pPr>
          <w:hyperlink w:anchor="a.2-clé-de-répartition" w:history="1">
            <w:r>
              <w:rPr>
                <w:rFonts w:ascii="Calibri" w:hAnsi="Calibri"/>
                <w:color w:val="222B2A"/>
                <w:sz w:val="18"/>
              </w:rPr>
              <w:t xml:space="preserve">37A.2 Clé de répartition</w:t>
            </w:r>
            <w:r>
              <w:rPr>
                <w:rFonts w:ascii="Calibri" w:hAnsi="Calibri"/>
                <w:sz w:val="18"/>
              </w:rPr>
              <w:tab/>
            </w:r>
            <w:r>
              <w:rPr>
                <w:rFonts w:ascii="Calibri" w:hAnsi="Calibri"/>
                <w:color w:val="222B2A"/>
                <w:sz w:val="18"/>
              </w:rPr>
              <w:t xml:space="preserve">95</w:t>
            </w:r>
          </w:hyperlink>
        </w:p>
        <w:p>
          <w:pPr>
            <w:tabs>
              <w:tab w:val="right" w:leader="dot" w:pos="9350"/>
            </w:tabs>
            <w:spacing w:before="0" w:after="20"/>
            <w:ind w:left="360"/>
          </w:pPr>
          <w:hyperlink w:anchor="a.3-assiette-de-calcul" w:history="1">
            <w:r>
              <w:rPr>
                <w:rFonts w:ascii="Calibri" w:hAnsi="Calibri"/>
                <w:color w:val="222B2A"/>
                <w:sz w:val="18"/>
              </w:rPr>
              <w:t xml:space="preserve">37A.3 Assiette de calcul</w:t>
            </w:r>
            <w:r>
              <w:rPr>
                <w:rFonts w:ascii="Calibri" w:hAnsi="Calibri"/>
                <w:sz w:val="18"/>
              </w:rPr>
              <w:tab/>
            </w:r>
            <w:r>
              <w:rPr>
                <w:rFonts w:ascii="Calibri" w:hAnsi="Calibri"/>
                <w:color w:val="222B2A"/>
                <w:sz w:val="18"/>
              </w:rPr>
              <w:t xml:space="preserve">96</w:t>
            </w:r>
          </w:hyperlink>
        </w:p>
        <w:p>
          <w:pPr>
            <w:tabs>
              <w:tab w:val="right" w:leader="dot" w:pos="9350"/>
            </w:tabs>
            <w:spacing w:before="0" w:after="20"/>
            <w:ind w:left="360"/>
          </w:pPr>
          <w:hyperlink w:anchor="Xd6ed9d1a6376fbfdb88a5223bc2c8f4293ed3de" w:history="1">
            <w:r>
              <w:rPr>
                <w:rFonts w:ascii="Calibri" w:hAnsi="Calibri"/>
                <w:color w:val="222B2A"/>
                <w:sz w:val="18"/>
              </w:rPr>
              <w:t xml:space="preserve">37A.4 Exécution : deux flux de décaissement seulement</w:t>
            </w:r>
            <w:r>
              <w:rPr>
                <w:rFonts w:ascii="Calibri" w:hAnsi="Calibri"/>
                <w:sz w:val="18"/>
              </w:rPr>
              <w:tab/>
            </w:r>
            <w:r>
              <w:rPr>
                <w:rFonts w:ascii="Calibri" w:hAnsi="Calibri"/>
                <w:color w:val="222B2A"/>
                <w:sz w:val="18"/>
              </w:rPr>
              <w:t xml:space="preserve">96</w:t>
            </w:r>
          </w:hyperlink>
        </w:p>
        <w:p>
          <w:pPr>
            <w:tabs>
              <w:tab w:val="right" w:leader="dot" w:pos="9350"/>
            </w:tabs>
            <w:spacing w:before="0" w:after="20"/>
            <w:ind w:left="360"/>
          </w:pPr>
          <w:hyperlink w:anchor="Xc777a1d82f03618c0f6dc0b9062c14693fe6164" w:history="1">
            <w:r>
              <w:rPr>
                <w:rFonts w:ascii="Calibri" w:hAnsi="Calibri"/>
                <w:color w:val="222B2A"/>
                <w:sz w:val="18"/>
              </w:rPr>
              <w:t xml:space="preserve">37A.5 Répartition interne des 90 % du Gouvernement</w:t>
            </w:r>
            <w:r>
              <w:rPr>
                <w:rFonts w:ascii="Calibri" w:hAnsi="Calibri"/>
                <w:sz w:val="18"/>
              </w:rPr>
              <w:tab/>
            </w:r>
            <w:r>
              <w:rPr>
                <w:rFonts w:ascii="Calibri" w:hAnsi="Calibri"/>
                <w:color w:val="222B2A"/>
                <w:sz w:val="18"/>
              </w:rPr>
              <w:t xml:space="preserve">96</w:t>
            </w:r>
          </w:hyperlink>
        </w:p>
        <w:p>
          <w:pPr>
            <w:tabs>
              <w:tab w:val="right" w:leader="dot" w:pos="9350"/>
            </w:tabs>
            <w:spacing w:before="0" w:after="20"/>
            <w:ind w:left="360"/>
          </w:pPr>
          <w:hyperlink w:anchor="a.6-tableau-de-bord-de-la-répartition" w:history="1">
            <w:r>
              <w:rPr>
                <w:rFonts w:ascii="Calibri" w:hAnsi="Calibri"/>
                <w:color w:val="222B2A"/>
                <w:sz w:val="18"/>
              </w:rPr>
              <w:t xml:space="preserve">37A.6 Tableau de bord de la répartition</w:t>
            </w:r>
            <w:r>
              <w:rPr>
                <w:rFonts w:ascii="Calibri" w:hAnsi="Calibri"/>
                <w:sz w:val="18"/>
              </w:rPr>
              <w:tab/>
            </w:r>
            <w:r>
              <w:rPr>
                <w:rFonts w:ascii="Calibri" w:hAnsi="Calibri"/>
                <w:color w:val="222B2A"/>
                <w:sz w:val="18"/>
              </w:rPr>
              <w:t xml:space="preserve">97</w:t>
            </w:r>
          </w:hyperlink>
        </w:p>
        <w:p>
          <w:pPr>
            <w:tabs>
              <w:tab w:val="right" w:leader="dot" w:pos="9350"/>
            </w:tabs>
            <w:spacing w:before="0" w:after="20"/>
            <w:ind w:left="360"/>
          </w:pPr>
          <w:hyperlink w:anchor="a.7-gouvernance-de-la-clé-et-durée" w:history="1">
            <w:r>
              <w:rPr>
                <w:rFonts w:ascii="Calibri" w:hAnsi="Calibri"/>
                <w:color w:val="222B2A"/>
                <w:sz w:val="18"/>
              </w:rPr>
              <w:t xml:space="preserve">37A.7 Gouvernance de la clé et durée</w:t>
            </w:r>
            <w:r>
              <w:rPr>
                <w:rFonts w:ascii="Calibri" w:hAnsi="Calibri"/>
                <w:sz w:val="18"/>
              </w:rPr>
              <w:tab/>
            </w:r>
            <w:r>
              <w:rPr>
                <w:rFonts w:ascii="Calibri" w:hAnsi="Calibri"/>
                <w:color w:val="222B2A"/>
                <w:sz w:val="18"/>
              </w:rPr>
              <w:t xml:space="preserve">97</w:t>
            </w:r>
          </w:hyperlink>
        </w:p>
        <w:p>
          <w:pPr>
            <w:tabs>
              <w:tab w:val="right" w:leader="dot" w:pos="9350"/>
            </w:tabs>
            <w:spacing w:before="0" w:after="20"/>
            <w:ind w:left="360"/>
          </w:pPr>
          <w:hyperlink w:anchor="a.8-conditions-préalables-de-validité" w:history="1">
            <w:r>
              <w:rPr>
                <w:rFonts w:ascii="Calibri" w:hAnsi="Calibri"/>
                <w:color w:val="222B2A"/>
                <w:sz w:val="18"/>
              </w:rPr>
              <w:t xml:space="preserve">37A.8 Conditions préalables de validité</w:t>
            </w:r>
            <w:r>
              <w:rPr>
                <w:rFonts w:ascii="Calibri" w:hAnsi="Calibri"/>
                <w:sz w:val="18"/>
              </w:rPr>
              <w:tab/>
            </w:r>
            <w:r>
              <w:rPr>
                <w:rFonts w:ascii="Calibri" w:hAnsi="Calibri"/>
                <w:color w:val="222B2A"/>
                <w:sz w:val="18"/>
              </w:rPr>
              <w:t xml:space="preserve">97</w:t>
            </w:r>
          </w:hyperlink>
        </w:p>
        <w:p>
          <w:pPr>
            <w:tabs>
              <w:tab w:val="right" w:leader="dot" w:pos="9350"/>
            </w:tabs>
            <w:spacing w:before="100" w:after="20"/>
            <w:ind w:left="0"/>
          </w:pPr>
          <w:hyperlink w:anchor="modèle-financier" w:history="1">
            <w:r>
              <w:rPr>
                <w:rFonts w:ascii="Calibri" w:hAnsi="Calibri"/>
                <w:b/>
                <w:color w:val="1BA996"/>
                <w:sz w:val="20"/>
              </w:rPr>
              <w:t xml:space="preserve">38. Modèle financier</w:t>
            </w:r>
            <w:r>
              <w:rPr>
                <w:rFonts w:ascii="Calibri" w:hAnsi="Calibri"/>
                <w:sz w:val="20"/>
              </w:rPr>
              <w:tab/>
            </w:r>
            <w:r>
              <w:rPr>
                <w:rFonts w:ascii="Calibri" w:hAnsi="Calibri"/>
                <w:b/>
                <w:color w:val="1BA996"/>
                <w:sz w:val="20"/>
              </w:rPr>
              <w:t xml:space="preserve">98</w:t>
            </w:r>
          </w:hyperlink>
        </w:p>
        <w:p>
          <w:pPr>
            <w:tabs>
              <w:tab w:val="right" w:leader="dot" w:pos="9350"/>
            </w:tabs>
            <w:spacing w:before="0" w:after="20"/>
            <w:ind w:left="360"/>
          </w:pPr>
          <w:hyperlink w:anchor="X761843dbc34191cc039d5b428e76c9c4e79acea" w:history="1">
            <w:r>
              <w:rPr>
                <w:rFonts w:ascii="Calibri" w:hAnsi="Calibri"/>
                <w:color w:val="222B2A"/>
                <w:sz w:val="18"/>
              </w:rPr>
              <w:t xml:space="preserve">38.1 Établir la base de référence avant toute promesse</w:t>
            </w:r>
            <w:r>
              <w:rPr>
                <w:rFonts w:ascii="Calibri" w:hAnsi="Calibri"/>
                <w:sz w:val="18"/>
              </w:rPr>
              <w:tab/>
            </w:r>
            <w:r>
              <w:rPr>
                <w:rFonts w:ascii="Calibri" w:hAnsi="Calibri"/>
                <w:color w:val="222B2A"/>
                <w:sz w:val="18"/>
              </w:rPr>
              <w:t xml:space="preserve">98</w:t>
            </w:r>
          </w:hyperlink>
        </w:p>
        <w:p>
          <w:pPr>
            <w:tabs>
              <w:tab w:val="right" w:leader="dot" w:pos="9350"/>
            </w:tabs>
            <w:spacing w:before="0" w:after="20"/>
            <w:ind w:left="360"/>
          </w:pPr>
          <w:hyperlink w:anchor="formules-de-calcul-du-potentiel" w:history="1">
            <w:r>
              <w:rPr>
                <w:rFonts w:ascii="Calibri" w:hAnsi="Calibri"/>
                <w:color w:val="222B2A"/>
                <w:sz w:val="18"/>
              </w:rPr>
              <w:t xml:space="preserve">38.2 Formules de calcul du potentiel</w:t>
            </w:r>
            <w:r>
              <w:rPr>
                <w:rFonts w:ascii="Calibri" w:hAnsi="Calibri"/>
                <w:sz w:val="18"/>
              </w:rPr>
              <w:tab/>
            </w:r>
            <w:r>
              <w:rPr>
                <w:rFonts w:ascii="Calibri" w:hAnsi="Calibri"/>
                <w:color w:val="222B2A"/>
                <w:sz w:val="18"/>
              </w:rPr>
              <w:t xml:space="preserve">98</w:t>
            </w:r>
          </w:hyperlink>
        </w:p>
        <w:p>
          <w:pPr>
            <w:tabs>
              <w:tab w:val="right" w:leader="dot" w:pos="9350"/>
            </w:tabs>
            <w:spacing w:before="0" w:after="20"/>
            <w:ind w:left="360"/>
          </w:pPr>
          <w:hyperlink w:anchor="X5df2cb3f5c4b2e2a8e4edad2c0a7a078fd3570e" w:history="1">
            <w:r>
              <w:rPr>
                <w:rFonts w:ascii="Calibri" w:hAnsi="Calibri"/>
                <w:color w:val="222B2A"/>
                <w:sz w:val="18"/>
              </w:rPr>
              <w:t xml:space="preserve">38.3 Exemple illustratif, à remplacer par les données du pilote</w:t>
            </w:r>
            <w:r>
              <w:rPr>
                <w:rFonts w:ascii="Calibri" w:hAnsi="Calibri"/>
                <w:sz w:val="18"/>
              </w:rPr>
              <w:tab/>
            </w:r>
            <w:r>
              <w:rPr>
                <w:rFonts w:ascii="Calibri" w:hAnsi="Calibri"/>
                <w:color w:val="222B2A"/>
                <w:sz w:val="18"/>
              </w:rPr>
              <w:t xml:space="preserve">98</w:t>
            </w:r>
          </w:hyperlink>
        </w:p>
        <w:p>
          <w:pPr>
            <w:tabs>
              <w:tab w:val="right" w:leader="dot" w:pos="9350"/>
            </w:tabs>
            <w:spacing w:before="0" w:after="20"/>
            <w:ind w:left="360"/>
          </w:pPr>
          <w:hyperlink w:anchor="scénarios" w:history="1">
            <w:r>
              <w:rPr>
                <w:rFonts w:ascii="Calibri" w:hAnsi="Calibri"/>
                <w:color w:val="222B2A"/>
                <w:sz w:val="18"/>
              </w:rPr>
              <w:t xml:space="preserve">38.4 Scénarios</w:t>
            </w:r>
            <w:r>
              <w:rPr>
                <w:rFonts w:ascii="Calibri" w:hAnsi="Calibri"/>
                <w:sz w:val="18"/>
              </w:rPr>
              <w:tab/>
            </w:r>
            <w:r>
              <w:rPr>
                <w:rFonts w:ascii="Calibri" w:hAnsi="Calibri"/>
                <w:color w:val="222B2A"/>
                <w:sz w:val="18"/>
              </w:rPr>
              <w:t xml:space="preserve">99</w:t>
            </w:r>
          </w:hyperlink>
        </w:p>
        <w:p>
          <w:pPr>
            <w:tabs>
              <w:tab w:val="right" w:leader="dot" w:pos="9350"/>
            </w:tabs>
            <w:spacing w:before="100" w:after="20"/>
            <w:ind w:left="0"/>
          </w:pPr>
          <w:hyperlink w:anchor="indicateurs-de-performance" w:history="1">
            <w:r>
              <w:rPr>
                <w:rFonts w:ascii="Calibri" w:hAnsi="Calibri"/>
                <w:b/>
                <w:color w:val="1BA996"/>
                <w:sz w:val="20"/>
              </w:rPr>
              <w:t xml:space="preserve">39. Indicateurs de performance</w:t>
            </w:r>
            <w:r>
              <w:rPr>
                <w:rFonts w:ascii="Calibri" w:hAnsi="Calibri"/>
                <w:sz w:val="20"/>
              </w:rPr>
              <w:tab/>
            </w:r>
            <w:r>
              <w:rPr>
                <w:rFonts w:ascii="Calibri" w:hAnsi="Calibri"/>
                <w:b/>
                <w:color w:val="1BA996"/>
                <w:sz w:val="20"/>
              </w:rPr>
              <w:t xml:space="preserve">99</w:t>
            </w:r>
          </w:hyperlink>
        </w:p>
        <w:p>
          <w:pPr>
            <w:tabs>
              <w:tab w:val="right" w:leader="dot" w:pos="9350"/>
            </w:tabs>
            <w:spacing w:before="100" w:after="20"/>
            <w:ind w:left="0"/>
          </w:pPr>
          <w:hyperlink w:anchor="registre-des-risques" w:history="1">
            <w:r>
              <w:rPr>
                <w:rFonts w:ascii="Calibri" w:hAnsi="Calibri"/>
                <w:b/>
                <w:color w:val="1BA996"/>
                <w:sz w:val="20"/>
              </w:rPr>
              <w:t xml:space="preserve">40. Registre des risques</w:t>
            </w:r>
            <w:r>
              <w:rPr>
                <w:rFonts w:ascii="Calibri" w:hAnsi="Calibri"/>
                <w:sz w:val="20"/>
              </w:rPr>
              <w:tab/>
            </w:r>
            <w:r>
              <w:rPr>
                <w:rFonts w:ascii="Calibri" w:hAnsi="Calibri"/>
                <w:b/>
                <w:color w:val="1BA996"/>
                <w:sz w:val="20"/>
              </w:rPr>
              <w:t xml:space="preserve">101</w:t>
            </w:r>
          </w:hyperlink>
        </w:p>
        <w:p>
          <w:pPr>
            <w:tabs>
              <w:tab w:val="right" w:leader="dot" w:pos="9350"/>
            </w:tabs>
            <w:spacing w:before="100" w:after="20"/>
            <w:ind w:left="0"/>
          </w:pPr>
          <w:hyperlink w:anchor="critères-dacceptation" w:history="1">
            <w:r>
              <w:rPr>
                <w:rFonts w:ascii="Calibri" w:hAnsi="Calibri"/>
                <w:b/>
                <w:color w:val="1BA996"/>
                <w:sz w:val="20"/>
              </w:rPr>
              <w:t xml:space="preserve">41. Critères d'acceptation</w:t>
            </w:r>
            <w:r>
              <w:rPr>
                <w:rFonts w:ascii="Calibri" w:hAnsi="Calibri"/>
                <w:sz w:val="20"/>
              </w:rPr>
              <w:tab/>
            </w:r>
            <w:r>
              <w:rPr>
                <w:rFonts w:ascii="Calibri" w:hAnsi="Calibri"/>
                <w:b/>
                <w:color w:val="1BA996"/>
                <w:sz w:val="20"/>
              </w:rPr>
              <w:t xml:space="preserve">104</w:t>
            </w:r>
          </w:hyperlink>
        </w:p>
        <w:p>
          <w:pPr>
            <w:tabs>
              <w:tab w:val="right" w:leader="dot" w:pos="9350"/>
            </w:tabs>
            <w:spacing w:before="100" w:after="20"/>
            <w:ind w:left="0"/>
          </w:pPr>
          <w:hyperlink w:anchor="carnet-de-développement" w:history="1">
            <w:r>
              <w:rPr>
                <w:rFonts w:ascii="Calibri" w:hAnsi="Calibri"/>
                <w:b/>
                <w:color w:val="1BA996"/>
                <w:sz w:val="20"/>
              </w:rPr>
              <w:t xml:space="preserve">42. Carnet de développement</w:t>
            </w:r>
            <w:r>
              <w:rPr>
                <w:rFonts w:ascii="Calibri" w:hAnsi="Calibri"/>
                <w:sz w:val="20"/>
              </w:rPr>
              <w:tab/>
            </w:r>
            <w:r>
              <w:rPr>
                <w:rFonts w:ascii="Calibri" w:hAnsi="Calibri"/>
                <w:b/>
                <w:color w:val="1BA996"/>
                <w:sz w:val="20"/>
              </w:rPr>
              <w:t xml:space="preserve">107</w:t>
            </w:r>
          </w:hyperlink>
        </w:p>
        <w:p>
          <w:pPr>
            <w:tabs>
              <w:tab w:val="right" w:leader="dot" w:pos="9350"/>
            </w:tabs>
            <w:spacing w:before="0" w:after="20"/>
            <w:ind w:left="360"/>
          </w:pPr>
          <w:hyperlink w:anchor="Xaea5137c30319f70f44f19d9199168e1d778a1b" w:history="1">
            <w:r>
              <w:rPr>
                <w:rFonts w:ascii="Calibri" w:hAnsi="Calibri"/>
                <w:color w:val="222B2A"/>
                <w:sz w:val="18"/>
              </w:rPr>
              <w:t xml:space="preserve">42.1 Récits de référence au format Étant donné / Lorsque / Alors</w:t>
            </w:r>
            <w:r>
              <w:rPr>
                <w:rFonts w:ascii="Calibri" w:hAnsi="Calibri"/>
                <w:sz w:val="18"/>
              </w:rPr>
              <w:tab/>
            </w:r>
            <w:r>
              <w:rPr>
                <w:rFonts w:ascii="Calibri" w:hAnsi="Calibri"/>
                <w:color w:val="222B2A"/>
                <w:sz w:val="18"/>
              </w:rPr>
              <w:t xml:space="preserve">107</w:t>
            </w:r>
          </w:hyperlink>
        </w:p>
        <w:p>
          <w:pPr>
            <w:tabs>
              <w:tab w:val="right" w:leader="dot" w:pos="9350"/>
            </w:tabs>
            <w:spacing w:before="0" w:after="20"/>
            <w:ind w:left="360"/>
          </w:pPr>
          <w:hyperlink w:anchor="carnet-par-épopées-epic-feature-story" w:history="1">
            <w:r>
              <w:rPr>
                <w:rFonts w:ascii="Calibri" w:hAnsi="Calibri"/>
                <w:color w:val="222B2A"/>
                <w:sz w:val="18"/>
              </w:rPr>
              <w:t xml:space="preserve">42.2 Carnet par épopées (Epic → Feature → Story)</w:t>
            </w:r>
            <w:r>
              <w:rPr>
                <w:rFonts w:ascii="Calibri" w:hAnsi="Calibri"/>
                <w:sz w:val="18"/>
              </w:rPr>
              <w:tab/>
            </w:r>
            <w:r>
              <w:rPr>
                <w:rFonts w:ascii="Calibri" w:hAnsi="Calibri"/>
                <w:color w:val="222B2A"/>
                <w:sz w:val="18"/>
              </w:rPr>
              <w:t xml:space="preserve">108</w:t>
            </w:r>
          </w:hyperlink>
        </w:p>
        <w:p>
          <w:pPr>
            <w:tabs>
              <w:tab w:val="right" w:leader="dot" w:pos="9350"/>
            </w:tabs>
            <w:spacing w:before="0" w:after="20"/>
            <w:ind w:left="360"/>
          </w:pPr>
          <w:hyperlink w:anchor="récits-ajoutés-en-version-2.1" w:history="1">
            <w:r>
              <w:rPr>
                <w:rFonts w:ascii="Calibri" w:hAnsi="Calibri"/>
                <w:color w:val="222B2A"/>
                <w:sz w:val="18"/>
              </w:rPr>
              <w:t xml:space="preserve">42.3 Récits ajoutés en version 2.1</w:t>
            </w:r>
            <w:r>
              <w:rPr>
                <w:rFonts w:ascii="Calibri" w:hAnsi="Calibri"/>
                <w:sz w:val="18"/>
              </w:rPr>
              <w:tab/>
            </w:r>
            <w:r>
              <w:rPr>
                <w:rFonts w:ascii="Calibri" w:hAnsi="Calibri"/>
                <w:color w:val="222B2A"/>
                <w:sz w:val="18"/>
              </w:rPr>
              <w:t xml:space="preserve">108</w:t>
            </w:r>
          </w:hyperlink>
        </w:p>
        <w:p>
          <w:pPr>
            <w:tabs>
              <w:tab w:val="right" w:leader="dot" w:pos="9350"/>
            </w:tabs>
            <w:spacing w:before="0" w:after="20"/>
            <w:ind w:left="360"/>
          </w:pPr>
          <w:hyperlink w:anchor="épopées-ajoutées-en-version-2.1" w:history="1">
            <w:r>
              <w:rPr>
                <w:rFonts w:ascii="Calibri" w:hAnsi="Calibri"/>
                <w:color w:val="222B2A"/>
                <w:sz w:val="18"/>
              </w:rPr>
              <w:t xml:space="preserve">42.4 Épopées ajoutées en version 2.1</w:t>
            </w:r>
            <w:r>
              <w:rPr>
                <w:rFonts w:ascii="Calibri" w:hAnsi="Calibri"/>
                <w:sz w:val="18"/>
              </w:rPr>
              <w:tab/>
            </w:r>
            <w:r>
              <w:rPr>
                <w:rFonts w:ascii="Calibri" w:hAnsi="Calibri"/>
                <w:color w:val="222B2A"/>
                <w:sz w:val="18"/>
              </w:rPr>
              <w:t xml:space="preserve">109</w:t>
            </w:r>
          </w:hyperlink>
        </w:p>
        <w:p>
          <w:pPr>
            <w:tabs>
              <w:tab w:val="right" w:leader="dot" w:pos="9350"/>
            </w:tabs>
            <w:spacing w:before="0" w:after="20"/>
            <w:ind w:left="360"/>
          </w:pPr>
          <w:hyperlink w:anchor="récits-ajoutés-en-version-2.2" w:history="1">
            <w:r>
              <w:rPr>
                <w:rFonts w:ascii="Calibri" w:hAnsi="Calibri"/>
                <w:color w:val="222B2A"/>
                <w:sz w:val="18"/>
              </w:rPr>
              <w:t xml:space="preserve">42.5 Récits ajoutés en version 2.2</w:t>
            </w:r>
            <w:r>
              <w:rPr>
                <w:rFonts w:ascii="Calibri" w:hAnsi="Calibri"/>
                <w:sz w:val="18"/>
              </w:rPr>
              <w:tab/>
            </w:r>
            <w:r>
              <w:rPr>
                <w:rFonts w:ascii="Calibri" w:hAnsi="Calibri"/>
                <w:color w:val="222B2A"/>
                <w:sz w:val="18"/>
              </w:rPr>
              <w:t xml:space="preserve">109</w:t>
            </w:r>
          </w:hyperlink>
        </w:p>
        <w:p>
          <w:pPr>
            <w:tabs>
              <w:tab w:val="right" w:leader="dot" w:pos="9350"/>
            </w:tabs>
            <w:spacing w:before="0" w:after="20"/>
            <w:ind w:left="360"/>
          </w:pPr>
          <w:hyperlink w:anchor="épopées-ajoutées-en-version-2.2" w:history="1">
            <w:r>
              <w:rPr>
                <w:rFonts w:ascii="Calibri" w:hAnsi="Calibri"/>
                <w:color w:val="222B2A"/>
                <w:sz w:val="18"/>
              </w:rPr>
              <w:t xml:space="preserve">42.6 Épopées ajoutées en version 2.2</w:t>
            </w:r>
            <w:r>
              <w:rPr>
                <w:rFonts w:ascii="Calibri" w:hAnsi="Calibri"/>
                <w:sz w:val="18"/>
              </w:rPr>
              <w:tab/>
            </w:r>
            <w:r>
              <w:rPr>
                <w:rFonts w:ascii="Calibri" w:hAnsi="Calibri"/>
                <w:color w:val="222B2A"/>
                <w:sz w:val="18"/>
              </w:rPr>
              <w:t xml:space="preserve">109</w:t>
            </w:r>
          </w:hyperlink>
        </w:p>
        <w:p>
          <w:pPr>
            <w:tabs>
              <w:tab w:val="right" w:leader="dot" w:pos="9350"/>
            </w:tabs>
            <w:spacing w:before="0" w:after="20"/>
            <w:ind w:left="360"/>
          </w:pPr>
          <w:hyperlink w:anchor="épopée-ajoutée-en-version-2.3" w:history="1">
            <w:r>
              <w:rPr>
                <w:rFonts w:ascii="Calibri" w:hAnsi="Calibri"/>
                <w:color w:val="222B2A"/>
                <w:sz w:val="18"/>
              </w:rPr>
              <w:t xml:space="preserve">42.7 Épopée ajoutée en version 2.3</w:t>
            </w:r>
            <w:r>
              <w:rPr>
                <w:rFonts w:ascii="Calibri" w:hAnsi="Calibri"/>
                <w:sz w:val="18"/>
              </w:rPr>
              <w:tab/>
            </w:r>
            <w:r>
              <w:rPr>
                <w:rFonts w:ascii="Calibri" w:hAnsi="Calibri"/>
                <w:color w:val="222B2A"/>
                <w:sz w:val="18"/>
              </w:rPr>
              <w:t xml:space="preserve">110</w:t>
            </w:r>
          </w:hyperlink>
        </w:p>
        <w:p>
          <w:pPr>
            <w:tabs>
              <w:tab w:val="right" w:leader="dot" w:pos="9350"/>
            </w:tabs>
            <w:spacing w:before="0" w:after="20"/>
            <w:ind w:left="360"/>
          </w:pPr>
          <w:hyperlink w:anchor="épopée-ajoutée-en-version-2.5" w:history="1">
            <w:r>
              <w:rPr>
                <w:rFonts w:ascii="Calibri" w:hAnsi="Calibri"/>
                <w:color w:val="222B2A"/>
                <w:sz w:val="18"/>
              </w:rPr>
              <w:t xml:space="preserve">42.8 Épopée ajoutée en version 2.5</w:t>
            </w:r>
            <w:r>
              <w:rPr>
                <w:rFonts w:ascii="Calibri" w:hAnsi="Calibri"/>
                <w:sz w:val="18"/>
              </w:rPr>
              <w:tab/>
            </w:r>
            <w:r>
              <w:rPr>
                <w:rFonts w:ascii="Calibri" w:hAnsi="Calibri"/>
                <w:color w:val="222B2A"/>
                <w:sz w:val="18"/>
              </w:rPr>
              <w:t xml:space="preserve">110</w:t>
            </w:r>
          </w:hyperlink>
        </w:p>
        <w:p>
          <w:pPr>
            <w:tabs>
              <w:tab w:val="right" w:leader="dot" w:pos="9350"/>
            </w:tabs>
            <w:spacing w:before="0" w:after="20"/>
            <w:ind w:left="360"/>
          </w:pPr>
          <w:hyperlink w:anchor="épopées-ajoutées-en-version-2.7" w:history="1">
            <w:r>
              <w:rPr>
                <w:rFonts w:ascii="Calibri" w:hAnsi="Calibri"/>
                <w:color w:val="222B2A"/>
                <w:sz w:val="18"/>
              </w:rPr>
              <w:t xml:space="preserve">42.9 Épopées ajoutées en version 2.7</w:t>
            </w:r>
            <w:r>
              <w:rPr>
                <w:rFonts w:ascii="Calibri" w:hAnsi="Calibri"/>
                <w:sz w:val="18"/>
              </w:rPr>
              <w:tab/>
            </w:r>
            <w:r>
              <w:rPr>
                <w:rFonts w:ascii="Calibri" w:hAnsi="Calibri"/>
                <w:color w:val="222B2A"/>
                <w:sz w:val="18"/>
              </w:rPr>
              <w:t xml:space="preserve">110</w:t>
            </w:r>
          </w:hyperlink>
        </w:p>
        <w:p>
          <w:pPr>
            <w:tabs>
              <w:tab w:val="right" w:leader="dot" w:pos="9350"/>
            </w:tabs>
            <w:spacing w:before="0" w:after="20"/>
            <w:ind w:left="360"/>
          </w:pPr>
          <w:hyperlink w:anchor="épopée-ajoutée-en-versions-2.8-et-2.9" w:history="1">
            <w:r>
              <w:rPr>
                <w:rFonts w:ascii="Calibri" w:hAnsi="Calibri"/>
                <w:color w:val="222B2A"/>
                <w:sz w:val="18"/>
              </w:rPr>
              <w:t xml:space="preserve">42.10 Épopée ajoutée en versions 2.8 et 2.9</w:t>
            </w:r>
            <w:r>
              <w:rPr>
                <w:rFonts w:ascii="Calibri" w:hAnsi="Calibri"/>
                <w:sz w:val="18"/>
              </w:rPr>
              <w:tab/>
            </w:r>
            <w:r>
              <w:rPr>
                <w:rFonts w:ascii="Calibri" w:hAnsi="Calibri"/>
                <w:color w:val="222B2A"/>
                <w:sz w:val="18"/>
              </w:rPr>
              <w:t xml:space="preserve">110</w:t>
            </w:r>
          </w:hyperlink>
        </w:p>
        <w:p>
          <w:pPr>
            <w:tabs>
              <w:tab w:val="right" w:leader="dot" w:pos="9350"/>
            </w:tabs>
            <w:spacing w:before="100" w:after="20"/>
            <w:ind w:left="0"/>
          </w:pPr>
          <w:hyperlink w:anchor="plan-de-livraison-par-versions" w:history="1">
            <w:r>
              <w:rPr>
                <w:rFonts w:ascii="Calibri" w:hAnsi="Calibri"/>
                <w:b/>
                <w:color w:val="1BA996"/>
                <w:sz w:val="20"/>
              </w:rPr>
              <w:t xml:space="preserve">43. Plan de livraison par versions</w:t>
            </w:r>
            <w:r>
              <w:rPr>
                <w:rFonts w:ascii="Calibri" w:hAnsi="Calibri"/>
                <w:sz w:val="20"/>
              </w:rPr>
              <w:tab/>
            </w:r>
            <w:r>
              <w:rPr>
                <w:rFonts w:ascii="Calibri" w:hAnsi="Calibri"/>
                <w:b/>
                <w:color w:val="1BA996"/>
                <w:sz w:val="20"/>
              </w:rPr>
              <w:t xml:space="preserve">110</w:t>
            </w:r>
          </w:hyperlink>
        </w:p>
        <w:p>
          <w:pPr>
            <w:tabs>
              <w:tab w:val="right" w:leader="dot" w:pos="9350"/>
            </w:tabs>
            <w:spacing w:before="100" w:after="20"/>
            <w:ind w:left="0"/>
          </w:pPr>
          <w:hyperlink w:anchor="stratégie-de-tests" w:history="1">
            <w:r>
              <w:rPr>
                <w:rFonts w:ascii="Calibri" w:hAnsi="Calibri"/>
                <w:b/>
                <w:color w:val="1BA996"/>
                <w:sz w:val="20"/>
              </w:rPr>
              <w:t xml:space="preserve">44. Stratégie de tests</w:t>
            </w:r>
            <w:r>
              <w:rPr>
                <w:rFonts w:ascii="Calibri" w:hAnsi="Calibri"/>
                <w:sz w:val="20"/>
              </w:rPr>
              <w:tab/>
            </w:r>
            <w:r>
              <w:rPr>
                <w:rFonts w:ascii="Calibri" w:hAnsi="Calibri"/>
                <w:b/>
                <w:color w:val="1BA996"/>
                <w:sz w:val="20"/>
              </w:rPr>
              <w:t xml:space="preserve">111</w:t>
            </w:r>
          </w:hyperlink>
        </w:p>
        <w:p>
          <w:pPr>
            <w:tabs>
              <w:tab w:val="right" w:leader="dot" w:pos="9350"/>
            </w:tabs>
            <w:spacing w:before="100" w:after="20"/>
            <w:ind w:left="0"/>
          </w:pPr>
          <w:hyperlink w:anchor="plan-de-pilote-de-180-jours" w:history="1">
            <w:r>
              <w:rPr>
                <w:rFonts w:ascii="Calibri" w:hAnsi="Calibri"/>
                <w:b/>
                <w:color w:val="1BA996"/>
                <w:sz w:val="20"/>
              </w:rPr>
              <w:t xml:space="preserve">45. Plan de pilote de 180 jours</w:t>
            </w:r>
            <w:r>
              <w:rPr>
                <w:rFonts w:ascii="Calibri" w:hAnsi="Calibri"/>
                <w:sz w:val="20"/>
              </w:rPr>
              <w:tab/>
            </w:r>
            <w:r>
              <w:rPr>
                <w:rFonts w:ascii="Calibri" w:hAnsi="Calibri"/>
                <w:b/>
                <w:color w:val="1BA996"/>
                <w:sz w:val="20"/>
              </w:rPr>
              <w:t xml:space="preserve">112</w:t>
            </w:r>
          </w:hyperlink>
        </w:p>
        <w:p>
          <w:pPr>
            <w:tabs>
              <w:tab w:val="right" w:leader="dot" w:pos="9350"/>
            </w:tabs>
            <w:spacing w:before="0" w:after="20"/>
            <w:ind w:left="360"/>
          </w:pPr>
          <w:hyperlink w:anchor="communes-proposées" w:history="1">
            <w:r>
              <w:rPr>
                <w:rFonts w:ascii="Calibri" w:hAnsi="Calibri"/>
                <w:color w:val="222B2A"/>
                <w:sz w:val="18"/>
              </w:rPr>
              <w:t xml:space="preserve">45.1 Communes proposées</w:t>
            </w:r>
            <w:r>
              <w:rPr>
                <w:rFonts w:ascii="Calibri" w:hAnsi="Calibri"/>
                <w:sz w:val="18"/>
              </w:rPr>
              <w:tab/>
            </w:r>
            <w:r>
              <w:rPr>
                <w:rFonts w:ascii="Calibri" w:hAnsi="Calibri"/>
                <w:color w:val="222B2A"/>
                <w:sz w:val="18"/>
              </w:rPr>
              <w:t xml:space="preserve">112</w:t>
            </w:r>
          </w:hyperlink>
        </w:p>
        <w:p>
          <w:pPr>
            <w:tabs>
              <w:tab w:val="right" w:leader="dot" w:pos="9350"/>
            </w:tabs>
            <w:spacing w:before="0" w:after="20"/>
            <w:ind w:left="360"/>
          </w:pPr>
          <w:hyperlink w:anchor="séquence" w:history="1">
            <w:r>
              <w:rPr>
                <w:rFonts w:ascii="Calibri" w:hAnsi="Calibri"/>
                <w:color w:val="222B2A"/>
                <w:sz w:val="18"/>
              </w:rPr>
              <w:t xml:space="preserve">45.2 Séquence</w:t>
            </w:r>
            <w:r>
              <w:rPr>
                <w:rFonts w:ascii="Calibri" w:hAnsi="Calibri"/>
                <w:sz w:val="18"/>
              </w:rPr>
              <w:tab/>
            </w:r>
            <w:r>
              <w:rPr>
                <w:rFonts w:ascii="Calibri" w:hAnsi="Calibri"/>
                <w:color w:val="222B2A"/>
                <w:sz w:val="18"/>
              </w:rPr>
              <w:t xml:space="preserve">112</w:t>
            </w:r>
          </w:hyperlink>
        </w:p>
        <w:p>
          <w:pPr>
            <w:tabs>
              <w:tab w:val="right" w:leader="dot" w:pos="9350"/>
            </w:tabs>
            <w:spacing w:before="0" w:after="20"/>
            <w:ind w:left="360"/>
          </w:pPr>
          <w:hyperlink w:anchor="critères-de-succès-du-pilote" w:history="1">
            <w:r>
              <w:rPr>
                <w:rFonts w:ascii="Calibri" w:hAnsi="Calibri"/>
                <w:color w:val="222B2A"/>
                <w:sz w:val="18"/>
              </w:rPr>
              <w:t xml:space="preserve">45.3 Critères de succès du pilote</w:t>
            </w:r>
            <w:r>
              <w:rPr>
                <w:rFonts w:ascii="Calibri" w:hAnsi="Calibri"/>
                <w:sz w:val="18"/>
              </w:rPr>
              <w:tab/>
            </w:r>
            <w:r>
              <w:rPr>
                <w:rFonts w:ascii="Calibri" w:hAnsi="Calibri"/>
                <w:color w:val="222B2A"/>
                <w:sz w:val="18"/>
              </w:rPr>
              <w:t xml:space="preserve">112</w:t>
            </w:r>
          </w:hyperlink>
        </w:p>
        <w:p>
          <w:pPr>
            <w:tabs>
              <w:tab w:val="right" w:leader="dot" w:pos="9350"/>
            </w:tabs>
            <w:spacing w:before="0" w:after="20"/>
            <w:ind w:left="360"/>
          </w:pPr>
          <w:hyperlink w:anchor="X25c8b7fb2c048a3cbb0b9b46c4e4b834a00614a" w:history="1">
            <w:r>
              <w:rPr>
                <w:rFonts w:ascii="Calibri" w:hAnsi="Calibri"/>
                <w:color w:val="222B2A"/>
                <w:sz w:val="18"/>
              </w:rPr>
              <w:t xml:space="preserve">45.4 Matrice de priorité des domaines du pilote</w:t>
            </w:r>
            <w:r>
              <w:rPr>
                <w:rFonts w:ascii="Calibri" w:hAnsi="Calibri"/>
                <w:sz w:val="18"/>
              </w:rPr>
              <w:tab/>
            </w:r>
            <w:r>
              <w:rPr>
                <w:rFonts w:ascii="Calibri" w:hAnsi="Calibri"/>
                <w:color w:val="222B2A"/>
                <w:sz w:val="18"/>
              </w:rPr>
              <w:t xml:space="preserve">112</w:t>
            </w:r>
          </w:hyperlink>
        </w:p>
        <w:p>
          <w:pPr>
            <w:tabs>
              <w:tab w:val="right" w:leader="dot" w:pos="9350"/>
            </w:tabs>
            <w:spacing w:before="0" w:after="20"/>
            <w:ind w:left="360"/>
          </w:pPr>
          <w:hyperlink w:anchor="protocole-dévaluation" w:history="1">
            <w:r>
              <w:rPr>
                <w:rFonts w:ascii="Calibri" w:hAnsi="Calibri"/>
                <w:color w:val="222B2A"/>
                <w:sz w:val="18"/>
              </w:rPr>
              <w:t xml:space="preserve">45.5 Protocole d’évaluation</w:t>
            </w:r>
            <w:r>
              <w:rPr>
                <w:rFonts w:ascii="Calibri" w:hAnsi="Calibri"/>
                <w:sz w:val="18"/>
              </w:rPr>
              <w:tab/>
            </w:r>
            <w:r>
              <w:rPr>
                <w:rFonts w:ascii="Calibri" w:hAnsi="Calibri"/>
                <w:color w:val="222B2A"/>
                <w:sz w:val="18"/>
              </w:rPr>
              <w:t xml:space="preserve">113</w:t>
            </w:r>
          </w:hyperlink>
        </w:p>
        <w:p>
          <w:pPr>
            <w:tabs>
              <w:tab w:val="right" w:leader="dot" w:pos="9350"/>
            </w:tabs>
            <w:spacing w:before="0" w:after="20"/>
            <w:ind w:left="360"/>
          </w:pPr>
          <w:hyperlink w:anchor="Xa51f930aa1b55a0fe645f675ef668899ffdb716" w:history="1">
            <w:r>
              <w:rPr>
                <w:rFonts w:ascii="Calibri" w:hAnsi="Calibri"/>
                <w:color w:val="222B2A"/>
                <w:sz w:val="18"/>
              </w:rPr>
              <w:t xml:space="preserve">45.6 Volet inclusion et sous-traitance du pilote</w:t>
            </w:r>
            <w:r>
              <w:rPr>
                <w:rFonts w:ascii="Calibri" w:hAnsi="Calibri"/>
                <w:sz w:val="18"/>
              </w:rPr>
              <w:tab/>
            </w:r>
            <w:r>
              <w:rPr>
                <w:rFonts w:ascii="Calibri" w:hAnsi="Calibri"/>
                <w:color w:val="222B2A"/>
                <w:sz w:val="18"/>
              </w:rPr>
              <w:t xml:space="preserve">113</w:t>
            </w:r>
          </w:hyperlink>
        </w:p>
        <w:p>
          <w:pPr>
            <w:tabs>
              <w:tab w:val="right" w:leader="dot" w:pos="9350"/>
            </w:tabs>
            <w:spacing w:before="100" w:after="20"/>
            <w:ind w:left="0"/>
          </w:pPr>
          <w:hyperlink w:anchor="plan-des-100-premiers-jours" w:history="1">
            <w:r>
              <w:rPr>
                <w:rFonts w:ascii="Calibri" w:hAnsi="Calibri"/>
                <w:b/>
                <w:color w:val="1BA996"/>
                <w:sz w:val="20"/>
              </w:rPr>
              <w:t xml:space="preserve">46. Plan des 100 premiers jours</w:t>
            </w:r>
            <w:r>
              <w:rPr>
                <w:rFonts w:ascii="Calibri" w:hAnsi="Calibri"/>
                <w:sz w:val="20"/>
              </w:rPr>
              <w:tab/>
            </w:r>
            <w:r>
              <w:rPr>
                <w:rFonts w:ascii="Calibri" w:hAnsi="Calibri"/>
                <w:b/>
                <w:color w:val="1BA996"/>
                <w:sz w:val="20"/>
              </w:rPr>
              <w:t xml:space="preserve">113</w:t>
            </w:r>
          </w:hyperlink>
        </w:p>
        <w:p>
          <w:pPr>
            <w:tabs>
              <w:tab w:val="right" w:leader="dot" w:pos="9350"/>
            </w:tabs>
            <w:spacing w:before="100" w:after="20"/>
            <w:ind w:left="0"/>
          </w:pPr>
          <w:hyperlink w:anchor="X6cd11b2f19838e194b6445197a7bdfffe33e645" w:history="1">
            <w:r>
              <w:rPr>
                <w:rFonts w:ascii="Calibri" w:hAnsi="Calibri"/>
                <w:b/>
                <w:color w:val="1BA996"/>
                <w:sz w:val="20"/>
              </w:rPr>
              <w:t xml:space="preserve">47. Décisions requises du Gouvernement provincial</w:t>
            </w:r>
            <w:r>
              <w:rPr>
                <w:rFonts w:ascii="Calibri" w:hAnsi="Calibri"/>
                <w:sz w:val="20"/>
              </w:rPr>
              <w:tab/>
            </w:r>
            <w:r>
              <w:rPr>
                <w:rFonts w:ascii="Calibri" w:hAnsi="Calibri"/>
                <w:b/>
                <w:color w:val="1BA996"/>
                <w:sz w:val="20"/>
              </w:rPr>
              <w:t xml:space="preserve">114</w:t>
            </w:r>
          </w:hyperlink>
        </w:p>
        <w:p>
          <w:pPr>
            <w:tabs>
              <w:tab w:val="right" w:leader="dot" w:pos="9350"/>
            </w:tabs>
            <w:spacing w:before="0" w:after="20"/>
            <w:ind w:left="360"/>
          </w:pPr>
          <w:hyperlink w:anchor="dix-décisions-immédiates" w:history="1">
            <w:r>
              <w:rPr>
                <w:rFonts w:ascii="Calibri" w:hAnsi="Calibri"/>
                <w:color w:val="222B2A"/>
                <w:sz w:val="18"/>
              </w:rPr>
              <w:t xml:space="preserve">47.1 Dix décisions immédiates</w:t>
            </w:r>
            <w:r>
              <w:rPr>
                <w:rFonts w:ascii="Calibri" w:hAnsi="Calibri"/>
                <w:sz w:val="18"/>
              </w:rPr>
              <w:tab/>
            </w:r>
            <w:r>
              <w:rPr>
                <w:rFonts w:ascii="Calibri" w:hAnsi="Calibri"/>
                <w:color w:val="222B2A"/>
                <w:sz w:val="18"/>
              </w:rPr>
              <w:t xml:space="preserve">114</w:t>
            </w:r>
          </w:hyperlink>
        </w:p>
        <w:p>
          <w:pPr>
            <w:tabs>
              <w:tab w:val="right" w:leader="dot" w:pos="9350"/>
            </w:tabs>
            <w:spacing w:before="0" w:after="20"/>
            <w:ind w:left="360"/>
          </w:pPr>
          <w:hyperlink w:anchor="synthèse-finale" w:history="1">
            <w:r>
              <w:rPr>
                <w:rFonts w:ascii="Calibri" w:hAnsi="Calibri"/>
                <w:color w:val="222B2A"/>
                <w:sz w:val="18"/>
              </w:rPr>
              <w:t xml:space="preserve">47.2 Synthèse finale</w:t>
            </w:r>
            <w:r>
              <w:rPr>
                <w:rFonts w:ascii="Calibri" w:hAnsi="Calibri"/>
                <w:sz w:val="18"/>
              </w:rPr>
              <w:tab/>
            </w:r>
            <w:r>
              <w:rPr>
                <w:rFonts w:ascii="Calibri" w:hAnsi="Calibri"/>
                <w:color w:val="222B2A"/>
                <w:sz w:val="18"/>
              </w:rPr>
              <w:t xml:space="preserve">115</w:t>
            </w:r>
          </w:hyperlink>
        </w:p>
        <w:p>
          <w:pPr>
            <w:tabs>
              <w:tab w:val="right" w:leader="dot" w:pos="9350"/>
            </w:tabs>
            <w:spacing w:before="0" w:after="20"/>
            <w:ind w:left="360"/>
          </w:pPr>
          <w:hyperlink w:anchor="décisions-complémentaires-de-gouvernance" w:history="1">
            <w:r>
              <w:rPr>
                <w:rFonts w:ascii="Calibri" w:hAnsi="Calibri"/>
                <w:color w:val="222B2A"/>
                <w:sz w:val="18"/>
              </w:rPr>
              <w:t xml:space="preserve">47.3 Décisions complémentaires de gouvernance</w:t>
            </w:r>
            <w:r>
              <w:rPr>
                <w:rFonts w:ascii="Calibri" w:hAnsi="Calibri"/>
                <w:sz w:val="18"/>
              </w:rPr>
              <w:tab/>
            </w:r>
            <w:r>
              <w:rPr>
                <w:rFonts w:ascii="Calibri" w:hAnsi="Calibri"/>
                <w:color w:val="222B2A"/>
                <w:sz w:val="18"/>
              </w:rPr>
              <w:t xml:space="preserve">115</w:t>
            </w:r>
          </w:hyperlink>
        </w:p>
        <w:p>
          <w:pPr>
            <w:tabs>
              <w:tab w:val="right" w:leader="dot" w:pos="9350"/>
            </w:tabs>
            <w:spacing w:before="0" w:after="20"/>
            <w:ind w:left="360"/>
          </w:pPr>
          <w:hyperlink w:anchor="conclusion" w:history="1">
            <w:r>
              <w:rPr>
                <w:rFonts w:ascii="Calibri" w:hAnsi="Calibri"/>
                <w:color w:val="222B2A"/>
                <w:sz w:val="18"/>
              </w:rPr>
              <w:t xml:space="preserve">47.4 Conclusion</w:t>
            </w:r>
            <w:r>
              <w:rPr>
                <w:rFonts w:ascii="Calibri" w:hAnsi="Calibri"/>
                <w:sz w:val="18"/>
              </w:rPr>
              <w:tab/>
            </w:r>
            <w:r>
              <w:rPr>
                <w:rFonts w:ascii="Calibri" w:hAnsi="Calibri"/>
                <w:color w:val="222B2A"/>
                <w:sz w:val="18"/>
              </w:rPr>
              <w:t xml:space="preserve">116</w:t>
            </w:r>
          </w:hyperlink>
        </w:p>
        <w:p>
          <w:pPr>
            <w:tabs>
              <w:tab w:val="right" w:leader="dot" w:pos="9350"/>
            </w:tabs>
            <w:spacing w:before="100" w:after="20"/>
            <w:ind w:left="0"/>
          </w:pPr>
          <w:hyperlink w:anchor="X7994ab54c4d37c82fca6561a034d418cac2c104" w:history="1">
            <w:r>
              <w:rPr>
                <w:rFonts w:ascii="Calibri" w:hAnsi="Calibri"/>
                <w:b/>
                <w:color w:val="1BA996"/>
                <w:sz w:val="20"/>
              </w:rPr>
              <w:t xml:space="preserve">Annexe A — Sources consultées et niveau de fiabilité</w:t>
            </w:r>
            <w:r>
              <w:rPr>
                <w:rFonts w:ascii="Calibri" w:hAnsi="Calibri"/>
                <w:sz w:val="20"/>
              </w:rPr>
              <w:tab/>
            </w:r>
            <w:r>
              <w:rPr>
                <w:rFonts w:ascii="Calibri" w:hAnsi="Calibri"/>
                <w:b/>
                <w:color w:val="1BA996"/>
                <w:sz w:val="20"/>
              </w:rPr>
              <w:t xml:space="preserve">117</w:t>
            </w:r>
          </w:hyperlink>
        </w:p>
        <w:p>
          <w:pPr>
            <w:tabs>
              <w:tab w:val="right" w:leader="dot" w:pos="9350"/>
            </w:tabs>
            <w:spacing w:before="100" w:after="20"/>
            <w:ind w:left="0"/>
          </w:pPr>
          <w:hyperlink w:anchor="Xc279ffddec9ad4566f7e3c4efc25e875accd0a3" w:history="1">
            <w:r>
              <w:rPr>
                <w:rFonts w:ascii="Calibri" w:hAnsi="Calibri"/>
                <w:b/>
                <w:color w:val="1BA996"/>
                <w:sz w:val="20"/>
              </w:rPr>
              <w:t xml:space="preserve">Annexe B — Points à vérifier avant mise en production</w:t>
            </w:r>
            <w:r>
              <w:rPr>
                <w:rFonts w:ascii="Calibri" w:hAnsi="Calibri"/>
                <w:sz w:val="20"/>
              </w:rPr>
              <w:tab/>
            </w:r>
            <w:r>
              <w:rPr>
                <w:rFonts w:ascii="Calibri" w:hAnsi="Calibri"/>
                <w:b/>
                <w:color w:val="1BA996"/>
                <w:sz w:val="20"/>
              </w:rPr>
              <w:t xml:space="preserve">118</w:t>
            </w:r>
          </w:hyperlink>
        </w:p>
        <w:p>
          <w:pPr>
            <w:tabs>
              <w:tab w:val="right" w:leader="dot" w:pos="9350"/>
            </w:tabs>
            <w:spacing w:before="100" w:after="20"/>
            <w:ind w:left="0"/>
          </w:pPr>
          <w:hyperlink w:anchor="X6187b1ef529655b31c69ed7c1e6722536cd484d" w:history="1">
            <w:r>
              <w:rPr>
                <w:rFonts w:ascii="Calibri" w:hAnsi="Calibri"/>
                <w:b/>
                <w:color w:val="1BA996"/>
                <w:sz w:val="20"/>
              </w:rPr>
              <w:t xml:space="preserve">Annexe C — Glossaire et correspondance terminologique</w:t>
            </w:r>
            <w:r>
              <w:rPr>
                <w:rFonts w:ascii="Calibri" w:hAnsi="Calibri"/>
                <w:sz w:val="20"/>
              </w:rPr>
              <w:tab/>
            </w:r>
            <w:r>
              <w:rPr>
                <w:rFonts w:ascii="Calibri" w:hAnsi="Calibri"/>
                <w:b/>
                <w:color w:val="1BA996"/>
                <w:sz w:val="20"/>
              </w:rPr>
              <w:t xml:space="preserve">119</w:t>
            </w:r>
          </w:hyperlink>
        </w:p>
        <w:p>
          <w:pPr>
            <w:tabs>
              <w:tab w:val="right" w:leader="dot" w:pos="9350"/>
            </w:tabs>
            <w:spacing w:before="100" w:after="20"/>
            <w:ind w:left="0"/>
          </w:pPr>
          <w:hyperlink w:anchor="X5983c25d8643eaf94fefa93c35a5198803f254c" w:history="1">
            <w:r>
              <w:rPr>
                <w:rFonts w:ascii="Calibri" w:hAnsi="Calibri"/>
                <w:b/>
                <w:color w:val="1BA996"/>
                <w:sz w:val="20"/>
              </w:rPr>
              <w:t xml:space="preserve">Annexe D — Matrice de traçabilité de la consolidation</w:t>
            </w:r>
            <w:r>
              <w:rPr>
                <w:rFonts w:ascii="Calibri" w:hAnsi="Calibri"/>
                <w:sz w:val="20"/>
              </w:rPr>
              <w:tab/>
            </w:r>
            <w:r>
              <w:rPr>
                <w:rFonts w:ascii="Calibri" w:hAnsi="Calibri"/>
                <w:b/>
                <w:color w:val="1BA996"/>
                <w:sz w:val="20"/>
              </w:rPr>
              <w:t xml:space="preserve">122</w:t>
            </w:r>
          </w:hyperlink>
          <w:r>
            <w:rPr>
              <w:rFonts w:ascii="Calibri" w:hAnsi="Calibri"/>
              <w:sz w:val="18"/>
            </w:rPr>
            <w:fldChar w:fldCharType="end"/>
          </w:r>
        </w:p>
      </w:sdtContent>
    </w:sdt>
    <w:p>
      <w:r>
        <w:br w:type="page"/>
      </w:r>
    </w:p>
    <w:bookmarkStart w:id="20" w:name="note-de-consolidation"/>
    <w:p>
      <w:pPr>
        <w:pStyle w:val="Heading1"/>
        <w:pageBreakBefore/>
      </w:pPr>
      <w:r>
        <w:t xml:space="preserve">Note de consolidation</w:t>
      </w:r>
    </w:p>
    <w:p>
      <w:pPr>
        <w:pStyle w:val="FirstParagraph"/>
      </w:pPr>
      <w:r>
        <w:t xml:space="preserve">Le présent document est le</w:t>
      </w:r>
      <w:r>
        <w:t xml:space="preserve"> </w:t>
      </w:r>
      <w:r>
        <w:rPr>
          <w:b/>
          <w:bCs/>
        </w:rPr>
        <w:t xml:space="preserve">cahier des exigences unique</w:t>
      </w:r>
      <w:r>
        <w:t xml:space="preserve"> </w:t>
      </w:r>
      <w:r>
        <w:t xml:space="preserve">du programme KINSHASA MOSOLO. Il fusionne, sans suppression de contenu, les quatre documents de travail produits en septembre 2026 :</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blHeader/>
        </w:trPr>
        <w:tc>
          <w:tcPr>
            <w:shd w:val="clear" w:color="auto" w:fill="1BA996"/>
          </w:tcPr>
          <w:p>
            <w:pPr>
              <w:pStyle w:val="Compact"/>
              <w:spacing w:after="20" w:before="20" w:line="240" w:lineRule="auto"/>
              <w:jc w:val="left"/>
            </w:pPr>
            <w:r>
              <w:rPr>
                <w:b/>
                <w:color w:val="FFFFFF"/>
                <w:sz w:val="17"/>
              </w:rPr>
              <w:t xml:space="preserve">Réf.</w:t>
            </w:r>
          </w:p>
        </w:tc>
        <w:tc>
          <w:tcPr>
            <w:shd w:val="clear" w:color="auto" w:fill="1BA996"/>
          </w:tcPr>
          <w:p>
            <w:pPr>
              <w:pStyle w:val="Compact"/>
              <w:spacing w:after="20" w:before="20" w:line="240" w:lineRule="auto"/>
              <w:jc w:val="left"/>
            </w:pPr>
            <w:r>
              <w:rPr>
                <w:b/>
                <w:color w:val="FFFFFF"/>
                <w:sz w:val="17"/>
              </w:rPr>
              <w:t xml:space="preserve">Document source</w:t>
            </w:r>
          </w:p>
        </w:tc>
        <w:tc>
          <w:tcPr>
            <w:shd w:val="clear" w:color="auto" w:fill="1BA996"/>
          </w:tcPr>
          <w:p>
            <w:pPr>
              <w:pStyle w:val="Compact"/>
              <w:spacing w:after="20" w:before="20" w:line="240" w:lineRule="auto"/>
              <w:jc w:val="left"/>
            </w:pPr>
            <w:r>
              <w:rPr>
                <w:b/>
                <w:color w:val="FFFFFF"/>
                <w:sz w:val="17"/>
              </w:rPr>
              <w:t xml:space="preserve">Nature</w:t>
            </w:r>
          </w:p>
        </w:tc>
        <w:tc>
          <w:tcPr>
            <w:shd w:val="clear" w:color="auto" w:fill="1BA996"/>
          </w:tcPr>
          <w:p>
            <w:pPr>
              <w:pStyle w:val="Compact"/>
              <w:spacing w:after="20" w:before="20" w:line="240" w:lineRule="auto"/>
              <w:jc w:val="left"/>
            </w:pPr>
            <w:r>
              <w:rPr>
                <w:b/>
                <w:color w:val="FFFFFF"/>
                <w:sz w:val="17"/>
              </w:rPr>
              <w:t xml:space="preserve">Rôle dans la consolidation</w:t>
            </w:r>
          </w:p>
        </w:tc>
      </w:tr>
      <w:tr>
        <w:tc>
          <w:tcPr/>
          <w:p>
            <w:pPr>
              <w:pStyle w:val="Compact"/>
              <w:spacing w:after="20" w:before="20" w:line="240" w:lineRule="auto"/>
              <w:jc w:val="left"/>
            </w:pPr>
            <w:r>
              <w:rPr>
                <w:sz w:val="17"/>
              </w:rPr>
              <w:t xml:space="preserve">S1</w:t>
            </w:r>
          </w:p>
        </w:tc>
        <w:tc>
          <w:tcPr/>
          <w:p>
            <w:pPr>
              <w:pStyle w:val="Compact"/>
              <w:spacing w:after="20" w:before="20" w:line="240" w:lineRule="auto"/>
              <w:jc w:val="left"/>
            </w:pPr>
            <w:r>
              <w:rPr>
                <w:sz w:val="17"/>
              </w:rPr>
              <w:t xml:space="preserve">Document maître de conception, de gouvernance et de mise en œuvre, v1.0 (47 chapitres, annexes A et B)</w:t>
            </w:r>
          </w:p>
        </w:tc>
        <w:tc>
          <w:tcPr/>
          <w:p>
            <w:pPr>
              <w:pStyle w:val="Compact"/>
              <w:spacing w:after="20" w:before="20" w:line="240" w:lineRule="auto"/>
              <w:jc w:val="left"/>
            </w:pPr>
            <w:r>
              <w:rPr>
                <w:sz w:val="17"/>
              </w:rPr>
              <w:t xml:space="preserve">Conception, gouvernance, mise en œuvre</w:t>
            </w:r>
          </w:p>
        </w:tc>
        <w:tc>
          <w:tcPr/>
          <w:p>
            <w:pPr>
              <w:pStyle w:val="Compact"/>
              <w:spacing w:after="20" w:before="20" w:line="240" w:lineRule="auto"/>
              <w:jc w:val="left"/>
            </w:pPr>
            <w:r>
              <w:rPr>
                <w:sz w:val="17"/>
              </w:rPr>
              <w:t xml:space="preserve">Ossature intégrale : sa numérotation en 47 chapitres est conservée</w:t>
            </w:r>
          </w:p>
        </w:tc>
      </w:tr>
      <w:tr>
        <w:tc>
          <w:tcPr>
            <w:shd w:val="clear" w:color="auto" w:fill="F2F9F8"/>
          </w:tcPr>
          <w:p>
            <w:pPr>
              <w:pStyle w:val="Compact"/>
              <w:spacing w:after="20" w:before="20" w:line="240" w:lineRule="auto"/>
              <w:jc w:val="left"/>
            </w:pPr>
            <w:r>
              <w:rPr>
                <w:sz w:val="17"/>
              </w:rPr>
              <w:t xml:space="preserve">S2</w:t>
            </w:r>
          </w:p>
        </w:tc>
        <w:tc>
          <w:tcPr>
            <w:shd w:val="clear" w:color="auto" w:fill="F2F9F8"/>
          </w:tcPr>
          <w:p>
            <w:pPr>
              <w:pStyle w:val="Compact"/>
              <w:spacing w:after="20" w:before="20" w:line="240" w:lineRule="auto"/>
              <w:jc w:val="left"/>
            </w:pPr>
            <w:r>
              <w:rPr>
                <w:sz w:val="17"/>
              </w:rPr>
              <w:t xml:space="preserve">Master Product Requirements &amp; Government Implementation Document, 47 sections, v1.0 (annexes 1 à 7)</w:t>
            </w:r>
          </w:p>
        </w:tc>
        <w:tc>
          <w:tcPr>
            <w:shd w:val="clear" w:color="auto" w:fill="F2F9F8"/>
          </w:tcPr>
          <w:p>
            <w:pPr>
              <w:pStyle w:val="Compact"/>
              <w:spacing w:after="20" w:before="20" w:line="240" w:lineRule="auto"/>
              <w:jc w:val="left"/>
            </w:pPr>
            <w:r>
              <w:rPr>
                <w:sz w:val="17"/>
              </w:rPr>
              <w:t xml:space="preserve">Exigences produit prêtes pour le développement</w:t>
            </w:r>
          </w:p>
        </w:tc>
        <w:tc>
          <w:tcPr>
            <w:shd w:val="clear" w:color="auto" w:fill="F2F9F8"/>
          </w:tcPr>
          <w:p>
            <w:pPr>
              <w:pStyle w:val="Compact"/>
              <w:spacing w:after="20" w:before="20" w:line="240" w:lineRule="auto"/>
              <w:jc w:val="left"/>
            </w:pPr>
            <w:r>
              <w:rPr>
                <w:sz w:val="17"/>
              </w:rPr>
              <w:t xml:space="preserve">Exigences techniques, matrices, états, API, backlog insérés dans les chapitres concernés</w:t>
            </w:r>
          </w:p>
        </w:tc>
      </w:tr>
      <w:tr>
        <w:tc>
          <w:tcPr/>
          <w:p>
            <w:pPr>
              <w:pStyle w:val="Compact"/>
              <w:spacing w:after="20" w:before="20" w:line="240" w:lineRule="auto"/>
              <w:jc w:val="left"/>
            </w:pPr>
            <w:r>
              <w:rPr>
                <w:sz w:val="17"/>
              </w:rPr>
              <w:t xml:space="preserve">S3</w:t>
            </w:r>
          </w:p>
        </w:tc>
        <w:tc>
          <w:tcPr/>
          <w:p>
            <w:pPr>
              <w:pStyle w:val="Compact"/>
              <w:spacing w:after="20" w:before="20" w:line="240" w:lineRule="auto"/>
              <w:jc w:val="left"/>
            </w:pPr>
            <w:r>
              <w:rPr>
                <w:sz w:val="17"/>
              </w:rPr>
              <w:t xml:space="preserve">Dossier consolidé — Gouverneur et Spécification directrice, v1.0 (37 points, annexes A à C)</w:t>
            </w:r>
          </w:p>
        </w:tc>
        <w:tc>
          <w:tcPr/>
          <w:p>
            <w:pPr>
              <w:pStyle w:val="Compact"/>
              <w:spacing w:after="20" w:before="20" w:line="240" w:lineRule="auto"/>
              <w:jc w:val="left"/>
            </w:pPr>
            <w:r>
              <w:rPr>
                <w:sz w:val="17"/>
              </w:rPr>
              <w:t xml:space="preserve">Note au Gouverneur et spécification directrice</w:t>
            </w:r>
          </w:p>
        </w:tc>
        <w:tc>
          <w:tcPr/>
          <w:p>
            <w:pPr>
              <w:pStyle w:val="Compact"/>
              <w:spacing w:after="20" w:before="20" w:line="240" w:lineRule="auto"/>
              <w:jc w:val="left"/>
            </w:pPr>
            <w:r>
              <w:rPr>
                <w:sz w:val="17"/>
              </w:rPr>
              <w:t xml:space="preserve">Principes, Constitution financière, verticales, lots, décisions insérés dans les chapitres concernés</w:t>
            </w:r>
          </w:p>
        </w:tc>
      </w:tr>
      <w:tr>
        <w:tc>
          <w:tcPr>
            <w:shd w:val="clear" w:color="auto" w:fill="F2F9F8"/>
          </w:tcPr>
          <w:p>
            <w:pPr>
              <w:pStyle w:val="Compact"/>
              <w:spacing w:after="20" w:before="20" w:line="240" w:lineRule="auto"/>
              <w:jc w:val="left"/>
            </w:pPr>
            <w:r>
              <w:rPr>
                <w:sz w:val="17"/>
              </w:rPr>
              <w:t xml:space="preserve">S4</w:t>
            </w:r>
          </w:p>
        </w:tc>
        <w:tc>
          <w:tcPr>
            <w:shd w:val="clear" w:color="auto" w:fill="F2F9F8"/>
          </w:tcPr>
          <w:p>
            <w:pPr>
              <w:pStyle w:val="Compact"/>
              <w:spacing w:after="20" w:before="20" w:line="240" w:lineRule="auto"/>
              <w:jc w:val="left"/>
            </w:pPr>
            <w:r>
              <w:rPr>
                <w:sz w:val="17"/>
              </w:rPr>
              <w:t xml:space="preserve">Note exécutive au Gouverneur, 24 septembre 2026</w:t>
            </w:r>
          </w:p>
        </w:tc>
        <w:tc>
          <w:tcPr>
            <w:shd w:val="clear" w:color="auto" w:fill="F2F9F8"/>
          </w:tcPr>
          <w:p>
            <w:pPr>
              <w:pStyle w:val="Compact"/>
              <w:spacing w:after="20" w:before="20" w:line="240" w:lineRule="auto"/>
              <w:jc w:val="left"/>
            </w:pPr>
            <w:r>
              <w:rPr>
                <w:sz w:val="17"/>
              </w:rPr>
              <w:t xml:space="preserve">Note d’une page</w:t>
            </w:r>
          </w:p>
        </w:tc>
        <w:tc>
          <w:tcPr>
            <w:shd w:val="clear" w:color="auto" w:fill="F2F9F8"/>
          </w:tcPr>
          <w:p>
            <w:pPr>
              <w:pStyle w:val="Compact"/>
              <w:spacing w:after="20" w:before="20" w:line="240" w:lineRule="auto"/>
              <w:jc w:val="left"/>
            </w:pPr>
            <w:r>
              <w:rPr>
                <w:sz w:val="17"/>
              </w:rPr>
              <w:t xml:space="preserve">Fusionnée dans la Note exécutive ci-après</w:t>
            </w:r>
          </w:p>
        </w:tc>
      </w:tr>
      <w:tr>
        <w:tc>
          <w:tcPr/>
          <w:p>
            <w:pPr>
              <w:pStyle w:val="Compact"/>
              <w:spacing w:after="20" w:before="20" w:line="240" w:lineRule="auto"/>
              <w:jc w:val="left"/>
            </w:pPr>
            <w:r>
              <w:rPr>
                <w:sz w:val="17"/>
              </w:rPr>
              <w:t xml:space="preserve">S5 à S13</w:t>
            </w:r>
          </w:p>
        </w:tc>
        <w:tc>
          <w:tcPr/>
          <w:p>
            <w:pPr>
              <w:pStyle w:val="Compact"/>
              <w:spacing w:after="20" w:before="20" w:line="240" w:lineRule="auto"/>
              <w:jc w:val="left"/>
            </w:pPr>
            <w:r>
              <w:rPr>
                <w:sz w:val="17"/>
              </w:rPr>
              <w:t xml:space="preserve">Spécification KIN RECETTES, KIN-AVIA FISCUS, RakaPay, ParkSmart, CALCU, KIN PUB CONTROL, note NFIU, plan directeur anglais, note de projet KIN-RECETTES</w:t>
            </w:r>
          </w:p>
        </w:tc>
        <w:tc>
          <w:tcPr/>
          <w:p>
            <w:pPr>
              <w:pStyle w:val="Compact"/>
              <w:spacing w:after="20" w:before="20" w:line="240" w:lineRule="auto"/>
              <w:jc w:val="left"/>
            </w:pPr>
            <w:r>
              <w:rPr>
                <w:sz w:val="17"/>
              </w:rPr>
              <w:t xml:space="preserve">Documents intégrés en version 2.7</w:t>
            </w:r>
          </w:p>
        </w:tc>
        <w:tc>
          <w:tcPr/>
          <w:p>
            <w:pPr>
              <w:pStyle w:val="Compact"/>
              <w:spacing w:after="20" w:before="20" w:line="240" w:lineRule="auto"/>
              <w:jc w:val="left"/>
            </w:pPr>
            <w:r>
              <w:rPr>
                <w:sz w:val="17"/>
              </w:rPr>
              <w:t xml:space="preserve">Détail à l’Annexe A ; traçabilité à l’Annexe D</w:t>
            </w:r>
          </w:p>
        </w:tc>
      </w:tr>
    </w:tbl>
    <w:p>
      <w:pPr>
        <w:pStyle w:val="BodyText"/>
      </w:pPr>
      <w:r>
        <w:rPr>
          <w:b/>
          <w:bCs/>
        </w:rPr>
        <w:t xml:space="preserve">Règles appliquées.</w:t>
      </w:r>
      <w:r>
        <w:t xml:space="preserve"> </w:t>
      </w:r>
      <w:r>
        <w:t xml:space="preserve">Tout élément des quatre sources figure dans ce document. Lorsque deux sources disaient la même chose, la formulation la plus complète a été retenue et les précisions de l’autre y ont été intégrées, afin d’éviter les répétitions. Lorsque les sources divergeaient, la divergence a été arbitrée explicitement (tableau ci-dessous) plutôt qu’effacée. L’Annexe D établit, point par point, la correspondance entre chaque section des sources S2, S3 et S4 et la section du présent document qui la reprend. Le français est la langue de référence ; les termes techniques anglais des sources sont conservés entre parenthèses et définis dans le glossaire de l’Annexe C.</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Point harmonisé</w:t>
            </w:r>
          </w:p>
        </w:tc>
        <w:tc>
          <w:tcPr>
            <w:shd w:val="clear" w:color="auto" w:fill="1BA996"/>
          </w:tcPr>
          <w:p>
            <w:pPr>
              <w:pStyle w:val="Compact"/>
              <w:spacing w:after="20" w:before="20" w:line="240" w:lineRule="auto"/>
              <w:jc w:val="left"/>
            </w:pPr>
            <w:r>
              <w:rPr>
                <w:b/>
                <w:color w:val="FFFFFF"/>
                <w:sz w:val="17"/>
              </w:rPr>
              <w:t xml:space="preserve">Divergence entre les sources</w:t>
            </w:r>
          </w:p>
        </w:tc>
        <w:tc>
          <w:tcPr>
            <w:shd w:val="clear" w:color="auto" w:fill="1BA996"/>
          </w:tcPr>
          <w:p>
            <w:pPr>
              <w:pStyle w:val="Compact"/>
              <w:spacing w:after="20" w:before="20" w:line="240" w:lineRule="auto"/>
              <w:jc w:val="left"/>
            </w:pPr>
            <w:r>
              <w:rPr>
                <w:b/>
                <w:color w:val="FFFFFF"/>
                <w:sz w:val="17"/>
              </w:rPr>
              <w:t xml:space="preserve">Position retenue dans ce document</w:t>
            </w:r>
          </w:p>
        </w:tc>
      </w:tr>
      <w:tr>
        <w:tc>
          <w:tcPr/>
          <w:p>
            <w:pPr>
              <w:pStyle w:val="Compact"/>
              <w:spacing w:after="20" w:before="20" w:line="240" w:lineRule="auto"/>
              <w:jc w:val="left"/>
            </w:pPr>
            <w:r>
              <w:rPr>
                <w:sz w:val="17"/>
              </w:rPr>
              <w:t xml:space="preserve">Alerte juridique (§ 1)</w:t>
            </w:r>
          </w:p>
        </w:tc>
        <w:tc>
          <w:tcPr/>
          <w:p>
            <w:pPr>
              <w:pStyle w:val="Compact"/>
              <w:spacing w:after="20" w:before="20" w:line="240" w:lineRule="auto"/>
              <w:jc w:val="left"/>
            </w:pPr>
            <w:r>
              <w:rPr>
                <w:sz w:val="17"/>
              </w:rPr>
              <w:t xml:space="preserve">S1 écrivait que le projet de référence « s’appuie sur l’Ordonnance-loi n° 18/004 » ; S4 et § 47 de S1 précisent qu’il s’appuie sur l’Ordonnance-loi n° 13/001, abrogée par la n° 18/004</w:t>
            </w:r>
          </w:p>
        </w:tc>
        <w:tc>
          <w:tcPr/>
          <w:p>
            <w:pPr>
              <w:pStyle w:val="Compact"/>
              <w:spacing w:after="20" w:before="20" w:line="240" w:lineRule="auto"/>
              <w:jc w:val="left"/>
            </w:pPr>
            <w:r>
              <w:rPr>
                <w:sz w:val="17"/>
              </w:rPr>
              <w:t xml:space="preserve">Rédaction corrigée : le projet de référence s’appuie sur la n° 13/001, abrogée ; le référentiel MOSOLO est refondé sur la n° 18/004</w:t>
            </w:r>
          </w:p>
        </w:tc>
      </w:tr>
      <w:tr>
        <w:tc>
          <w:tcPr>
            <w:shd w:val="clear" w:color="auto" w:fill="F2F9F8"/>
          </w:tcPr>
          <w:p>
            <w:pPr>
              <w:pStyle w:val="Compact"/>
              <w:spacing w:after="20" w:before="20" w:line="240" w:lineRule="auto"/>
              <w:jc w:val="left"/>
            </w:pPr>
            <w:r>
              <w:rPr>
                <w:sz w:val="17"/>
              </w:rPr>
              <w:t xml:space="preserve">Émission de la quittance (§ 18.6)</w:t>
            </w:r>
          </w:p>
        </w:tc>
        <w:tc>
          <w:tcPr>
            <w:shd w:val="clear" w:color="auto" w:fill="F2F9F8"/>
          </w:tcPr>
          <w:p>
            <w:pPr>
              <w:pStyle w:val="Compact"/>
              <w:spacing w:after="20" w:before="20" w:line="240" w:lineRule="auto"/>
              <w:jc w:val="left"/>
            </w:pPr>
            <w:r>
              <w:rPr>
                <w:sz w:val="17"/>
              </w:rPr>
              <w:t xml:space="preserve">S1 : quittance dès confirmation serveur à serveur, en moins d’une minute ; S2 : quittance finale seulement à l’état RECONCILED</w:t>
            </w:r>
          </w:p>
        </w:tc>
        <w:tc>
          <w:tcPr>
            <w:shd w:val="clear" w:color="auto" w:fill="F2F9F8"/>
          </w:tcPr>
          <w:p>
            <w:pPr>
              <w:pStyle w:val="Compact"/>
              <w:spacing w:after="20" w:before="20" w:line="240" w:lineRule="auto"/>
              <w:jc w:val="left"/>
            </w:pPr>
            <w:r>
              <w:rPr>
                <w:sz w:val="17"/>
              </w:rPr>
              <w:t xml:space="preserve">Deux niveaux : quittance électronique émise à la confirmation serveur à serveur avec statut « en attente de règlement », rendue définitive à l’état rapproché</w:t>
            </w:r>
          </w:p>
        </w:tc>
      </w:tr>
      <w:tr>
        <w:tc>
          <w:tcPr/>
          <w:p>
            <w:pPr>
              <w:pStyle w:val="Compact"/>
              <w:spacing w:after="20" w:before="20" w:line="240" w:lineRule="auto"/>
              <w:jc w:val="left"/>
            </w:pPr>
            <w:r>
              <w:rPr>
                <w:sz w:val="17"/>
              </w:rPr>
              <w:t xml:space="preserve">Légende cartographique (§ 16.5)</w:t>
            </w:r>
          </w:p>
        </w:tc>
        <w:tc>
          <w:tcPr/>
          <w:p>
            <w:pPr>
              <w:pStyle w:val="Compact"/>
              <w:spacing w:after="20" w:before="20" w:line="240" w:lineRule="auto"/>
              <w:jc w:val="left"/>
            </w:pPr>
            <w:r>
              <w:rPr>
                <w:sz w:val="17"/>
              </w:rPr>
              <w:t xml:space="preserve">S1 : légende de situation fiscale ; S2 : légende de vérification opérationnelle, avec couleurs différentes</w:t>
            </w:r>
          </w:p>
        </w:tc>
        <w:tc>
          <w:tcPr/>
          <w:p>
            <w:pPr>
              <w:pStyle w:val="Compact"/>
              <w:spacing w:after="20" w:before="20" w:line="240" w:lineRule="auto"/>
              <w:jc w:val="left"/>
            </w:pPr>
            <w:r>
              <w:rPr>
                <w:sz w:val="17"/>
              </w:rPr>
              <w:t xml:space="preserve">Deux couches distinctes et commutables, chacune avec sa légende</w:t>
            </w:r>
          </w:p>
        </w:tc>
      </w:tr>
      <w:tr>
        <w:tc>
          <w:tcPr>
            <w:shd w:val="clear" w:color="auto" w:fill="F2F9F8"/>
          </w:tcPr>
          <w:p>
            <w:pPr>
              <w:pStyle w:val="Compact"/>
              <w:spacing w:after="20" w:before="20" w:line="240" w:lineRule="auto"/>
              <w:jc w:val="left"/>
            </w:pPr>
            <w:r>
              <w:rPr>
                <w:sz w:val="17"/>
              </w:rPr>
              <w:t xml:space="preserve">États de la recette (§ 26.1)</w:t>
            </w:r>
          </w:p>
        </w:tc>
        <w:tc>
          <w:tcPr>
            <w:shd w:val="clear" w:color="auto" w:fill="F2F9F8"/>
          </w:tcPr>
          <w:p>
            <w:pPr>
              <w:pStyle w:val="Compact"/>
              <w:spacing w:after="20" w:before="20" w:line="240" w:lineRule="auto"/>
              <w:jc w:val="left"/>
            </w:pPr>
            <w:r>
              <w:rPr>
                <w:sz w:val="17"/>
              </w:rPr>
              <w:t xml:space="preserve">Six, huit ou onze états selon les sources</w:t>
            </w:r>
          </w:p>
        </w:tc>
        <w:tc>
          <w:tcPr>
            <w:shd w:val="clear" w:color="auto" w:fill="F2F9F8"/>
          </w:tcPr>
          <w:p>
            <w:pPr>
              <w:pStyle w:val="Compact"/>
              <w:spacing w:after="20" w:before="20" w:line="240" w:lineRule="auto"/>
              <w:jc w:val="left"/>
            </w:pPr>
            <w:r>
              <w:rPr>
                <w:sz w:val="17"/>
              </w:rPr>
              <w:t xml:space="preserve">Échelle unifiée de onze états, applicable à tous les tableaux de bord</w:t>
            </w:r>
          </w:p>
        </w:tc>
      </w:tr>
      <w:tr>
        <w:tc>
          <w:tcPr/>
          <w:p>
            <w:pPr>
              <w:pStyle w:val="Compact"/>
              <w:spacing w:after="20" w:before="20" w:line="240" w:lineRule="auto"/>
              <w:jc w:val="left"/>
            </w:pPr>
            <w:r>
              <w:rPr>
                <w:sz w:val="17"/>
              </w:rPr>
              <w:t xml:space="preserve">Phases et lots (§ 34)</w:t>
            </w:r>
          </w:p>
        </w:tc>
        <w:tc>
          <w:tcPr/>
          <w:p>
            <w:pPr>
              <w:pStyle w:val="Compact"/>
              <w:spacing w:after="20" w:before="20" w:line="240" w:lineRule="auto"/>
              <w:jc w:val="left"/>
            </w:pPr>
            <w:r>
              <w:rPr>
                <w:sz w:val="17"/>
              </w:rPr>
              <w:t xml:space="preserve">S1 : phases de programme 0 à 6 ; S3 : lots fonctionnels 0 à 6 portant d’autres noms</w:t>
            </w:r>
          </w:p>
        </w:tc>
        <w:tc>
          <w:tcPr/>
          <w:p>
            <w:pPr>
              <w:pStyle w:val="Compact"/>
              <w:spacing w:after="20" w:before="20" w:line="240" w:lineRule="auto"/>
              <w:jc w:val="left"/>
            </w:pPr>
            <w:r>
              <w:rPr>
                <w:sz w:val="17"/>
              </w:rPr>
              <w:t xml:space="preserve">Phases de programme conservées ; lots fonctionnels présentés comme vue produit et rattachés aux phases</w:t>
            </w:r>
          </w:p>
        </w:tc>
      </w:tr>
      <w:tr>
        <w:tc>
          <w:tcPr>
            <w:shd w:val="clear" w:color="auto" w:fill="F2F9F8"/>
          </w:tcPr>
          <w:p>
            <w:pPr>
              <w:pStyle w:val="Compact"/>
              <w:spacing w:after="20" w:before="20" w:line="240" w:lineRule="auto"/>
              <w:jc w:val="left"/>
            </w:pPr>
            <w:r>
              <w:rPr>
                <w:sz w:val="17"/>
              </w:rPr>
              <w:t xml:space="preserve">Versions (§ 43)</w:t>
            </w:r>
          </w:p>
        </w:tc>
        <w:tc>
          <w:tcPr>
            <w:shd w:val="clear" w:color="auto" w:fill="F2F9F8"/>
          </w:tcPr>
          <w:p>
            <w:pPr>
              <w:pStyle w:val="Compact"/>
              <w:spacing w:after="20" w:before="20" w:line="240" w:lineRule="auto"/>
              <w:jc w:val="left"/>
            </w:pPr>
            <w:r>
              <w:rPr>
                <w:sz w:val="17"/>
              </w:rPr>
              <w:t xml:space="preserve">S1 : versions V0.1 à V3.0 ; S2 : releases R1 à R4</w:t>
            </w:r>
          </w:p>
        </w:tc>
        <w:tc>
          <w:tcPr>
            <w:shd w:val="clear" w:color="auto" w:fill="F2F9F8"/>
          </w:tcPr>
          <w:p>
            <w:pPr>
              <w:pStyle w:val="Compact"/>
              <w:spacing w:after="20" w:before="20" w:line="240" w:lineRule="auto"/>
              <w:jc w:val="left"/>
            </w:pPr>
            <w:r>
              <w:rPr>
                <w:sz w:val="17"/>
              </w:rPr>
              <w:t xml:space="preserve">Table de correspondance V ↔ R</w:t>
            </w:r>
          </w:p>
        </w:tc>
      </w:tr>
      <w:tr>
        <w:tc>
          <w:tcPr/>
          <w:p>
            <w:pPr>
              <w:pStyle w:val="Compact"/>
              <w:spacing w:after="20" w:before="20" w:line="240" w:lineRule="auto"/>
              <w:jc w:val="left"/>
            </w:pPr>
            <w:r>
              <w:rPr>
                <w:sz w:val="17"/>
              </w:rPr>
              <w:t xml:space="preserve">Scénarios financiers (§ 38)</w:t>
            </w:r>
          </w:p>
        </w:tc>
        <w:tc>
          <w:tcPr/>
          <w:p>
            <w:pPr>
              <w:pStyle w:val="Compact"/>
              <w:spacing w:after="20" w:before="20" w:line="240" w:lineRule="auto"/>
              <w:jc w:val="left"/>
            </w:pPr>
            <w:r>
              <w:rPr>
                <w:sz w:val="17"/>
              </w:rPr>
              <w:t xml:space="preserve">Prudent / attendu / transformationnel (S1) ; conservateur / attendu / ambitieux (S2, S3)</w:t>
            </w:r>
          </w:p>
        </w:tc>
        <w:tc>
          <w:tcPr/>
          <w:p>
            <w:pPr>
              <w:pStyle w:val="Compact"/>
              <w:spacing w:after="20" w:before="20" w:line="240" w:lineRule="auto"/>
              <w:jc w:val="left"/>
            </w:pPr>
            <w:r>
              <w:rPr>
                <w:sz w:val="17"/>
              </w:rPr>
              <w:t xml:space="preserve">Équivalence posée : prudent = conservateur ; transformationnel = ambitieux</w:t>
            </w:r>
          </w:p>
        </w:tc>
      </w:tr>
      <w:tr>
        <w:tc>
          <w:tcPr>
            <w:shd w:val="clear" w:color="auto" w:fill="F2F9F8"/>
          </w:tcPr>
          <w:p>
            <w:pPr>
              <w:pStyle w:val="Compact"/>
              <w:spacing w:after="20" w:before="20" w:line="240" w:lineRule="auto"/>
              <w:jc w:val="left"/>
            </w:pPr>
            <w:r>
              <w:rPr>
                <w:sz w:val="17"/>
              </w:rPr>
              <w:t xml:space="preserve">Routes d’API (§ 30)</w:t>
            </w:r>
          </w:p>
        </w:tc>
        <w:tc>
          <w:tcPr>
            <w:shd w:val="clear" w:color="auto" w:fill="F2F9F8"/>
          </w:tcPr>
          <w:p>
            <w:pPr>
              <w:pStyle w:val="Compact"/>
              <w:spacing w:after="20" w:before="20" w:line="240" w:lineRule="auto"/>
              <w:jc w:val="left"/>
            </w:pPr>
            <w:r>
              <w:rPr>
                <w:sz w:val="17"/>
              </w:rPr>
              <w:t xml:space="preserve">Routes en français (S1) et en anglais (S2, S3)</w:t>
            </w:r>
          </w:p>
        </w:tc>
        <w:tc>
          <w:tcPr>
            <w:shd w:val="clear" w:color="auto" w:fill="F2F9F8"/>
          </w:tcPr>
          <w:p>
            <w:pPr>
              <w:pStyle w:val="Compact"/>
              <w:spacing w:after="20" w:before="20" w:line="240" w:lineRule="auto"/>
              <w:jc w:val="left"/>
            </w:pPr>
            <w:r>
              <w:rPr>
                <w:sz w:val="17"/>
              </w:rPr>
              <w:t xml:space="preserve">Table de correspondance ; une convention unique à arrêter en phase 1</w:t>
            </w:r>
          </w:p>
        </w:tc>
      </w:tr>
      <w:tr>
        <w:tc>
          <w:tcPr/>
          <w:p>
            <w:pPr>
              <w:pStyle w:val="Compact"/>
              <w:spacing w:after="20" w:before="20" w:line="240" w:lineRule="auto"/>
              <w:jc w:val="left"/>
            </w:pPr>
            <w:r>
              <w:rPr>
                <w:sz w:val="17"/>
              </w:rPr>
              <w:t xml:space="preserve">Vente de tickets (§ 11D)</w:t>
            </w:r>
          </w:p>
        </w:tc>
        <w:tc>
          <w:tcPr/>
          <w:p>
            <w:pPr>
              <w:pStyle w:val="Compact"/>
              <w:spacing w:after="20" w:before="20" w:line="240" w:lineRule="auto"/>
              <w:jc w:val="left"/>
            </w:pPr>
            <w:r>
              <w:rPr>
                <w:sz w:val="17"/>
              </w:rPr>
              <w:t xml:space="preserve">RakaPay : l’agent vend en espèces</w:t>
            </w:r>
          </w:p>
        </w:tc>
        <w:tc>
          <w:tcPr/>
          <w:p>
            <w:pPr>
              <w:pStyle w:val="Compact"/>
              <w:spacing w:after="20" w:before="20" w:line="240" w:lineRule="auto"/>
              <w:jc w:val="left"/>
            </w:pPr>
            <w:r>
              <w:rPr>
                <w:sz w:val="17"/>
              </w:rPr>
              <w:t xml:space="preserve">Espèces uniquement via un point de paiement agréé ; règle « zéro espèce » maintenue</w:t>
            </w:r>
          </w:p>
        </w:tc>
      </w:tr>
      <w:tr>
        <w:tc>
          <w:tcPr>
            <w:shd w:val="clear" w:color="auto" w:fill="F2F9F8"/>
          </w:tcPr>
          <w:p>
            <w:pPr>
              <w:pStyle w:val="Compact"/>
              <w:spacing w:after="20" w:before="20" w:line="240" w:lineRule="auto"/>
              <w:jc w:val="left"/>
            </w:pPr>
            <w:r>
              <w:rPr>
                <w:sz w:val="17"/>
              </w:rPr>
              <w:t xml:space="preserve">Sanctions (§ 11A, § 11C)</w:t>
            </w:r>
          </w:p>
        </w:tc>
        <w:tc>
          <w:tcPr>
            <w:shd w:val="clear" w:color="auto" w:fill="F2F9F8"/>
          </w:tcPr>
          <w:p>
            <w:pPr>
              <w:pStyle w:val="Compact"/>
              <w:spacing w:after="20" w:before="20" w:line="240" w:lineRule="auto"/>
              <w:jc w:val="left"/>
            </w:pPr>
            <w:r>
              <w:rPr>
                <w:sz w:val="17"/>
              </w:rPr>
              <w:t xml:space="preserve">AVIA et ParkSmart : pénalités et blocages automatiques</w:t>
            </w:r>
          </w:p>
        </w:tc>
        <w:tc>
          <w:tcPr>
            <w:shd w:val="clear" w:color="auto" w:fill="F2F9F8"/>
          </w:tcPr>
          <w:p>
            <w:pPr>
              <w:pStyle w:val="Compact"/>
              <w:spacing w:after="20" w:before="20" w:line="240" w:lineRule="auto"/>
              <w:jc w:val="left"/>
            </w:pPr>
            <w:r>
              <w:rPr>
                <w:sz w:val="17"/>
              </w:rPr>
              <w:t xml:space="preserve">Le système constate et calcule ; l’autorité compétente décide ; recours garanti</w:t>
            </w:r>
          </w:p>
        </w:tc>
      </w:tr>
      <w:tr>
        <w:tc>
          <w:tcPr/>
          <w:p>
            <w:pPr>
              <w:pStyle w:val="Compact"/>
              <w:spacing w:after="20" w:before="20" w:line="240" w:lineRule="auto"/>
              <w:jc w:val="left"/>
            </w:pPr>
            <w:r>
              <w:rPr>
                <w:sz w:val="17"/>
              </w:rPr>
              <w:t xml:space="preserve">Rémunération (§ 37A)</w:t>
            </w:r>
          </w:p>
        </w:tc>
        <w:tc>
          <w:tcPr/>
          <w:p>
            <w:pPr>
              <w:pStyle w:val="Compact"/>
              <w:spacing w:after="20" w:before="20" w:line="240" w:lineRule="auto"/>
              <w:jc w:val="left"/>
            </w:pPr>
            <w:r>
              <w:rPr>
                <w:sz w:val="17"/>
              </w:rPr>
              <w:t xml:space="preserve">AVIA : 65/35 ; S5 et S12 : pas de commission non plafonnée</w:t>
            </w:r>
          </w:p>
        </w:tc>
        <w:tc>
          <w:tcPr/>
          <w:p>
            <w:pPr>
              <w:pStyle w:val="Compact"/>
              <w:spacing w:after="20" w:before="20" w:line="240" w:lineRule="auto"/>
              <w:jc w:val="left"/>
            </w:pPr>
            <w:r>
              <w:rPr>
                <w:sz w:val="17"/>
              </w:rPr>
              <w:t xml:space="preserve">Clé unique 10/10/10/70 retenue par le promoteur ; écarts signalés aux risques</w:t>
            </w:r>
          </w:p>
        </w:tc>
      </w:tr>
      <w:tr>
        <w:tc>
          <w:tcPr>
            <w:shd w:val="clear" w:color="auto" w:fill="F2F9F8"/>
          </w:tcPr>
          <w:p>
            <w:pPr>
              <w:pStyle w:val="Compact"/>
              <w:spacing w:after="20" w:before="20" w:line="240" w:lineRule="auto"/>
              <w:jc w:val="left"/>
            </w:pPr>
            <w:r>
              <w:rPr>
                <w:sz w:val="17"/>
              </w:rPr>
              <w:t xml:space="preserve">Identifiant géofiscal (§ 17.5)</w:t>
            </w:r>
          </w:p>
        </w:tc>
        <w:tc>
          <w:tcPr>
            <w:shd w:val="clear" w:color="auto" w:fill="F2F9F8"/>
          </w:tcPr>
          <w:p>
            <w:pPr>
              <w:pStyle w:val="Compact"/>
              <w:spacing w:after="20" w:before="20" w:line="240" w:lineRule="auto"/>
              <w:jc w:val="left"/>
            </w:pPr>
            <w:r>
              <w:rPr>
                <w:sz w:val="17"/>
              </w:rPr>
              <w:t xml:space="preserve">Code lisible (S1) ; identifiant aléatoire (S5)</w:t>
            </w:r>
          </w:p>
        </w:tc>
        <w:tc>
          <w:tcPr>
            <w:shd w:val="clear" w:color="auto" w:fill="F2F9F8"/>
          </w:tcPr>
          <w:p>
            <w:pPr>
              <w:pStyle w:val="Compact"/>
              <w:spacing w:after="20" w:before="20" w:line="240" w:lineRule="auto"/>
              <w:jc w:val="left"/>
            </w:pPr>
            <w:r>
              <w:rPr>
                <w:sz w:val="17"/>
              </w:rPr>
              <w:t xml:space="preserve">Identifiant interne aléatoire + code territorial lisible</w:t>
            </w:r>
          </w:p>
        </w:tc>
      </w:tr>
      <w:tr>
        <w:tc>
          <w:tcPr/>
          <w:p>
            <w:pPr>
              <w:pStyle w:val="Compact"/>
              <w:spacing w:after="20" w:before="20" w:line="240" w:lineRule="auto"/>
              <w:jc w:val="left"/>
            </w:pPr>
            <w:r>
              <w:rPr>
                <w:sz w:val="17"/>
              </w:rPr>
              <w:t xml:space="preserve">Organe de contrôle CALCU (§ 27A)</w:t>
            </w:r>
          </w:p>
        </w:tc>
        <w:tc>
          <w:tcPr/>
          <w:p>
            <w:pPr>
              <w:pStyle w:val="Compact"/>
              <w:spacing w:after="20" w:before="20" w:line="240" w:lineRule="auto"/>
              <w:jc w:val="left"/>
            </w:pPr>
            <w:r>
              <w:rPr>
                <w:sz w:val="17"/>
              </w:rPr>
              <w:t xml:space="preserve">Nommé « Hôtel de Ville » dans la source, IGF au niveau national</w:t>
            </w:r>
          </w:p>
        </w:tc>
        <w:tc>
          <w:tcPr/>
          <w:p>
            <w:pPr>
              <w:pStyle w:val="Compact"/>
              <w:spacing w:after="20" w:before="20" w:line="240" w:lineRule="auto"/>
              <w:jc w:val="left"/>
            </w:pPr>
            <w:r>
              <w:rPr>
                <w:sz w:val="17"/>
              </w:rPr>
              <w:t xml:space="preserve">Organe de contrôle compétent de la Ville ; extension nationale possible</w:t>
            </w:r>
          </w:p>
        </w:tc>
      </w:tr>
      <w:tr>
        <w:tc>
          <w:tcPr>
            <w:shd w:val="clear" w:color="auto" w:fill="F2F9F8"/>
          </w:tcPr>
          <w:p>
            <w:pPr>
              <w:pStyle w:val="Compact"/>
              <w:spacing w:after="20" w:before="20" w:line="240" w:lineRule="auto"/>
              <w:jc w:val="left"/>
            </w:pPr>
            <w:r>
              <w:rPr>
                <w:sz w:val="17"/>
              </w:rPr>
              <w:t xml:space="preserve">Gouvernance (§ 36)</w:t>
            </w:r>
          </w:p>
        </w:tc>
        <w:tc>
          <w:tcPr>
            <w:shd w:val="clear" w:color="auto" w:fill="F2F9F8"/>
          </w:tcPr>
          <w:p>
            <w:pPr>
              <w:pStyle w:val="Compact"/>
              <w:spacing w:after="20" w:before="20" w:line="240" w:lineRule="auto"/>
              <w:jc w:val="left"/>
            </w:pPr>
            <w:r>
              <w:rPr>
                <w:sz w:val="17"/>
              </w:rPr>
              <w:t xml:space="preserve">Instances nommées différemment</w:t>
            </w:r>
          </w:p>
        </w:tc>
        <w:tc>
          <w:tcPr>
            <w:shd w:val="clear" w:color="auto" w:fill="F2F9F8"/>
          </w:tcPr>
          <w:p>
            <w:pPr>
              <w:pStyle w:val="Compact"/>
              <w:spacing w:after="20" w:before="20" w:line="240" w:lineRule="auto"/>
              <w:jc w:val="left"/>
            </w:pPr>
            <w:r>
              <w:rPr>
                <w:sz w:val="17"/>
              </w:rPr>
              <w:t xml:space="preserve">Correspondance établie ; instances nouvelles ajoutées (Programme Office, Comité de sécurité, Comité de contrôle des changements)</w:t>
            </w:r>
          </w:p>
        </w:tc>
      </w:tr>
    </w:tbl>
    <w:p>
      <w:pPr>
        <w:pStyle w:val="BodyText"/>
      </w:pPr>
      <w:r>
        <w:rPr>
          <w:b/>
          <w:bCs/>
        </w:rPr>
        <w:t xml:space="preserve">Version 2.1.</w:t>
      </w:r>
      <w:r>
        <w:t xml:space="preserve"> </w:t>
      </w:r>
      <w:r>
        <w:t xml:space="preserve">À la suite de la revue de la version 2.0, trois chapitres ont été ajoutés sans renuméroter l’existant (numérotation 13A, 15A, 18A, afin de préserver tous les renvois) : enrôlement inclusif et canaux assistés ; sous-traitance terrain et gestion des équipes d’agents ; parcours de paiement de bout en bout et preuve de paiement. Les sections concernées ont été mises à jour ; la liste figure à la fin de l’Annexe D.</w:t>
      </w:r>
    </w:p>
    <w:p>
      <w:pPr>
        <w:pStyle w:val="BodyText"/>
      </w:pPr>
      <w:r>
        <w:rPr>
          <w:b/>
          <w:bCs/>
        </w:rPr>
        <w:t xml:space="preserve">Version 2.2.</w:t>
      </w:r>
      <w:r>
        <w:t xml:space="preserve"> </w:t>
      </w:r>
      <w:r>
        <w:t xml:space="preserve">Deux chapitres ajoutés : 10A, architecture multi-entités et multi-services ; 19A, titres, preuves et laissez-passer à durée de validité (statuts vert, ambre et rouge, compte à rebours, mécanismes propres à chaque module). Mises à jour listées à la fin de l’Annexe D.</w:t>
      </w:r>
    </w:p>
    <w:p>
      <w:pPr>
        <w:pStyle w:val="BodyText"/>
      </w:pPr>
      <w:r>
        <w:rPr>
          <w:b/>
          <w:bCs/>
        </w:rPr>
        <w:t xml:space="preserve">Version 2.3.</w:t>
      </w:r>
      <w:r>
        <w:t xml:space="preserve"> </w:t>
      </w:r>
      <w:r>
        <w:t xml:space="preserve">Ajout du chapitre 37A : financement par Groupe Nseya et partage des recettes sur 30 ans (10 % Groupe Nseya, 10 % ministères de tutelle, 10 % agents et sous-traitants, 70 % Gouvernement provincial), exécuté par deux flux de décaissement seulement. Les passages antérieurs qui excluaient toute rémunération en pourcentage ont été mis en cohérence.</w:t>
      </w:r>
    </w:p>
    <w:p>
      <w:pPr>
        <w:pStyle w:val="BodyText"/>
      </w:pPr>
      <w:r>
        <w:rPr>
          <w:b/>
          <w:bCs/>
        </w:rPr>
        <w:t xml:space="preserve">Version 2.4.</w:t>
      </w:r>
      <w:r>
        <w:t xml:space="preserve"> </w:t>
      </w:r>
      <w:r>
        <w:t xml:space="preserve">L’investissement de Groupe Nseya est précisé : il couvre intégralement le système d’exploitation numérique (logiciel, plateforme, hébergement, sécurité, exploitation), mais pas les moyens physiques du déploiement (terminaux, guichets, plaques et cartes QR, frais de communication), dont le financement est à arrêter par le Gouvernement provincial (§ 37A.1).</w:t>
      </w:r>
    </w:p>
    <w:p>
      <w:pPr>
        <w:pStyle w:val="BodyText"/>
      </w:pPr>
      <w:r>
        <w:rPr>
          <w:b/>
          <w:bCs/>
        </w:rPr>
        <w:t xml:space="preserve">Version 2.5.</w:t>
      </w:r>
      <w:r>
        <w:t xml:space="preserve"> </w:t>
      </w:r>
      <w:r>
        <w:t xml:space="preserve">Ajout du chapitre 12A : inscription publique réservée au public ; accès de tous les intervenants, du Gouverneur à l’agent de terrain, uniquement sur invitation en cascade ; rattachement des modules aux ministères et entités par l’administrateur de la plateforme.</w:t>
      </w:r>
    </w:p>
    <w:p>
      <w:pPr>
        <w:pStyle w:val="BodyText"/>
      </w:pPr>
      <w:r>
        <w:rPr>
          <w:b/>
          <w:bCs/>
        </w:rPr>
        <w:t xml:space="preserve">Version 2.9.</w:t>
      </w:r>
      <w:r>
        <w:t xml:space="preserve"> </w:t>
      </w:r>
      <w:r>
        <w:t xml:space="preserve">Les moto-taxis (wewa), plus d’un million à Kinshasa selon l’estimation du promoteur, sont intégrés à la billetterie RakaPay (§ 11D.8).</w:t>
      </w:r>
    </w:p>
    <w:p>
      <w:pPr>
        <w:pStyle w:val="BodyText"/>
      </w:pPr>
      <w:r>
        <w:rPr>
          <w:b/>
          <w:bCs/>
        </w:rPr>
        <w:t xml:space="preserve">Version 2.8.</w:t>
      </w:r>
      <w:r>
        <w:t xml:space="preserve"> </w:t>
      </w:r>
      <w:r>
        <w:t xml:space="preserve">Compléments RakaPay (parcours opérationnels, modèle économique ouvert) et chapitre consacré aux moto-taxis (wewa), intégré au chapitre 11D en version 2.9.</w:t>
      </w:r>
    </w:p>
    <w:p>
      <w:pPr>
        <w:pStyle w:val="BodyText"/>
      </w:pPr>
      <w:r>
        <w:rPr>
          <w:b/>
          <w:bCs/>
        </w:rPr>
        <w:t xml:space="preserve">Version 2.7.</w:t>
      </w:r>
      <w:r>
        <w:t xml:space="preserve"> </w:t>
      </w:r>
      <w:r>
        <w:t xml:space="preserve">Intégration de neuf documents complémentaires : spécification KIN RECETTES, KIN-AVIA FISCUS, RakaPay, ParkSmart, CALCU, KIN PUB CONTROL, note NFIU, plan directeur anglais et note de projet KIN-RECETTES. Nouveaux chapitres 11A à 11D (Parking, Advertising, AVIA, billetterie multi-opérateurs) et 27A (contrôle de la dépense publique), et compléments dans une vingtaine de chapitres.</w:t>
      </w:r>
    </w:p>
    <w:p>
      <w:pPr>
        <w:pStyle w:val="BodyText"/>
      </w:pPr>
      <w:r>
        <w:rPr>
          <w:b/>
          <w:bCs/>
        </w:rPr>
        <w:t xml:space="preserve">Version 2.6.</w:t>
      </w:r>
      <w:r>
        <w:t xml:space="preserve"> </w:t>
      </w:r>
      <w:r>
        <w:t xml:space="preserve">Précision du § 12A : un compte de travail ne se finalise que depuis le lien d’invitation, par la personne invitée, ou par l’opérateur d’accès désigné de son entité, en sa présence (§ 12A.7).</w:t>
      </w:r>
    </w:p>
    <w:p>
      <w:pPr>
        <w:pStyle w:val="BlockText"/>
      </w:pPr>
      <w:r>
        <w:rPr>
          <w:b/>
          <w:bCs/>
        </w:rPr>
        <w:t xml:space="preserve">Statut du document.</w:t>
      </w:r>
      <w:r>
        <w:t xml:space="preserve"> </w:t>
      </w:r>
      <w:r>
        <w:t xml:space="preserve">Document de travail soumis à validation juridique provinciale. Aucune règle, aucun taux et aucune projection contenus dans ce document ne peuvent être mis en production avant certification par les services juridiques compétents.</w:t>
      </w:r>
    </w:p>
    <w:bookmarkEnd w:id="20"/>
    <w:bookmarkStart w:id="27" w:name="note-exécutive-au-gouverneur"/>
    <w:p>
      <w:pPr>
        <w:pStyle w:val="Heading1"/>
        <w:pageBreakBefore/>
      </w:pPr>
      <w:r>
        <w:t xml:space="preserve">Note exécutive au Gouverneur</w:t>
      </w:r>
    </w:p>
    <w:p>
      <w:pPr>
        <w:pStyle w:val="FirstParagraph"/>
      </w:pPr>
      <w:r>
        <w:rPr>
          <w:b/>
          <w:bCs/>
        </w:rPr>
        <w:t xml:space="preserve">KINSHASA MOSOLO : transformer les recettes de Kinshasa en un système unique, visible et contrôlable.</w:t>
      </w:r>
    </w:p>
    <w:p>
      <w:pPr>
        <w:pStyle w:val="BodyText"/>
      </w:pPr>
      <w:r>
        <w:rPr>
          <w:b/>
          <w:bCs/>
        </w:rPr>
        <w:t xml:space="preserve">« Une ville, un contribuable, une donnée, une quittance. »</w:t>
      </w:r>
    </w:p>
    <w:p>
      <w:pPr>
        <w:pStyle w:val="BodyText"/>
      </w:pPr>
      <w:r>
        <w:t xml:space="preserve">Kinshasa, vingt millions d’habitants, fonctionne avec un budget provincial d’environ 1,2 milliard de dollars — moins de 70 dollars par habitant et par an. Le problème n’est pas le taux de l’impôt : c’est que la Ville ne voit pas son assiette. Une large part des parcelles, logements loués, commerces, véhicules, panneaux et occupations du domaine public n’existe dans aucune base numérique géolocalisée. Ce qui n’est pas vu n’est pas liquidé ; ce qui est encaissé en espèces n’est pas toujours rapproché.</w:t>
      </w:r>
    </w:p>
    <w:p>
      <w:pPr>
        <w:pStyle w:val="BodyText"/>
      </w:pPr>
      <w:r>
        <w:t xml:space="preserve">Le principal risque n’est donc pas seulement l’absence de nouvelles taxes : c’est la fragmentation de l’information, l’insuffisance du recensement, les doublons, les paiements difficiles à rapprocher, les recettes non exploitées, les arriérés, les contrôles dispersés et l’impossibilité de suivre un franc public de son fait générateur jusqu’à son encaissement effectif. L’enjeu est d’identifier l’assiette existante, de réduire les fuites, de fiabiliser les paiements, de récupérer les arriérés, de rapprocher chaque encaissement et de donner à l’exécutif une vision exacte de ce qui est estimé, liquidé, payé, effectivement dénoué et comptabilisé.</w:t>
      </w:r>
    </w:p>
    <w:bookmarkStart w:id="21" w:name="X787a7d8fe96699dff56f814770061b6cb1f3794"/>
    <w:p>
      <w:pPr>
        <w:pStyle w:val="Heading3"/>
      </w:pPr>
      <w:r>
        <w:t xml:space="preserve">Le constat est déjà établi, il ne reste qu’à agir</w:t>
      </w:r>
    </w:p>
    <w:p>
      <w:pPr>
        <w:pStyle w:val="Compact"/>
        <w:numPr>
          <w:ilvl w:val="0"/>
          <w:numId w:val="1001"/>
        </w:numPr>
      </w:pPr>
      <w:r>
        <w:t xml:space="preserve">Évaluation TADAT de septembre 2025 : registre des contribuables incomplet et peu fiable, télépaiement non opérationnel, contrôle interne insuffisant, audit interne non fonctionnel.</w:t>
      </w:r>
    </w:p>
    <w:p>
      <w:pPr>
        <w:pStyle w:val="Compact"/>
        <w:numPr>
          <w:ilvl w:val="0"/>
          <w:numId w:val="1001"/>
        </w:numPr>
      </w:pPr>
      <w:r>
        <w:t xml:space="preserve">Contrat de performance 2026 de la DGRK : environ 500 millions de dollars d’assignations, alors que l’IF et l’IRL cumulés fin janvier 2026 atteignaient près de 40 milliards de francs congolais, soit environ 14 millions de dollars.</w:t>
      </w:r>
    </w:p>
    <w:p>
      <w:pPr>
        <w:pStyle w:val="Compact"/>
        <w:numPr>
          <w:ilvl w:val="0"/>
          <w:numId w:val="1001"/>
        </w:numPr>
      </w:pPr>
      <w:r>
        <w:t xml:space="preserve">L’écart n’est pas un échec administratif : c’est un gisement, et il est d’abord locatif et foncier.</w:t>
      </w:r>
    </w:p>
    <w:bookmarkEnd w:id="21"/>
    <w:bookmarkStart w:id="22" w:name="la-décision-proposée"/>
    <w:p>
      <w:pPr>
        <w:pStyle w:val="Heading3"/>
      </w:pPr>
      <w:r>
        <w:t xml:space="preserve">La décision proposée</w:t>
      </w:r>
    </w:p>
    <w:p>
      <w:pPr>
        <w:pStyle w:val="FirstParagraph"/>
      </w:pPr>
      <w:r>
        <w:t xml:space="preserve">Créer KINSHASA MOSOLO comme système d’exploitation souverain des recettes (Sovereign Revenue Maximisation Operating System) de la Ville Province : une plateforme faîtière qui relie identité, territoire, base juridique, obligations, paiement, Trésor, rapprochement, contrôle, recouvrement, audit, intelligence artificielle et planification publique, dans une chaîne unique, juridiquement gouvernée, géolocalisée, numérique, rapprochable et auditable.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Pilier</w:t>
            </w:r>
          </w:p>
        </w:tc>
        <w:tc>
          <w:tcPr>
            <w:shd w:val="clear" w:color="auto" w:fill="1BA996"/>
          </w:tcPr>
          <w:p>
            <w:pPr>
              <w:pStyle w:val="Compact"/>
              <w:spacing w:after="20" w:before="20" w:line="240" w:lineRule="auto"/>
              <w:jc w:val="left"/>
            </w:pPr>
            <w:r>
              <w:rPr>
                <w:b/>
                <w:color w:val="FFFFFF"/>
                <w:sz w:val="17"/>
              </w:rPr>
              <w:t xml:space="preserve">Engagement</w:t>
            </w:r>
          </w:p>
        </w:tc>
        <w:tc>
          <w:tcPr>
            <w:shd w:val="clear" w:color="auto" w:fill="1BA996"/>
          </w:tcPr>
          <w:p>
            <w:pPr>
              <w:pStyle w:val="Compact"/>
              <w:spacing w:after="20" w:before="20" w:line="240" w:lineRule="auto"/>
              <w:jc w:val="left"/>
            </w:pPr>
            <w:r>
              <w:rPr>
                <w:b/>
                <w:color w:val="FFFFFF"/>
                <w:sz w:val="17"/>
              </w:rPr>
              <w:t xml:space="preserve">Effet recherché</w:t>
            </w:r>
          </w:p>
        </w:tc>
      </w:tr>
      <w:tr>
        <w:tc>
          <w:tcPr/>
          <w:p>
            <w:pPr>
              <w:pStyle w:val="Compact"/>
              <w:spacing w:after="20" w:before="20" w:line="240" w:lineRule="auto"/>
              <w:jc w:val="left"/>
            </w:pPr>
            <w:r>
              <w:rPr>
                <w:sz w:val="17"/>
              </w:rPr>
              <w:t xml:space="preserve">1. RECENSER</w:t>
            </w:r>
          </w:p>
        </w:tc>
        <w:tc>
          <w:tcPr/>
          <w:p>
            <w:pPr>
              <w:pStyle w:val="Compact"/>
              <w:spacing w:after="20" w:before="20" w:line="240" w:lineRule="auto"/>
              <w:jc w:val="left"/>
            </w:pPr>
            <w:r>
              <w:rPr>
                <w:sz w:val="17"/>
              </w:rPr>
              <w:t xml:space="preserve">Un compte MOSOLO</w:t>
            </w:r>
          </w:p>
        </w:tc>
        <w:tc>
          <w:tcPr/>
          <w:p>
            <w:pPr>
              <w:pStyle w:val="Compact"/>
              <w:spacing w:after="20" w:before="20" w:line="240" w:lineRule="auto"/>
              <w:jc w:val="left"/>
            </w:pPr>
            <w:r>
              <w:rPr>
                <w:sz w:val="17"/>
              </w:rPr>
              <w:t xml:space="preserve">Un compte principal par personne ou organisation, relié à tous ses rôles, biens, activités, véhicules, locations, autorisations, obligations et autres objets pertinents</w:t>
            </w:r>
          </w:p>
        </w:tc>
      </w:tr>
      <w:tr>
        <w:tc>
          <w:tcPr>
            <w:shd w:val="clear" w:color="auto" w:fill="F2F9F8"/>
          </w:tcPr>
          <w:p>
            <w:pPr>
              <w:pStyle w:val="Compact"/>
              <w:spacing w:after="20" w:before="20" w:line="240" w:lineRule="auto"/>
              <w:jc w:val="left"/>
            </w:pPr>
            <w:r>
              <w:rPr>
                <w:sz w:val="17"/>
              </w:rPr>
              <w:t xml:space="preserve">2. LOCALISER</w:t>
            </w:r>
          </w:p>
        </w:tc>
        <w:tc>
          <w:tcPr>
            <w:shd w:val="clear" w:color="auto" w:fill="F2F9F8"/>
          </w:tcPr>
          <w:p>
            <w:pPr>
              <w:pStyle w:val="Compact"/>
              <w:spacing w:after="20" w:before="20" w:line="240" w:lineRule="auto"/>
              <w:jc w:val="left"/>
            </w:pPr>
            <w:r>
              <w:rPr>
                <w:sz w:val="17"/>
              </w:rPr>
              <w:t xml:space="preserve">Un GIS fiscal unique</w:t>
            </w:r>
          </w:p>
        </w:tc>
        <w:tc>
          <w:tcPr>
            <w:shd w:val="clear" w:color="auto" w:fill="F2F9F8"/>
          </w:tcPr>
          <w:p>
            <w:pPr>
              <w:pStyle w:val="Compact"/>
              <w:spacing w:after="20" w:before="20" w:line="240" w:lineRule="auto"/>
              <w:jc w:val="left"/>
            </w:pPr>
            <w:r>
              <w:rPr>
                <w:sz w:val="17"/>
              </w:rPr>
              <w:t xml:space="preserve">Commune → quartier → avenue → parcelle → bâtiment → unité → activité, avec identifiant géographique fiscal ; chaque parcelle, bâtiment, unité, commerce, véhicule, panneau, antenne, marché ou occupation pertinente devient localisable et vérifiable</w:t>
            </w:r>
          </w:p>
        </w:tc>
      </w:tr>
      <w:tr>
        <w:tc>
          <w:tcPr/>
          <w:p>
            <w:pPr>
              <w:pStyle w:val="Compact"/>
              <w:spacing w:after="20" w:before="20" w:line="240" w:lineRule="auto"/>
              <w:jc w:val="left"/>
            </w:pPr>
            <w:r>
              <w:rPr>
                <w:sz w:val="17"/>
              </w:rPr>
              <w:t xml:space="preserve">3. CALCULER LÉGALEMENT</w:t>
            </w:r>
          </w:p>
        </w:tc>
        <w:tc>
          <w:tcPr/>
          <w:p>
            <w:pPr>
              <w:pStyle w:val="Compact"/>
              <w:spacing w:after="20" w:before="20" w:line="240" w:lineRule="auto"/>
              <w:jc w:val="left"/>
            </w:pPr>
            <w:r>
              <w:rPr>
                <w:sz w:val="17"/>
              </w:rPr>
              <w:t xml:space="preserve">Un moteur juridique</w:t>
            </w:r>
          </w:p>
        </w:tc>
        <w:tc>
          <w:tcPr/>
          <w:p>
            <w:pPr>
              <w:pStyle w:val="Compact"/>
              <w:spacing w:after="20" w:before="20" w:line="240" w:lineRule="auto"/>
              <w:jc w:val="left"/>
            </w:pPr>
            <w:r>
              <w:rPr>
                <w:sz w:val="17"/>
              </w:rPr>
              <w:t xml:space="preserve">Aucun prélèvement sans règle juridique versionnée, validée, approuvée, datée et auditable ; les taux non confirmés ne sont jamais codés en dur</w:t>
            </w:r>
          </w:p>
        </w:tc>
      </w:tr>
      <w:tr>
        <w:tc>
          <w:tcPr>
            <w:shd w:val="clear" w:color="auto" w:fill="F2F9F8"/>
          </w:tcPr>
          <w:p>
            <w:pPr>
              <w:pStyle w:val="Compact"/>
              <w:spacing w:after="20" w:before="20" w:line="240" w:lineRule="auto"/>
              <w:jc w:val="left"/>
            </w:pPr>
            <w:r>
              <w:rPr>
                <w:sz w:val="17"/>
              </w:rPr>
              <w:t xml:space="preserve">4. SÉCURISER LE FRANC PUBLIC</w:t>
            </w:r>
          </w:p>
        </w:tc>
        <w:tc>
          <w:tcPr>
            <w:shd w:val="clear" w:color="auto" w:fill="F2F9F8"/>
          </w:tcPr>
          <w:p>
            <w:pPr>
              <w:pStyle w:val="Compact"/>
              <w:spacing w:after="20" w:before="20" w:line="240" w:lineRule="auto"/>
              <w:jc w:val="left"/>
            </w:pPr>
            <w:r>
              <w:rPr>
                <w:sz w:val="17"/>
              </w:rPr>
              <w:t xml:space="preserve">Une chaîne financière</w:t>
            </w:r>
          </w:p>
        </w:tc>
        <w:tc>
          <w:tcPr>
            <w:shd w:val="clear" w:color="auto" w:fill="F2F9F8"/>
          </w:tcPr>
          <w:p>
            <w:pPr>
              <w:pStyle w:val="Compact"/>
              <w:spacing w:after="20" w:before="20" w:line="240" w:lineRule="auto"/>
              <w:jc w:val="left"/>
            </w:pPr>
            <w:r>
              <w:rPr>
                <w:sz w:val="17"/>
              </w:rPr>
              <w:t xml:space="preserve">Référence unique → paiement → confirmation du prestataire → règlement en compte public (settlement) → rapprochement → comptabilisation → quittance vérifiable</w:t>
            </w:r>
          </w:p>
        </w:tc>
      </w:tr>
      <w:tr>
        <w:tc>
          <w:tcPr/>
          <w:p>
            <w:pPr>
              <w:pStyle w:val="Compact"/>
              <w:spacing w:after="20" w:before="20" w:line="240" w:lineRule="auto"/>
              <w:jc w:val="left"/>
            </w:pPr>
            <w:r>
              <w:rPr>
                <w:sz w:val="17"/>
              </w:rPr>
              <w:t xml:space="preserve">5. DÉCIDER AVEC LA PREUVE</w:t>
            </w:r>
          </w:p>
        </w:tc>
        <w:tc>
          <w:tcPr/>
          <w:p>
            <w:pPr>
              <w:pStyle w:val="Compact"/>
              <w:spacing w:after="20" w:before="20" w:line="240" w:lineRule="auto"/>
              <w:jc w:val="left"/>
            </w:pPr>
            <w:r>
              <w:rPr>
                <w:sz w:val="17"/>
              </w:rPr>
              <w:t xml:space="preserve">Un centre de commandement (Command Centre)</w:t>
            </w:r>
          </w:p>
        </w:tc>
        <w:tc>
          <w:tcPr/>
          <w:p>
            <w:pPr>
              <w:pStyle w:val="Compact"/>
              <w:spacing w:after="20" w:before="20" w:line="240" w:lineRule="auto"/>
              <w:jc w:val="left"/>
            </w:pPr>
            <w:r>
              <w:rPr>
                <w:sz w:val="17"/>
              </w:rPr>
              <w:t xml:space="preserve">Séparation du potentiel estimé, de l’assiette vérifiée, du liquidé, de l’exigible, de l’impayé, du payé, du réglé, du rapproché et du comptabilisé</w:t>
            </w:r>
          </w:p>
        </w:tc>
      </w:tr>
      <w:tr>
        <w:tc>
          <w:tcPr>
            <w:shd w:val="clear" w:color="auto" w:fill="F2F9F8"/>
          </w:tcPr>
          <w:p>
            <w:pPr>
              <w:pStyle w:val="Compact"/>
              <w:spacing w:after="20" w:before="20" w:line="240" w:lineRule="auto"/>
              <w:jc w:val="left"/>
            </w:pPr>
            <w:r>
              <w:rPr>
                <w:sz w:val="17"/>
              </w:rPr>
              <w:t xml:space="preserve">6. VERROUILLER</w:t>
            </w:r>
          </w:p>
        </w:tc>
        <w:tc>
          <w:tcPr>
            <w:shd w:val="clear" w:color="auto" w:fill="F2F9F8"/>
          </w:tcPr>
          <w:p>
            <w:pPr>
              <w:pStyle w:val="Compact"/>
              <w:spacing w:after="20" w:before="20" w:line="240" w:lineRule="auto"/>
              <w:jc w:val="left"/>
            </w:pPr>
            <w:r>
              <w:rPr>
                <w:sz w:val="17"/>
              </w:rPr>
              <w:t xml:space="preserve">Une Constitution financière</w:t>
            </w:r>
          </w:p>
        </w:tc>
        <w:tc>
          <w:tcPr>
            <w:shd w:val="clear" w:color="auto" w:fill="F2F9F8"/>
          </w:tcPr>
          <w:p>
            <w:pPr>
              <w:pStyle w:val="Compact"/>
              <w:spacing w:after="20" w:before="20" w:line="240" w:lineRule="auto"/>
              <w:jc w:val="left"/>
            </w:pPr>
            <w:r>
              <w:rPr>
                <w:sz w:val="17"/>
              </w:rPr>
              <w:t xml:space="preserve">Aucun individu, y compris administrateur technique ou autorité, ne possède seul les clés permettant de modifier dette, paiement, bénéficiaire et audit</w:t>
            </w:r>
          </w:p>
        </w:tc>
      </w:tr>
      <w:tr>
        <w:tc>
          <w:tcPr/>
          <w:p>
            <w:pPr>
              <w:pStyle w:val="Compact"/>
              <w:spacing w:after="20" w:before="20" w:line="240" w:lineRule="auto"/>
              <w:jc w:val="left"/>
            </w:pPr>
            <w:r>
              <w:rPr>
                <w:sz w:val="17"/>
              </w:rPr>
              <w:t xml:space="preserve">7. ENCADRER L’IA</w:t>
            </w:r>
          </w:p>
        </w:tc>
        <w:tc>
          <w:tcPr/>
          <w:p>
            <w:pPr>
              <w:pStyle w:val="Compact"/>
              <w:spacing w:after="20" w:before="20" w:line="240" w:lineRule="auto"/>
              <w:jc w:val="left"/>
            </w:pPr>
            <w:r>
              <w:rPr>
                <w:sz w:val="17"/>
              </w:rPr>
              <w:t xml:space="preserve">Une IA sous contrôle</w:t>
            </w:r>
          </w:p>
        </w:tc>
        <w:tc>
          <w:tcPr/>
          <w:p>
            <w:pPr>
              <w:pStyle w:val="Compact"/>
              <w:spacing w:after="20" w:before="20" w:line="240" w:lineRule="auto"/>
              <w:jc w:val="left"/>
            </w:pPr>
            <w:r>
              <w:rPr>
                <w:sz w:val="17"/>
              </w:rPr>
              <w:t xml:space="preserve">L’IA détecte, explique, priorise et recommande ; elle ne crée pas seule une taxe, une dette finale, une sanction ou un transfert de fonds</w:t>
            </w:r>
          </w:p>
        </w:tc>
      </w:tr>
    </w:tbl>
    <w:bookmarkEnd w:id="22"/>
    <w:bookmarkStart w:id="23" w:name="X7810d946499ec53ab67835e3dc81654498a3fad"/>
    <w:p>
      <w:pPr>
        <w:pStyle w:val="Heading3"/>
      </w:pPr>
      <w:r>
        <w:t xml:space="preserve">Ce que KINSHASA MOSOLO change concrètement</w:t>
      </w:r>
    </w:p>
    <w:p>
      <w:pPr>
        <w:pStyle w:val="FirstParagraph"/>
      </w:pPr>
      <w:r>
        <w:rPr>
          <w:b/>
          <w:bCs/>
        </w:rPr>
        <w:t xml:space="preserve">Un compte, tous les objets.</w:t>
      </w:r>
      <w:r>
        <w:t xml:space="preserve"> </w:t>
      </w:r>
      <w:r>
        <w:t xml:space="preserve">Chaque Kinois et chaque entreprise dispose d’un espace unique auquel sont rattachés parcelles, logements loués, commerces, véhicules, panneaux, embarcations et autorisations.</w:t>
      </w:r>
    </w:p>
    <w:p>
      <w:pPr>
        <w:pStyle w:val="BodyText"/>
      </w:pPr>
      <w:r>
        <w:rPr>
          <w:b/>
          <w:bCs/>
        </w:rPr>
        <w:t xml:space="preserve">On identifie l’objet, plus seulement la personne.</w:t>
      </w:r>
      <w:r>
        <w:t xml:space="preserve"> </w:t>
      </w:r>
      <w:r>
        <w:t xml:space="preserve">Chaque bien reçoit un identifiant géolocalisé et un code QR : la Ville sait qui, quoi, où, quelle règle, combien, payé ou non.</w:t>
      </w:r>
    </w:p>
    <w:p>
      <w:pPr>
        <w:pStyle w:val="BodyText"/>
      </w:pPr>
      <w:r>
        <w:rPr>
          <w:b/>
          <w:bCs/>
        </w:rPr>
        <w:t xml:space="preserve">Aucune espèce entre les mains de l’agent.</w:t>
      </w:r>
      <w:r>
        <w:t xml:space="preserve"> </w:t>
      </w:r>
      <w:r>
        <w:t xml:space="preserve">Le contribuable paie depuis son téléphone vers les comptes publics désignés ; la quittance électronique est vérifiable par simple scan, et les fausses quittances cessent de fonctionner.</w:t>
      </w:r>
    </w:p>
    <w:p>
      <w:pPr>
        <w:pStyle w:val="BodyText"/>
      </w:pPr>
      <w:r>
        <w:rPr>
          <w:b/>
          <w:bCs/>
        </w:rPr>
        <w:t xml:space="preserve">Le quitus fiscal devient un levier réel.</w:t>
      </w:r>
      <w:r>
        <w:t xml:space="preserve"> </w:t>
      </w:r>
      <w:r>
        <w:t xml:space="preserve">Numérique et instantané, étendu aux permis de bâtir, aux mutations foncières et aux mutations de véhicules, il transforme la conformité en condition d’accès aux services.</w:t>
      </w:r>
    </w:p>
    <w:p>
      <w:pPr>
        <w:pStyle w:val="BodyText"/>
      </w:pPr>
      <w:r>
        <w:rPr>
          <w:b/>
          <w:bCs/>
        </w:rPr>
        <w:t xml:space="preserve">Aucun pouvoir absolu, à aucun niveau — verrou anti-fraude : « Aucun individu ne possède les clés du système financier. »</w:t>
      </w:r>
      <w:r>
        <w:t xml:space="preserve"> </w:t>
      </w:r>
      <w:r>
        <w:t xml:space="preserve">Ni autorité politique, ni ministre, ni directeur, ni régie, ni DSI, ni super-administrateur, ni fournisseur ne peut seul modifier une dette, un paiement, un compte bénéficiaire ou une preuve d’audit. Les opérations critiques utilisent séparation des tâches, validation par un initiateur et un vérificateur distincts (maker-checker), quatre yeux, authentification multifacteur, verrouillage des bénéficiaires, journal en ajout seul (append-only), signatures, horodatage et contre-écritures plutôt que suppression.</w:t>
      </w:r>
    </w:p>
    <w:bookmarkEnd w:id="23"/>
    <w:bookmarkStart w:id="24" w:name="impact-recherché"/>
    <w:p>
      <w:pPr>
        <w:pStyle w:val="Heading3"/>
      </w:pPr>
      <w:r>
        <w:t xml:space="preserve">Impact recherché</w:t>
      </w:r>
    </w:p>
    <w:p>
      <w:pPr>
        <w:pStyle w:val="FirstParagraph"/>
      </w:pPr>
      <w:r>
        <w:t xml:space="preserve">Avant d’inventer de nouveaux prélèvements, MOSOLO cherche d’abord l’argent déjà légalement mobilisable : assiettes non recensées, sous-déclarations, arriérés, défauts de rapprochement, occupation du domaine public, immobilier et location, mobilité et stationnement, publicité, antennes, marchés, licences, ports, environnement et actifs publics. Toute nouvelle piste passe par validation juridique et analyse d’impact.</w:t>
      </w:r>
    </w:p>
    <w:bookmarkEnd w:id="24"/>
    <w:bookmarkStart w:id="25" w:name="alerte-juridique-à-traiter-immédiatement"/>
    <w:p>
      <w:pPr>
        <w:pStyle w:val="Heading3"/>
      </w:pPr>
      <w:r>
        <w:t xml:space="preserve">Alerte juridique à traiter immédiatement</w:t>
      </w:r>
    </w:p>
    <w:p>
      <w:pPr>
        <w:pStyle w:val="FirstParagraph"/>
      </w:pPr>
      <w:r>
        <w:t xml:space="preserve">Le projet de référence s’appuie sur l’Ordonnance-loi n° 13/001 du 23 février 2013, abrogée par l’Ordonnance-loi n° 18/004 du 13 mars 2018. De même, le taux de l’impôt sur les revenus locatifs est de 22 % des loyers encaissés : les 20 % correspondent à la retenue de premier rang. Toute liquidation fondée sur les anciennes références serait contestable. La refondation du référentiel est la première tâche, avant toute ligne de code.</w:t>
      </w:r>
    </w:p>
    <w:bookmarkEnd w:id="25"/>
    <w:bookmarkStart w:id="26" w:name="décision-demandée"/>
    <w:p>
      <w:pPr>
        <w:pStyle w:val="Heading3"/>
      </w:pPr>
      <w:r>
        <w:t xml:space="preserve">Décision demandée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Objet</w:t>
            </w:r>
          </w:p>
        </w:tc>
        <w:tc>
          <w:tcPr>
            <w:shd w:val="clear" w:color="auto" w:fill="1BA996"/>
          </w:tcPr>
          <w:p>
            <w:pPr>
              <w:pStyle w:val="Compact"/>
              <w:spacing w:after="20" w:before="20" w:line="240" w:lineRule="auto"/>
              <w:jc w:val="left"/>
            </w:pPr>
            <w:r>
              <w:rPr>
                <w:b/>
                <w:color w:val="FFFFFF"/>
                <w:sz w:val="17"/>
              </w:rPr>
              <w:t xml:space="preserve">Décision</w:t>
            </w:r>
          </w:p>
        </w:tc>
      </w:tr>
      <w:tr>
        <w:tc>
          <w:tcPr/>
          <w:p>
            <w:pPr>
              <w:pStyle w:val="Compact"/>
              <w:spacing w:after="20" w:before="20" w:line="240" w:lineRule="auto"/>
              <w:jc w:val="left"/>
            </w:pPr>
            <w:r>
              <w:rPr>
                <w:sz w:val="17"/>
              </w:rPr>
              <w:t xml:space="preserve">Mandat</w:t>
            </w:r>
          </w:p>
        </w:tc>
        <w:tc>
          <w:tcPr/>
          <w:p>
            <w:pPr>
              <w:pStyle w:val="Compact"/>
              <w:spacing w:after="20" w:before="20" w:line="240" w:lineRule="auto"/>
              <w:jc w:val="left"/>
            </w:pPr>
            <w:r>
              <w:rPr>
                <w:sz w:val="17"/>
              </w:rPr>
              <w:t xml:space="preserve">Approuver MOSOLO comme architecture faîtière et installer le comité de pilotage sous quinze jours</w:t>
            </w:r>
          </w:p>
        </w:tc>
      </w:tr>
      <w:tr>
        <w:tc>
          <w:tcPr>
            <w:shd w:val="clear" w:color="auto" w:fill="F2F9F8"/>
          </w:tcPr>
          <w:p>
            <w:pPr>
              <w:pStyle w:val="Compact"/>
              <w:spacing w:after="20" w:before="20" w:line="240" w:lineRule="auto"/>
              <w:jc w:val="left"/>
            </w:pPr>
            <w:r>
              <w:rPr>
                <w:sz w:val="17"/>
              </w:rPr>
              <w:t xml:space="preserve">Droit</w:t>
            </w:r>
          </w:p>
        </w:tc>
        <w:tc>
          <w:tcPr>
            <w:shd w:val="clear" w:color="auto" w:fill="F2F9F8"/>
          </w:tcPr>
          <w:p>
            <w:pPr>
              <w:pStyle w:val="Compact"/>
              <w:spacing w:after="20" w:before="20" w:line="240" w:lineRule="auto"/>
              <w:jc w:val="left"/>
            </w:pPr>
            <w:r>
              <w:rPr>
                <w:sz w:val="17"/>
              </w:rPr>
              <w:t xml:space="preserve">Ordonner le relevé juridique certifié sur l’Ordonnance-loi n° 18/004 et l’édit budgétaire en vigueur</w:t>
            </w:r>
          </w:p>
        </w:tc>
      </w:tr>
      <w:tr>
        <w:tc>
          <w:tcPr/>
          <w:p>
            <w:pPr>
              <w:pStyle w:val="Compact"/>
              <w:spacing w:after="20" w:before="20" w:line="240" w:lineRule="auto"/>
              <w:jc w:val="left"/>
            </w:pPr>
            <w:r>
              <w:rPr>
                <w:sz w:val="17"/>
              </w:rPr>
              <w:t xml:space="preserve">Données</w:t>
            </w:r>
          </w:p>
        </w:tc>
        <w:tc>
          <w:tcPr/>
          <w:p>
            <w:pPr>
              <w:pStyle w:val="Compact"/>
              <w:spacing w:after="20" w:before="20" w:line="240" w:lineRule="auto"/>
              <w:jc w:val="left"/>
            </w:pPr>
            <w:r>
              <w:rPr>
                <w:sz w:val="17"/>
              </w:rPr>
              <w:t xml:space="preserve">Autoriser les protocoles avec énergie, eau, immatriculations, opérateurs télécoms et brasseries</w:t>
            </w:r>
          </w:p>
        </w:tc>
      </w:tr>
      <w:tr>
        <w:tc>
          <w:tcPr>
            <w:shd w:val="clear" w:color="auto" w:fill="F2F9F8"/>
          </w:tcPr>
          <w:p>
            <w:pPr>
              <w:pStyle w:val="Compact"/>
              <w:spacing w:after="20" w:before="20" w:line="240" w:lineRule="auto"/>
              <w:jc w:val="left"/>
            </w:pPr>
            <w:r>
              <w:rPr>
                <w:sz w:val="17"/>
              </w:rPr>
              <w:t xml:space="preserve">Pilote</w:t>
            </w:r>
          </w:p>
        </w:tc>
        <w:tc>
          <w:tcPr>
            <w:shd w:val="clear" w:color="auto" w:fill="F2F9F8"/>
          </w:tcPr>
          <w:p>
            <w:pPr>
              <w:pStyle w:val="Compact"/>
              <w:spacing w:after="20" w:before="20" w:line="240" w:lineRule="auto"/>
              <w:jc w:val="left"/>
            </w:pPr>
            <w:r>
              <w:rPr>
                <w:sz w:val="17"/>
              </w:rPr>
              <w:t xml:space="preserve">Gombe, Limete, Kalamu, Ngaliema — 180 jours, campagne de février 2027 comme premier test réel</w:t>
            </w:r>
          </w:p>
        </w:tc>
      </w:tr>
      <w:tr>
        <w:tc>
          <w:tcPr/>
          <w:p>
            <w:pPr>
              <w:pStyle w:val="Compact"/>
              <w:spacing w:after="20" w:before="20" w:line="240" w:lineRule="auto"/>
              <w:jc w:val="left"/>
            </w:pPr>
            <w:r>
              <w:rPr>
                <w:sz w:val="17"/>
              </w:rPr>
              <w:t xml:space="preserve">Financement</w:t>
            </w:r>
          </w:p>
        </w:tc>
        <w:tc>
          <w:tcPr/>
          <w:p>
            <w:pPr>
              <w:pStyle w:val="Compact"/>
              <w:spacing w:after="20" w:before="20" w:line="240" w:lineRule="auto"/>
              <w:jc w:val="left"/>
            </w:pPr>
            <w:r>
              <w:rPr>
                <w:sz w:val="17"/>
              </w:rPr>
              <w:t xml:space="preserve">Groupe Nseya finance intégralement le système d’exploitation numérique (hors moyens physiques) ; en contrepartie, 10 % des recettes générées par le système pendant 30 ans, selon la clé de répartition du § 37A, sous réserve de l’acte juridique qui l’autorise</w:t>
            </w:r>
          </w:p>
        </w:tc>
      </w:tr>
    </w:tbl>
    <w:p>
      <w:pPr>
        <w:pStyle w:val="BodyText"/>
      </w:pPr>
      <w:r>
        <w:t xml:space="preserve">Le pilote de 180 jours porte sur un portefeuille limité de recettes juridiquement solides et mesurables : immobilier et foncier, location après validation juridique, mobilité et véhicules, publicité et antennes, marchés et domaine public, et quelques flux de paiement à fort volume. Une base de référence (baseline) indépendante et auditée est établie avant démarrage. La généralisation n’intervient qu’après preuve indépendante de recettes additionnelles nettes, d’une amélioration du rapprochement, d’une réduction des anomalies et d’un coût de collecte maîtrisé.</w:t>
      </w:r>
    </w:p>
    <w:p>
      <w:pPr>
        <w:pStyle w:val="BodyText"/>
      </w:pPr>
      <w:r>
        <w:t xml:space="preserve">Le calendrier commande : le recensement locatif des communes pilotes doit être achevé avant l’échéance de début février pour que les déclarations partent pré-remplies. Chaque mois perdu reporte d’un an le premier retour mesurable.</w:t>
      </w:r>
    </w:p>
    <w:p>
      <w:pPr>
        <w:pStyle w:val="BodyText"/>
      </w:pPr>
      <w:r>
        <w:rPr>
          <w:b/>
          <w:bCs/>
        </w:rPr>
        <w:t xml:space="preserve">KINSHASA MOSOLO — chaque contribuable identifié, chaque activité localisée, chaque obligation légalement calculée, chaque paiement vérifiable et chaque franc public traçable.</w:t>
      </w:r>
    </w:p>
    <w:bookmarkEnd w:id="26"/>
    <w:bookmarkEnd w:id="27"/>
    <w:bookmarkStart w:id="30" w:name="résumé-exécutif"/>
    <w:p>
      <w:pPr>
        <w:pStyle w:val="Heading1"/>
        <w:pageBreakBefore/>
      </w:pPr>
      <w:r>
        <w:t xml:space="preserve">1. Résumé exécutif</w:t>
      </w:r>
    </w:p>
    <w:p>
      <w:pPr>
        <w:pStyle w:val="FirstParagraph"/>
      </w:pPr>
      <w:r>
        <w:t xml:space="preserve">La Ville Province de Kinshasa, capitale d'environ vingt millions</w:t>
      </w:r>
      <w:r>
        <w:t xml:space="preserve"> </w:t>
      </w:r>
      <w:r>
        <w:t xml:space="preserve">d'habitants, fonctionne avec un budget provincial de l'ordre de 1,2</w:t>
      </w:r>
      <w:r>
        <w:t xml:space="preserve"> </w:t>
      </w:r>
      <w:r>
        <w:t xml:space="preserve">milliard de dollars américains, très en deçà de ce que mobilisent des</w:t>
      </w:r>
      <w:r>
        <w:t xml:space="preserve"> </w:t>
      </w:r>
      <w:r>
        <w:t xml:space="preserve">métropoles africaines de taille comparable. Ce n'est pas d'abord un</w:t>
      </w:r>
      <w:r>
        <w:t xml:space="preserve"> </w:t>
      </w:r>
      <w:r>
        <w:t xml:space="preserve">problème de taux : c'est un problème de connaissance, de traçabilité et</w:t>
      </w:r>
      <w:r>
        <w:t xml:space="preserve"> </w:t>
      </w:r>
      <w:r>
        <w:t xml:space="preserve">de chaîne de recouvrement. La Ville ne dispose pas aujourd'hui d'un</w:t>
      </w:r>
      <w:r>
        <w:t xml:space="preserve"> </w:t>
      </w:r>
      <w:r>
        <w:t xml:space="preserve">registre géolocalisé complet de ses contribuables et de ses objets</w:t>
      </w:r>
      <w:r>
        <w:t xml:space="preserve"> </w:t>
      </w:r>
      <w:r>
        <w:t xml:space="preserve">imposables, la procédure de télépaiement n'est pas pleinement</w:t>
      </w:r>
      <w:r>
        <w:t xml:space="preserve"> </w:t>
      </w:r>
      <w:r>
        <w:t xml:space="preserve">opérationnelle et la chaîne</w:t>
      </w:r>
      <w:r>
        <w:t xml:space="preserve"> </w:t>
      </w:r>
      <w:r>
        <w:t xml:space="preserve">constat–liquidation–paiement–quittance–comptabilisation comporte des</w:t>
      </w:r>
      <w:r>
        <w:t xml:space="preserve"> </w:t>
      </w:r>
      <w:r>
        <w:t xml:space="preserve">ruptures qui rendent la déperdition difficile à mesurer et plus</w:t>
      </w:r>
      <w:r>
        <w:t xml:space="preserve"> </w:t>
      </w:r>
      <w:r>
        <w:t xml:space="preserve">difficile encore à prouver.</w:t>
      </w:r>
    </w:p>
    <w:p>
      <w:pPr>
        <w:pStyle w:val="BodyText"/>
      </w:pPr>
      <w:r>
        <w:t xml:space="preserve">KINSHASA MOSOLO est conçu comme le système d'exploitation souverain des</w:t>
      </w:r>
      <w:r>
        <w:t xml:space="preserve"> </w:t>
      </w:r>
      <w:r>
        <w:t xml:space="preserve">recettes de Kinshasa : une infrastructure unique de recensement, de</w:t>
      </w:r>
      <w:r>
        <w:t xml:space="preserve"> </w:t>
      </w:r>
      <w:r>
        <w:t xml:space="preserve">géolocalisation, de qualification juridique, de liquidation, de</w:t>
      </w:r>
      <w:r>
        <w:t xml:space="preserve"> </w:t>
      </w:r>
      <w:r>
        <w:t xml:space="preserve">notification, de paiement, de rapprochement, de quittancement, de</w:t>
      </w:r>
      <w:r>
        <w:t xml:space="preserve"> </w:t>
      </w:r>
      <w:r>
        <w:t xml:space="preserve">contrôle, de recouvrement, d'audit et de planification. Le principe</w:t>
      </w:r>
      <w:r>
        <w:t xml:space="preserve"> </w:t>
      </w:r>
      <w:r>
        <w:t xml:space="preserve">fondateur est simple : on ne cherche plus seulement le contribuable, on</w:t>
      </w:r>
      <w:r>
        <w:t xml:space="preserve"> </w:t>
      </w:r>
      <w:r>
        <w:t xml:space="preserve">identifie et on localise chaque objet générateur de recettes, puis on le</w:t>
      </w:r>
      <w:r>
        <w:t xml:space="preserve"> </w:t>
      </w:r>
      <w:r>
        <w:t xml:space="preserve">rattache à une identité fiscale unique.</w:t>
      </w:r>
    </w:p>
    <w:p>
      <w:pPr>
        <w:pStyle w:val="BodyText"/>
      </w:pPr>
      <w:r>
        <w:rPr>
          <w:b/>
          <w:bCs/>
        </w:rPr>
        <w:t xml:space="preserve">Ce que le système fait.</w:t>
      </w:r>
      <w:r>
        <w:t xml:space="preserve"> </w:t>
      </w:r>
      <w:r>
        <w:t xml:space="preserve">Il crée un compte unique par personne</w:t>
      </w:r>
      <w:r>
        <w:t xml:space="preserve"> </w:t>
      </w:r>
      <w:r>
        <w:t xml:space="preserve">physique ou morale, y rattache l'ensemble de ses parcelles, unités</w:t>
      </w:r>
      <w:r>
        <w:t xml:space="preserve"> </w:t>
      </w:r>
      <w:r>
        <w:t xml:space="preserve">louées, commerces, véhicules, panneaux publicitaires, embarcations,</w:t>
      </w:r>
      <w:r>
        <w:t xml:space="preserve"> </w:t>
      </w:r>
      <w:r>
        <w:t xml:space="preserve">concessions, autorisations et occupations du domaine public, applique</w:t>
      </w:r>
      <w:r>
        <w:t xml:space="preserve"> </w:t>
      </w:r>
      <w:r>
        <w:t xml:space="preserve">uniquement des règles fiscales officiellement validées et versionnées,</w:t>
      </w:r>
      <w:r>
        <w:t xml:space="preserve"> </w:t>
      </w:r>
      <w:r>
        <w:t xml:space="preserve">oriente chaque paiement vers le compte public désigné, produit une</w:t>
      </w:r>
      <w:r>
        <w:t xml:space="preserve"> </w:t>
      </w:r>
      <w:r>
        <w:t xml:space="preserve">quittance électronique vérifiable par code QR, rapproche automatiquement</w:t>
      </w:r>
      <w:r>
        <w:t xml:space="preserve"> </w:t>
      </w:r>
      <w:r>
        <w:t xml:space="preserve">obligation, paiement, règlement bancaire et comptabilisation, et</w:t>
      </w:r>
      <w:r>
        <w:t xml:space="preserve"> </w:t>
      </w:r>
      <w:r>
        <w:t xml:space="preserve">conserve une preuve d'audit inaltérable de chaque action.</w:t>
      </w:r>
    </w:p>
    <w:p>
      <w:pPr>
        <w:pStyle w:val="BodyText"/>
      </w:pPr>
      <w:r>
        <w:rPr>
          <w:b/>
          <w:bCs/>
        </w:rPr>
        <w:t xml:space="preserve">Ce que le système ne fait pas.</w:t>
      </w:r>
      <w:r>
        <w:t xml:space="preserve"> </w:t>
      </w:r>
      <w:r>
        <w:t xml:space="preserve">Il ne crée aucun impôt, aucune taxe,</w:t>
      </w:r>
      <w:r>
        <w:t xml:space="preserve"> </w:t>
      </w:r>
      <w:r>
        <w:t xml:space="preserve">aucune pénalité et aucun taux. Il n'encaisse pas dans un compte privé.</w:t>
      </w:r>
      <w:r>
        <w:t xml:space="preserve"> </w:t>
      </w:r>
      <w:r>
        <w:t xml:space="preserve">Il ne transforme pas un signal statistique en dette fiscale. Il</w:t>
      </w:r>
      <w:r>
        <w:t xml:space="preserve"> </w:t>
      </w:r>
      <w:r>
        <w:t xml:space="preserve">n'autorise aucun acteur, quel que soit son rang politique,</w:t>
      </w:r>
      <w:r>
        <w:t xml:space="preserve"> </w:t>
      </w:r>
      <w:r>
        <w:t xml:space="preserve">administratif ou technique, à modifier seul une dette, à annuler un</w:t>
      </w:r>
      <w:r>
        <w:t xml:space="preserve"> </w:t>
      </w:r>
      <w:r>
        <w:t xml:space="preserve">paiement, à substituer un compte bénéficiaire ou à effacer une trace.</w:t>
      </w:r>
    </w:p>
    <w:p>
      <w:pPr>
        <w:pStyle w:val="BodyText"/>
      </w:pPr>
      <w:r>
        <w:t xml:space="preserve">Trois décisions institutionnelles récentes structurent la conception.</w:t>
      </w:r>
      <w:r>
        <w:t xml:space="preserve"> </w:t>
      </w:r>
      <w:r>
        <w:t xml:space="preserve">D'abord, la Ville a présenté en 2026 le quitus fiscal provincial, qui</w:t>
      </w:r>
      <w:r>
        <w:t xml:space="preserve"> </w:t>
      </w:r>
      <w:r>
        <w:t xml:space="preserve">atteste du paiement de l'impôt foncier, de l'impôt sur les revenus</w:t>
      </w:r>
      <w:r>
        <w:t xml:space="preserve"> </w:t>
      </w:r>
      <w:r>
        <w:t xml:space="preserve">locatifs et, le cas échéant, de la taxe sur les véhicules, et qui</w:t>
      </w:r>
      <w:r>
        <w:t xml:space="preserve"> </w:t>
      </w:r>
      <w:r>
        <w:t xml:space="preserve">conditionne notamment l'accès aux marchés publics et à certaines</w:t>
      </w:r>
      <w:r>
        <w:t xml:space="preserve"> </w:t>
      </w:r>
      <w:r>
        <w:t xml:space="preserve">autorisations : c'est le levier de conformité le plus puissant dont</w:t>
      </w:r>
      <w:r>
        <w:t xml:space="preserve"> </w:t>
      </w:r>
      <w:r>
        <w:t xml:space="preserve">dispose la Ville, et MOSOLO le rend numérique, instantané et vérifiable.</w:t>
      </w:r>
      <w:r>
        <w:t xml:space="preserve"> </w:t>
      </w:r>
      <w:r>
        <w:t xml:space="preserve">Ensuite, les projets de textes créant la Direction générale des recettes</w:t>
      </w:r>
      <w:r>
        <w:t xml:space="preserve"> </w:t>
      </w:r>
      <w:r>
        <w:t xml:space="preserve">fiscales de Kinshasa et la Direction générale des taxes de Kinshasa ont</w:t>
      </w:r>
      <w:r>
        <w:t xml:space="preserve"> </w:t>
      </w:r>
      <w:r>
        <w:t xml:space="preserve">été examinés en mai 2026 : la plateforme doit donc être indépendante de</w:t>
      </w:r>
      <w:r>
        <w:t xml:space="preserve"> </w:t>
      </w:r>
      <w:r>
        <w:t xml:space="preserve">la régie, l'administration compétente étant une donnée de configuration</w:t>
      </w:r>
      <w:r>
        <w:t xml:space="preserve"> </w:t>
      </w:r>
      <w:r>
        <w:t xml:space="preserve">et non une règle codée en dur. Enfin, l'évaluation TADAT restituée en</w:t>
      </w:r>
      <w:r>
        <w:t xml:space="preserve"> </w:t>
      </w:r>
      <w:r>
        <w:t xml:space="preserve">septembre 2025 a identifié précisément les faiblesses que ce programme</w:t>
      </w:r>
      <w:r>
        <w:t xml:space="preserve"> </w:t>
      </w:r>
      <w:r>
        <w:t xml:space="preserve">doit corriger : registre des contribuables incomplet et peu fiable,</w:t>
      </w:r>
      <w:r>
        <w:t xml:space="preserve"> </w:t>
      </w:r>
      <w:r>
        <w:t xml:space="preserve">télépaiement non opérationnel, faiblesse du contrôle interne, audit</w:t>
      </w:r>
      <w:r>
        <w:t xml:space="preserve"> </w:t>
      </w:r>
      <w:r>
        <w:t xml:space="preserve">interne non fonctionnel, faible capacité de prévision.</w:t>
      </w:r>
    </w:p>
    <w:p>
      <w:pPr>
        <w:pStyle w:val="BlockText"/>
      </w:pPr>
      <w:r>
        <w:rPr>
          <w:b/>
          <w:bCs/>
        </w:rPr>
        <w:t xml:space="preserve">Alerte juridique majeure.</w:t>
      </w:r>
      <w:r>
        <w:t xml:space="preserve"> </w:t>
      </w:r>
      <w:r>
        <w:t xml:space="preserve">Le document de projet de référence (note KIN-RECETTES) s'appuie sur l'Ordonnance-loi n° 13/001 du 23 février 2013, abrogée par l'Ordonnance-loi n° 18/004 du 13 mars 2018 fixant la</w:t>
      </w:r>
      <w:r>
        <w:t xml:space="preserve"> </w:t>
      </w:r>
      <w:r>
        <w:t xml:space="preserve">nomenclature des impôts, droits, taxes et redevances de la province et</w:t>
      </w:r>
      <w:r>
        <w:t xml:space="preserve"> </w:t>
      </w:r>
      <w:r>
        <w:t xml:space="preserve">de l'entité territoriale décentralisée ainsi que les modalités de</w:t>
      </w:r>
      <w:r>
        <w:t xml:space="preserve"> </w:t>
      </w:r>
      <w:r>
        <w:t xml:space="preserve">leur répartition. Aucune règle de MOSOLO ne doit être publiée sur la</w:t>
      </w:r>
      <w:r>
        <w:t xml:space="preserve"> </w:t>
      </w:r>
      <w:r>
        <w:t xml:space="preserve">base de la nomenclature de 2013. La refondation du référentiel sur</w:t>
      </w:r>
      <w:r>
        <w:t xml:space="preserve"> </w:t>
      </w:r>
      <w:r>
        <w:t xml:space="preserve">l'Ordonnance-loi n° 18/004, complétée par l'édit budgétaire en</w:t>
      </w:r>
      <w:r>
        <w:t xml:space="preserve"> </w:t>
      </w:r>
      <w:r>
        <w:t xml:space="preserve">vigueur de la Ville, est la première tâche du programme.</w:t>
      </w:r>
    </w:p>
    <w:p>
      <w:pPr>
        <w:pStyle w:val="FirstParagraph"/>
      </w:pPr>
      <w:r>
        <w:t xml:space="preserve">La proposition soumise au Gouvernement provincial est la suivante :</w:t>
      </w:r>
      <w:r>
        <w:t xml:space="preserve"> </w:t>
      </w:r>
      <w:r>
        <w:t xml:space="preserve">approuver la conception, faire valider le référentiel juridique par les</w:t>
      </w:r>
      <w:r>
        <w:t xml:space="preserve"> </w:t>
      </w:r>
      <w:r>
        <w:t xml:space="preserve">services juridiques provinciaux et la Direction générale des recettes,</w:t>
      </w:r>
      <w:r>
        <w:t xml:space="preserve"> </w:t>
      </w:r>
      <w:r>
        <w:t xml:space="preserve">puis lancer un pilote de 180 jours dans quatre communes représentatives,</w:t>
      </w:r>
      <w:r>
        <w:t xml:space="preserve"> </w:t>
      </w:r>
      <w:r>
        <w:t xml:space="preserve">calé sur le calendrier fiscal afin que la campagne foncière et locative</w:t>
      </w:r>
      <w:r>
        <w:t xml:space="preserve"> </w:t>
      </w:r>
      <w:r>
        <w:t xml:space="preserve">de février 2027 constitue le premier test de recettes réelles du</w:t>
      </w:r>
      <w:r>
        <w:t xml:space="preserve"> </w:t>
      </w:r>
      <w:r>
        <w:t xml:space="preserve">système.</w:t>
      </w:r>
    </w:p>
    <w:bookmarkStart w:id="28" w:name="les-huit-résultats-attendus"/>
    <w:p>
      <w:pPr>
        <w:pStyle w:val="Heading2"/>
      </w:pPr>
      <w:r>
        <w:t xml:space="preserve">Les huit résultats attendus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080"/>
        <w:gridCol w:w="4536"/>
        <w:gridCol w:w="2160"/>
      </w:tblGrid>
      <w:tr>
        <w:trPr>
          <w:tblHeader w:val="true"/>
          <w:tblHeader/>
        </w:trPr>
        <w:tc>
          <w:tcPr>
            <w:shd w:val="clear" w:color="auto" w:fill="1BA996"/>
          </w:tcPr>
          <w:p>
            <w:pPr>
              <w:pStyle w:val="Compact"/>
              <w:spacing w:after="20" w:before="20" w:line="240" w:lineRule="auto"/>
              <w:jc w:val="left"/>
            </w:pPr>
            <w:r>
              <w:rPr>
                <w:b/>
                <w:bCs/>
                <w:color w:val="FFFFFF"/>
                <w:sz w:val="17"/>
              </w:rPr>
              <w:t xml:space="preserve">Axe</w:t>
            </w:r>
          </w:p>
        </w:tc>
        <w:tc>
          <w:tcPr>
            <w:shd w:val="clear" w:color="auto" w:fill="1BA996"/>
          </w:tcPr>
          <w:p>
            <w:pPr>
              <w:pStyle w:val="Compact"/>
              <w:spacing w:after="20" w:before="20" w:line="240" w:lineRule="auto"/>
              <w:jc w:val="left"/>
            </w:pPr>
            <w:r>
              <w:rPr>
                <w:b/>
                <w:bCs/>
                <w:color w:val="FFFFFF"/>
                <w:sz w:val="17"/>
              </w:rPr>
              <w:t xml:space="preserve">Résultat visé</w:t>
            </w:r>
          </w:p>
        </w:tc>
        <w:tc>
          <w:tcPr>
            <w:shd w:val="clear" w:color="auto" w:fill="1BA996"/>
          </w:tcPr>
          <w:p>
            <w:pPr>
              <w:pStyle w:val="Compact"/>
              <w:spacing w:after="20" w:before="20" w:line="240" w:lineRule="auto"/>
              <w:jc w:val="left"/>
            </w:pPr>
            <w:r>
              <w:rPr>
                <w:b/>
                <w:bCs/>
                <w:color w:val="FFFFFF"/>
                <w:sz w:val="17"/>
              </w:rPr>
              <w:t xml:space="preserve">Mécanisme</w:t>
            </w:r>
          </w:p>
        </w:tc>
      </w:tr>
      <w:tr>
        <w:tc>
          <w:tcPr/>
          <w:p>
            <w:pPr>
              <w:pStyle w:val="Compact"/>
              <w:spacing w:after="20" w:before="20" w:line="240" w:lineRule="auto"/>
              <w:jc w:val="left"/>
            </w:pPr>
            <w:r>
              <w:rPr>
                <w:sz w:val="17"/>
              </w:rPr>
              <w:t xml:space="preserve">Couverture</w:t>
            </w:r>
          </w:p>
        </w:tc>
        <w:tc>
          <w:tcPr/>
          <w:p>
            <w:pPr>
              <w:pStyle w:val="Compact"/>
              <w:spacing w:after="20" w:before="20" w:line="240" w:lineRule="auto"/>
              <w:jc w:val="left"/>
            </w:pPr>
            <w:r>
              <w:rPr>
                <w:sz w:val="17"/>
              </w:rPr>
              <w:t xml:space="preserve">Registre géofiscal continu des objets imposables des communes</w:t>
            </w:r>
            <w:r>
              <w:rPr>
                <w:sz w:val="17"/>
              </w:rPr>
              <w:t xml:space="preserve"> </w:t>
            </w:r>
            <w:r>
              <w:rPr>
                <w:sz w:val="17"/>
              </w:rPr>
              <w:t xml:space="preserve">pilotes</w:t>
            </w:r>
          </w:p>
        </w:tc>
        <w:tc>
          <w:tcPr/>
          <w:p>
            <w:pPr>
              <w:pStyle w:val="Compact"/>
              <w:spacing w:after="20" w:before="20" w:line="240" w:lineRule="auto"/>
              <w:jc w:val="left"/>
            </w:pPr>
            <w:r>
              <w:rPr>
                <w:sz w:val="17"/>
              </w:rPr>
              <w:t xml:space="preserve">Recensement terrain hors</w:t>
            </w:r>
            <w:r>
              <w:rPr>
                <w:sz w:val="17"/>
              </w:rPr>
              <w:t xml:space="preserve"> </w:t>
            </w:r>
            <w:r>
              <w:rPr>
                <w:sz w:val="17"/>
              </w:rPr>
              <w:t xml:space="preserve">ligne, auto-enrôlement,</w:t>
            </w:r>
            <w:r>
              <w:rPr>
                <w:sz w:val="17"/>
              </w:rPr>
              <w:t xml:space="preserve"> </w:t>
            </w:r>
            <w:r>
              <w:rPr>
                <w:sz w:val="17"/>
              </w:rPr>
              <w:t xml:space="preserve">recoupement de données</w:t>
            </w:r>
            <w:r>
              <w:rPr>
                <w:sz w:val="17"/>
              </w:rPr>
              <w:t xml:space="preserve"> </w:t>
            </w:r>
            <w:r>
              <w:rPr>
                <w:sz w:val="17"/>
              </w:rPr>
              <w:t xml:space="preserve">partenaires</w:t>
            </w:r>
          </w:p>
        </w:tc>
      </w:tr>
      <w:tr>
        <w:tc>
          <w:tcPr>
            <w:shd w:val="clear" w:color="auto" w:fill="F2F9F8"/>
          </w:tcPr>
          <w:p>
            <w:pPr>
              <w:pStyle w:val="Compact"/>
              <w:spacing w:after="20" w:before="20" w:line="240" w:lineRule="auto"/>
              <w:jc w:val="left"/>
            </w:pPr>
            <w:r>
              <w:rPr>
                <w:sz w:val="17"/>
              </w:rPr>
              <w:t xml:space="preserve">Assiette</w:t>
            </w:r>
          </w:p>
        </w:tc>
        <w:tc>
          <w:tcPr>
            <w:shd w:val="clear" w:color="auto" w:fill="F2F9F8"/>
          </w:tcPr>
          <w:p>
            <w:pPr>
              <w:pStyle w:val="Compact"/>
              <w:spacing w:after="20" w:before="20" w:line="240" w:lineRule="auto"/>
              <w:jc w:val="left"/>
            </w:pPr>
            <w:r>
              <w:rPr>
                <w:sz w:val="17"/>
              </w:rPr>
              <w:t xml:space="preserve">Élargissement légal de l'assiette sans création de taxe</w:t>
            </w:r>
            <w:r>
              <w:rPr>
                <w:sz w:val="17"/>
              </w:rPr>
              <w:t xml:space="preserve"> </w:t>
            </w:r>
            <w:r>
              <w:rPr>
                <w:sz w:val="17"/>
              </w:rPr>
              <w:t xml:space="preserve">nouvelle</w:t>
            </w:r>
          </w:p>
        </w:tc>
        <w:tc>
          <w:tcPr>
            <w:shd w:val="clear" w:color="auto" w:fill="F2F9F8"/>
          </w:tcPr>
          <w:p>
            <w:pPr>
              <w:pStyle w:val="Compact"/>
              <w:spacing w:after="20" w:before="20" w:line="240" w:lineRule="auto"/>
              <w:jc w:val="left"/>
            </w:pPr>
            <w:r>
              <w:rPr>
                <w:sz w:val="17"/>
              </w:rPr>
              <w:t xml:space="preserve">Détection des objets non</w:t>
            </w:r>
            <w:r>
              <w:rPr>
                <w:sz w:val="17"/>
              </w:rPr>
              <w:t xml:space="preserve"> </w:t>
            </w:r>
            <w:r>
              <w:rPr>
                <w:sz w:val="17"/>
              </w:rPr>
              <w:t xml:space="preserve">enregistrés, régularisation</w:t>
            </w:r>
            <w:r>
              <w:rPr>
                <w:sz w:val="17"/>
              </w:rPr>
              <w:t xml:space="preserve"> </w:t>
            </w:r>
            <w:r>
              <w:rPr>
                <w:sz w:val="17"/>
              </w:rPr>
              <w:t xml:space="preserve">volontaire, requalification</w:t>
            </w:r>
            <w:r>
              <w:rPr>
                <w:sz w:val="17"/>
              </w:rPr>
              <w:t xml:space="preserve"> </w:t>
            </w:r>
            <w:r>
              <w:rPr>
                <w:sz w:val="17"/>
              </w:rPr>
              <w:t xml:space="preserve">contrôlée</w:t>
            </w:r>
          </w:p>
        </w:tc>
      </w:tr>
      <w:tr>
        <w:tc>
          <w:tcPr/>
          <w:p>
            <w:pPr>
              <w:pStyle w:val="Compact"/>
              <w:spacing w:after="20" w:before="20" w:line="240" w:lineRule="auto"/>
              <w:jc w:val="left"/>
            </w:pPr>
            <w:r>
              <w:rPr>
                <w:sz w:val="17"/>
              </w:rPr>
              <w:t xml:space="preserve">Encaissement</w:t>
            </w:r>
          </w:p>
        </w:tc>
        <w:tc>
          <w:tcPr/>
          <w:p>
            <w:pPr>
              <w:pStyle w:val="Compact"/>
              <w:spacing w:after="20" w:before="20" w:line="240" w:lineRule="auto"/>
              <w:jc w:val="left"/>
            </w:pPr>
            <w:r>
              <w:rPr>
                <w:sz w:val="17"/>
              </w:rPr>
              <w:t xml:space="preserve">Paiement électronique majoritaire vers les comptes publics</w:t>
            </w:r>
            <w:r>
              <w:rPr>
                <w:sz w:val="17"/>
              </w:rPr>
              <w:t xml:space="preserve"> </w:t>
            </w:r>
            <w:r>
              <w:rPr>
                <w:sz w:val="17"/>
              </w:rPr>
              <w:t xml:space="preserve">désignés</w:t>
            </w:r>
          </w:p>
        </w:tc>
        <w:tc>
          <w:tcPr/>
          <w:p>
            <w:pPr>
              <w:pStyle w:val="Compact"/>
              <w:spacing w:after="20" w:before="20" w:line="240" w:lineRule="auto"/>
              <w:jc w:val="left"/>
            </w:pPr>
            <w:r>
              <w:rPr>
                <w:sz w:val="17"/>
              </w:rPr>
              <w:t xml:space="preserve">Mobile Money, banques,</w:t>
            </w:r>
            <w:r>
              <w:rPr>
                <w:sz w:val="17"/>
              </w:rPr>
              <w:t xml:space="preserve"> </w:t>
            </w:r>
            <w:r>
              <w:rPr>
                <w:sz w:val="17"/>
              </w:rPr>
              <w:t xml:space="preserve">cartes, USSD, QR, agents</w:t>
            </w:r>
            <w:r>
              <w:rPr>
                <w:sz w:val="17"/>
              </w:rPr>
              <w:t xml:space="preserve"> </w:t>
            </w:r>
            <w:r>
              <w:rPr>
                <w:sz w:val="17"/>
              </w:rPr>
              <w:t xml:space="preserve">agréés</w:t>
            </w:r>
          </w:p>
        </w:tc>
      </w:tr>
      <w:tr>
        <w:tc>
          <w:tcPr>
            <w:shd w:val="clear" w:color="auto" w:fill="F2F9F8"/>
          </w:tcPr>
          <w:p>
            <w:pPr>
              <w:pStyle w:val="Compact"/>
              <w:spacing w:after="20" w:before="20" w:line="240" w:lineRule="auto"/>
              <w:jc w:val="left"/>
            </w:pPr>
            <w:r>
              <w:rPr>
                <w:sz w:val="17"/>
              </w:rPr>
              <w:t xml:space="preserve">Traçabilité</w:t>
            </w:r>
          </w:p>
        </w:tc>
        <w:tc>
          <w:tcPr>
            <w:shd w:val="clear" w:color="auto" w:fill="F2F9F8"/>
          </w:tcPr>
          <w:p>
            <w:pPr>
              <w:pStyle w:val="Compact"/>
              <w:spacing w:after="20" w:before="20" w:line="240" w:lineRule="auto"/>
              <w:jc w:val="left"/>
            </w:pPr>
            <w:r>
              <w:rPr>
                <w:sz w:val="17"/>
              </w:rPr>
              <w:t xml:space="preserve">Chaîne complète</w:t>
            </w:r>
            <w:r>
              <w:rPr>
                <w:sz w:val="17"/>
              </w:rPr>
              <w:t xml:space="preserve"> </w:t>
            </w:r>
            <w:r>
              <w:rPr>
                <w:sz w:val="17"/>
              </w:rPr>
              <w:t xml:space="preserve">obligation–paiement–règlement–quittance–comptabilisation</w:t>
            </w:r>
          </w:p>
        </w:tc>
        <w:tc>
          <w:tcPr>
            <w:shd w:val="clear" w:color="auto" w:fill="F2F9F8"/>
          </w:tcPr>
          <w:p>
            <w:pPr>
              <w:pStyle w:val="Compact"/>
              <w:spacing w:after="20" w:before="20" w:line="240" w:lineRule="auto"/>
              <w:jc w:val="left"/>
            </w:pPr>
            <w:r>
              <w:rPr>
                <w:sz w:val="17"/>
              </w:rPr>
              <w:t xml:space="preserve">Registre en ajout seul,</w:t>
            </w:r>
            <w:r>
              <w:rPr>
                <w:sz w:val="17"/>
              </w:rPr>
              <w:t xml:space="preserve"> </w:t>
            </w:r>
            <w:r>
              <w:rPr>
                <w:sz w:val="17"/>
              </w:rPr>
              <w:t xml:space="preserve">signature électronique,</w:t>
            </w:r>
            <w:r>
              <w:rPr>
                <w:sz w:val="17"/>
              </w:rPr>
              <w:t xml:space="preserve"> </w:t>
            </w:r>
            <w:r>
              <w:rPr>
                <w:sz w:val="17"/>
              </w:rPr>
              <w:t xml:space="preserve">rapprochement quotidien</w:t>
            </w:r>
          </w:p>
        </w:tc>
      </w:tr>
      <w:tr>
        <w:tc>
          <w:tcPr/>
          <w:p>
            <w:pPr>
              <w:pStyle w:val="Compact"/>
              <w:spacing w:after="20" w:before="20" w:line="240" w:lineRule="auto"/>
              <w:jc w:val="left"/>
            </w:pPr>
            <w:r>
              <w:rPr>
                <w:sz w:val="17"/>
              </w:rPr>
              <w:t xml:space="preserve">Intégrité</w:t>
            </w:r>
          </w:p>
        </w:tc>
        <w:tc>
          <w:tcPr/>
          <w:p>
            <w:pPr>
              <w:pStyle w:val="Compact"/>
              <w:spacing w:after="20" w:before="20" w:line="240" w:lineRule="auto"/>
              <w:jc w:val="left"/>
            </w:pPr>
            <w:r>
              <w:rPr>
                <w:sz w:val="17"/>
              </w:rPr>
              <w:t xml:space="preserve">Aucun acte financier sensible exécutable par une seule</w:t>
            </w:r>
            <w:r>
              <w:rPr>
                <w:sz w:val="17"/>
              </w:rPr>
              <w:t xml:space="preserve"> </w:t>
            </w:r>
            <w:r>
              <w:rPr>
                <w:sz w:val="17"/>
              </w:rPr>
              <w:t xml:space="preserve">personne</w:t>
            </w:r>
          </w:p>
        </w:tc>
        <w:tc>
          <w:tcPr/>
          <w:p>
            <w:pPr>
              <w:pStyle w:val="Compact"/>
              <w:spacing w:after="20" w:before="20" w:line="240" w:lineRule="auto"/>
              <w:jc w:val="left"/>
            </w:pPr>
            <w:r>
              <w:rPr>
                <w:sz w:val="17"/>
              </w:rPr>
              <w:t xml:space="preserve">Séparation des fonctions,</w:t>
            </w:r>
            <w:r>
              <w:rPr>
                <w:sz w:val="17"/>
              </w:rPr>
              <w:t xml:space="preserve"> </w:t>
            </w:r>
            <w:r>
              <w:rPr>
                <w:sz w:val="17"/>
              </w:rPr>
              <w:t xml:space="preserve">double validation, accès</w:t>
            </w:r>
            <w:r>
              <w:rPr>
                <w:sz w:val="17"/>
              </w:rPr>
              <w:t xml:space="preserve"> </w:t>
            </w:r>
            <w:r>
              <w:rPr>
                <w:sz w:val="17"/>
              </w:rPr>
              <w:t xml:space="preserve">privilégié temporaire,</w:t>
            </w:r>
            <w:r>
              <w:rPr>
                <w:sz w:val="17"/>
              </w:rPr>
              <w:t xml:space="preserve"> </w:t>
            </w:r>
            <w:r>
              <w:rPr>
                <w:sz w:val="17"/>
              </w:rPr>
              <w:t xml:space="preserve">journal d'audit immuable</w:t>
            </w:r>
          </w:p>
        </w:tc>
      </w:tr>
      <w:tr>
        <w:tc>
          <w:tcPr>
            <w:shd w:val="clear" w:color="auto" w:fill="F2F9F8"/>
          </w:tcPr>
          <w:p>
            <w:pPr>
              <w:pStyle w:val="Compact"/>
              <w:spacing w:after="20" w:before="20" w:line="240" w:lineRule="auto"/>
              <w:jc w:val="left"/>
            </w:pPr>
            <w:r>
              <w:rPr>
                <w:sz w:val="17"/>
              </w:rPr>
              <w:t xml:space="preserve">Service</w:t>
            </w:r>
          </w:p>
        </w:tc>
        <w:tc>
          <w:tcPr>
            <w:shd w:val="clear" w:color="auto" w:fill="F2F9F8"/>
          </w:tcPr>
          <w:p>
            <w:pPr>
              <w:pStyle w:val="Compact"/>
              <w:spacing w:after="20" w:before="20" w:line="240" w:lineRule="auto"/>
              <w:jc w:val="left"/>
            </w:pPr>
            <w:r>
              <w:rPr>
                <w:sz w:val="17"/>
              </w:rPr>
              <w:t xml:space="preserve">Réduction du coût et du temps de mise en conformité pour le</w:t>
            </w:r>
            <w:r>
              <w:rPr>
                <w:sz w:val="17"/>
              </w:rPr>
              <w:t xml:space="preserve"> </w:t>
            </w:r>
            <w:r>
              <w:rPr>
                <w:sz w:val="17"/>
              </w:rPr>
              <w:t xml:space="preserve">contribuable</w:t>
            </w:r>
          </w:p>
        </w:tc>
        <w:tc>
          <w:tcPr>
            <w:shd w:val="clear" w:color="auto" w:fill="F2F9F8"/>
          </w:tcPr>
          <w:p>
            <w:pPr>
              <w:pStyle w:val="Compact"/>
              <w:spacing w:after="20" w:before="20" w:line="240" w:lineRule="auto"/>
              <w:jc w:val="left"/>
            </w:pPr>
            <w:r>
              <w:rPr>
                <w:sz w:val="17"/>
              </w:rPr>
              <w:t xml:space="preserve">Compte unique, déclaration</w:t>
            </w:r>
            <w:r>
              <w:rPr>
                <w:sz w:val="17"/>
              </w:rPr>
              <w:t xml:space="preserve"> </w:t>
            </w:r>
            <w:r>
              <w:rPr>
                <w:sz w:val="17"/>
              </w:rPr>
              <w:t xml:space="preserve">pré-remplie, paiement mobile,</w:t>
            </w:r>
            <w:r>
              <w:rPr>
                <w:sz w:val="17"/>
              </w:rPr>
              <w:t xml:space="preserve"> </w:t>
            </w:r>
            <w:r>
              <w:rPr>
                <w:sz w:val="17"/>
              </w:rPr>
              <w:t xml:space="preserve">quittance instantanée</w:t>
            </w:r>
          </w:p>
        </w:tc>
      </w:tr>
      <w:tr>
        <w:tc>
          <w:tcPr/>
          <w:p>
            <w:pPr>
              <w:pStyle w:val="Compact"/>
              <w:spacing w:after="20" w:before="20" w:line="240" w:lineRule="auto"/>
              <w:jc w:val="left"/>
            </w:pPr>
            <w:r>
              <w:rPr>
                <w:sz w:val="17"/>
              </w:rPr>
              <w:t xml:space="preserve">Pilotage</w:t>
            </w:r>
          </w:p>
        </w:tc>
        <w:tc>
          <w:tcPr/>
          <w:p>
            <w:pPr>
              <w:pStyle w:val="Compact"/>
              <w:spacing w:after="20" w:before="20" w:line="240" w:lineRule="auto"/>
              <w:jc w:val="left"/>
            </w:pPr>
            <w:r>
              <w:rPr>
                <w:sz w:val="17"/>
              </w:rPr>
              <w:t xml:space="preserve">Vision exécutive en temps réel du potentiel, du constaté, de</w:t>
            </w:r>
            <w:r>
              <w:rPr>
                <w:sz w:val="17"/>
              </w:rPr>
              <w:t xml:space="preserve"> </w:t>
            </w:r>
            <w:r>
              <w:rPr>
                <w:sz w:val="17"/>
              </w:rPr>
              <w:t xml:space="preserve">l'encaissé et du rapproché</w:t>
            </w:r>
          </w:p>
        </w:tc>
        <w:tc>
          <w:tcPr/>
          <w:p>
            <w:pPr>
              <w:pStyle w:val="Compact"/>
              <w:spacing w:after="20" w:before="20" w:line="240" w:lineRule="auto"/>
              <w:jc w:val="left"/>
            </w:pPr>
            <w:r>
              <w:rPr>
                <w:sz w:val="17"/>
              </w:rPr>
              <w:t xml:space="preserve">Tableau de bord du</w:t>
            </w:r>
            <w:r>
              <w:rPr>
                <w:sz w:val="17"/>
              </w:rPr>
              <w:t xml:space="preserve"> </w:t>
            </w:r>
            <w:r>
              <w:rPr>
                <w:sz w:val="17"/>
              </w:rPr>
              <w:t xml:space="preserve">Gouverneur, cartes de</w:t>
            </w:r>
            <w:r>
              <w:rPr>
                <w:sz w:val="17"/>
              </w:rPr>
              <w:t xml:space="preserve"> </w:t>
            </w:r>
            <w:r>
              <w:rPr>
                <w:sz w:val="17"/>
              </w:rPr>
              <w:t xml:space="preserve">chaleur, files d'exception</w:t>
            </w:r>
          </w:p>
        </w:tc>
      </w:tr>
      <w:tr>
        <w:tc>
          <w:tcPr>
            <w:shd w:val="clear" w:color="auto" w:fill="F2F9F8"/>
          </w:tcPr>
          <w:p>
            <w:pPr>
              <w:pStyle w:val="Compact"/>
              <w:spacing w:after="20" w:before="20" w:line="240" w:lineRule="auto"/>
              <w:jc w:val="left"/>
            </w:pPr>
            <w:r>
              <w:rPr>
                <w:sz w:val="17"/>
              </w:rPr>
              <w:t xml:space="preserve">Affectation</w:t>
            </w:r>
          </w:p>
        </w:tc>
        <w:tc>
          <w:tcPr>
            <w:shd w:val="clear" w:color="auto" w:fill="F2F9F8"/>
          </w:tcPr>
          <w:p>
            <w:pPr>
              <w:pStyle w:val="Compact"/>
              <w:spacing w:after="20" w:before="20" w:line="240" w:lineRule="auto"/>
              <w:jc w:val="left"/>
            </w:pPr>
            <w:r>
              <w:rPr>
                <w:sz w:val="17"/>
              </w:rPr>
              <w:t xml:space="preserve">Lien démontrable entre recettes encaissées et réalisations</w:t>
            </w:r>
            <w:r>
              <w:rPr>
                <w:sz w:val="17"/>
              </w:rPr>
              <w:t xml:space="preserve"> </w:t>
            </w:r>
            <w:r>
              <w:rPr>
                <w:sz w:val="17"/>
              </w:rPr>
              <w:t xml:space="preserve">publiques</w:t>
            </w:r>
          </w:p>
        </w:tc>
        <w:tc>
          <w:tcPr>
            <w:shd w:val="clear" w:color="auto" w:fill="F2F9F8"/>
          </w:tcPr>
          <w:p>
            <w:pPr>
              <w:pStyle w:val="Compact"/>
              <w:spacing w:after="20" w:before="20" w:line="240" w:lineRule="auto"/>
              <w:jc w:val="left"/>
            </w:pPr>
            <w:r>
              <w:rPr>
                <w:sz w:val="17"/>
              </w:rPr>
              <w:t xml:space="preserve">Module de recommandation</w:t>
            </w:r>
            <w:r>
              <w:rPr>
                <w:sz w:val="17"/>
              </w:rPr>
              <w:t xml:space="preserve"> </w:t>
            </w:r>
            <w:r>
              <w:rPr>
                <w:sz w:val="17"/>
              </w:rPr>
              <w:t xml:space="preserve">d'affectation, tableau de</w:t>
            </w:r>
            <w:r>
              <w:rPr>
                <w:sz w:val="17"/>
              </w:rPr>
              <w:t xml:space="preserve"> </w:t>
            </w:r>
            <w:r>
              <w:rPr>
                <w:sz w:val="17"/>
              </w:rPr>
              <w:t xml:space="preserve">transparence publique</w:t>
            </w:r>
          </w:p>
        </w:tc>
      </w:tr>
    </w:tbl>
    <w:bookmarkEnd w:id="28"/>
    <w:bookmarkStart w:id="29" w:name="sommaire-des-décisions-demandées"/>
    <w:p>
      <w:pPr>
        <w:pStyle w:val="Heading2"/>
      </w:pPr>
      <w:r>
        <w:t xml:space="preserve">Sommaire des décisions demandées</w:t>
      </w:r>
    </w:p>
    <w:p>
      <w:pPr>
        <w:pStyle w:val="FirstParagraph"/>
      </w:pPr>
      <w:r>
        <w:t xml:space="preserve">Le document se termine par dix décisions dont dépend le démarrage. Les</w:t>
      </w:r>
      <w:r>
        <w:t xml:space="preserve"> </w:t>
      </w:r>
      <w:r>
        <w:t xml:space="preserve">quatre plus urgentes : désigner l'autorité porteuse et le comité de</w:t>
      </w:r>
      <w:r>
        <w:t xml:space="preserve"> </w:t>
      </w:r>
      <w:r>
        <w:t xml:space="preserve">pilotage ; ordonner la refondation du référentiel sur l'Ordonnance-loi</w:t>
      </w:r>
      <w:r>
        <w:t xml:space="preserve"> </w:t>
      </w:r>
      <w:r>
        <w:t xml:space="preserve">n° 18/004 et l'édit budgétaire en vigueur ; autoriser les protocoles</w:t>
      </w:r>
      <w:r>
        <w:t xml:space="preserve"> </w:t>
      </w:r>
      <w:r>
        <w:t xml:space="preserve">d'échange de données ; approuver les quatre communes pilotes et</w:t>
      </w:r>
      <w:r>
        <w:t xml:space="preserve"> </w:t>
      </w:r>
      <w:r>
        <w:t xml:space="preserve">l'échéance de février 2027.</w:t>
      </w:r>
    </w:p>
    <w:bookmarkEnd w:id="29"/>
    <w:bookmarkEnd w:id="30"/>
    <w:bookmarkStart w:id="34" w:name="argumentaire-politique-et-économique"/>
    <w:p>
      <w:pPr>
        <w:pStyle w:val="Heading1"/>
      </w:pPr>
      <w:r>
        <w:t xml:space="preserve">2. Argumentaire politique et économique</w:t>
      </w:r>
    </w:p>
    <w:p>
      <w:pPr>
        <w:pStyle w:val="FirstParagraph"/>
      </w:pPr>
      <w:r>
        <w:t xml:space="preserve">La question posée au Gouvernement provincial n'est pas de savoir s'il</w:t>
      </w:r>
      <w:r>
        <w:t xml:space="preserve"> </w:t>
      </w:r>
      <w:r>
        <w:t xml:space="preserve">faut numériser une procédure : c'est de savoir comment la Ville finance</w:t>
      </w:r>
      <w:r>
        <w:t xml:space="preserve"> </w:t>
      </w:r>
      <w:r>
        <w:t xml:space="preserve">la voirie, le drainage, l'assainissement, l'éclairage, les marchés,</w:t>
      </w:r>
      <w:r>
        <w:t xml:space="preserve"> </w:t>
      </w:r>
      <w:r>
        <w:t xml:space="preserve">les écoles et la sécurité d'une agglomération qui croît plus vite que</w:t>
      </w:r>
      <w:r>
        <w:t xml:space="preserve"> </w:t>
      </w:r>
      <w:r>
        <w:t xml:space="preserve">ses ressources propres. Un budget provincial d'environ 1,2 milliard de</w:t>
      </w:r>
      <w:r>
        <w:t xml:space="preserve"> </w:t>
      </w:r>
      <w:r>
        <w:t xml:space="preserve">dollars pour vingt millions d'habitants représente moins de</w:t>
      </w:r>
      <w:r>
        <w:t xml:space="preserve"> </w:t>
      </w:r>
      <w:r>
        <w:t xml:space="preserve">soixante-dix dollars par habitant et par an, toutes dépenses confondues.</w:t>
      </w:r>
    </w:p>
    <w:p>
      <w:pPr>
        <w:pStyle w:val="BodyText"/>
      </w:pPr>
      <w:r>
        <w:t xml:space="preserve">L'écart entre le potentiel et le réalisé tient à cinq causes</w:t>
      </w:r>
      <w:r>
        <w:t xml:space="preserve"> </w:t>
      </w:r>
      <w:r>
        <w:t xml:space="preserve">cumulatives, toutes adressables par une infrastructure de données :</w:t>
      </w:r>
    </w:p>
    <w:p>
      <w:pPr>
        <w:numPr>
          <w:ilvl w:val="0"/>
          <w:numId w:val="1002"/>
        </w:numPr>
      </w:pPr>
      <w:r>
        <w:t xml:space="preserve">un recensement partiel : une part significative des parcelles,</w:t>
      </w:r>
      <w:r>
        <w:t xml:space="preserve"> </w:t>
      </w:r>
      <w:r>
        <w:t xml:space="preserve">activités, véhicules, panneaux et occupations du domaine public</w:t>
      </w:r>
      <w:r>
        <w:t xml:space="preserve"> </w:t>
      </w:r>
      <w:r>
        <w:t xml:space="preserve">n'est pas connue de l'administration sous une forme numérique,</w:t>
      </w:r>
      <w:r>
        <w:t xml:space="preserve"> </w:t>
      </w:r>
      <w:r>
        <w:t xml:space="preserve">géolocalisée et actualisée ;</w:t>
      </w:r>
    </w:p>
    <w:p>
      <w:pPr>
        <w:numPr>
          <w:ilvl w:val="0"/>
          <w:numId w:val="1002"/>
        </w:numPr>
      </w:pPr>
      <w:r>
        <w:t xml:space="preserve">une identification faible : l'administration peut connaître</w:t>
      </w:r>
      <w:r>
        <w:t xml:space="preserve"> </w:t>
      </w:r>
      <w:r>
        <w:t xml:space="preserve">l'existence d'un bien sans pouvoir rattacher de manière fiable la</w:t>
      </w:r>
      <w:r>
        <w:t xml:space="preserve"> </w:t>
      </w:r>
      <w:r>
        <w:t xml:space="preserve">chaîne personne–bien–localisation–obligation–paiement ;</w:t>
      </w:r>
    </w:p>
    <w:p>
      <w:pPr>
        <w:numPr>
          <w:ilvl w:val="0"/>
          <w:numId w:val="1002"/>
        </w:numPr>
      </w:pPr>
      <w:r>
        <w:t xml:space="preserve">une dispersion de l'information entre services, supports papier et</w:t>
      </w:r>
      <w:r>
        <w:t xml:space="preserve"> </w:t>
      </w:r>
      <w:r>
        <w:t xml:space="preserve">bases parallèles, qui empêche toute consolidation ;</w:t>
      </w:r>
    </w:p>
    <w:p>
      <w:pPr>
        <w:numPr>
          <w:ilvl w:val="0"/>
          <w:numId w:val="1002"/>
        </w:numPr>
      </w:pPr>
      <w:r>
        <w:t xml:space="preserve">une friction élevée pour le contribuable, qui ne sait pas toujours</w:t>
      </w:r>
      <w:r>
        <w:t xml:space="preserve"> </w:t>
      </w:r>
      <w:r>
        <w:t xml:space="preserve">ce qu'il doit, à qui, à quelle échéance, à quel montant et par quel</w:t>
      </w:r>
      <w:r>
        <w:t xml:space="preserve"> </w:t>
      </w:r>
      <w:r>
        <w:t xml:space="preserve">canal ;</w:t>
      </w:r>
    </w:p>
    <w:p>
      <w:pPr>
        <w:numPr>
          <w:ilvl w:val="0"/>
          <w:numId w:val="1002"/>
        </w:numPr>
      </w:pPr>
      <w:r>
        <w:t xml:space="preserve">une déperdition en bout de chaîne : encaissement physique,</w:t>
      </w:r>
      <w:r>
        <w:t xml:space="preserve"> </w:t>
      </w:r>
      <w:r>
        <w:t xml:space="preserve">quittances non standardisées, rapprochement bancaire tardif,</w:t>
      </w:r>
      <w:r>
        <w:t xml:space="preserve"> </w:t>
      </w:r>
      <w:r>
        <w:t xml:space="preserve">annulations non tracées.</w:t>
      </w:r>
    </w:p>
    <w:p>
      <w:pPr>
        <w:pStyle w:val="FirstParagraph"/>
      </w:pPr>
      <w:r>
        <w:t xml:space="preserve">La campagne fiscale 2026 illustre l'ampleur de l'enjeu : la Direction</w:t>
      </w:r>
      <w:r>
        <w:t xml:space="preserve"> </w:t>
      </w:r>
      <w:r>
        <w:t xml:space="preserve">générale des recettes de Kinshasa a signé un contrat de performance</w:t>
      </w:r>
      <w:r>
        <w:t xml:space="preserve"> </w:t>
      </w:r>
      <w:r>
        <w:t xml:space="preserve">portant sur des assignations de l'ordre de 500 millions de dollars pour</w:t>
      </w:r>
      <w:r>
        <w:t xml:space="preserve"> </w:t>
      </w:r>
      <w:r>
        <w:t xml:space="preserve">l'exercice, alors que les recettes cumulées de l'impôt foncier et de</w:t>
      </w:r>
      <w:r>
        <w:t xml:space="preserve"> </w:t>
      </w:r>
      <w:r>
        <w:t xml:space="preserve">l'impôt sur les revenus locatifs constatées à la fin du mois de janvier</w:t>
      </w:r>
      <w:r>
        <w:t xml:space="preserve"> </w:t>
      </w:r>
      <w:r>
        <w:t xml:space="preserve">2026 s'élevaient à environ 40 milliards de francs congolais, soit</w:t>
      </w:r>
      <w:r>
        <w:t xml:space="preserve"> </w:t>
      </w:r>
      <w:r>
        <w:t xml:space="preserve">approximativement 14 millions de dollars au taux budgétaire moyen de</w:t>
      </w:r>
      <w:r>
        <w:t xml:space="preserve"> </w:t>
      </w:r>
      <w:r>
        <w:t xml:space="preserve">2025 (2 859,2 CDF pour un dollar). L'écart n'est pas un échec</w:t>
      </w:r>
      <w:r>
        <w:t xml:space="preserve"> </w:t>
      </w:r>
      <w:r>
        <w:t xml:space="preserve">administratif : c'est un gisement, et il est majoritairement locatif et</w:t>
      </w:r>
      <w:r>
        <w:t xml:space="preserve"> </w:t>
      </w:r>
      <w:r>
        <w:t xml:space="preserve">foncier.</w:t>
      </w:r>
    </w:p>
    <w:bookmarkStart w:id="31" w:name="pourquoi-maintenant"/>
    <w:p>
      <w:pPr>
        <w:pStyle w:val="Heading3"/>
      </w:pPr>
      <w:r>
        <w:t xml:space="preserve">Pourquoi maintenant</w:t>
      </w:r>
    </w:p>
    <w:p>
      <w:pPr>
        <w:numPr>
          <w:ilvl w:val="0"/>
          <w:numId w:val="1003"/>
        </w:numPr>
      </w:pPr>
      <w:r>
        <w:t xml:space="preserve">La réforme institutionnelle est engagée : la création annoncée de</w:t>
      </w:r>
      <w:r>
        <w:t xml:space="preserve"> </w:t>
      </w:r>
      <w:r>
        <w:t xml:space="preserve">deux régies spécialisées appelle un socle d'information commun,</w:t>
      </w:r>
      <w:r>
        <w:t xml:space="preserve"> </w:t>
      </w:r>
      <w:r>
        <w:t xml:space="preserve">faute de quoi la spécialisation produira deux silos au lieu d'un.</w:t>
      </w:r>
    </w:p>
    <w:p>
      <w:pPr>
        <w:numPr>
          <w:ilvl w:val="0"/>
          <w:numId w:val="1003"/>
        </w:numPr>
      </w:pPr>
      <w:r>
        <w:t xml:space="preserve">Le quitus fiscal provincial existe déjà comme condition d'accès à</w:t>
      </w:r>
      <w:r>
        <w:t xml:space="preserve"> </w:t>
      </w:r>
      <w:r>
        <w:t xml:space="preserve">certains services : il suffit de le rendre numérique et vérifiable</w:t>
      </w:r>
      <w:r>
        <w:t xml:space="preserve"> </w:t>
      </w:r>
      <w:r>
        <w:t xml:space="preserve">pour qu'il devienne un instrument de conformité à grande échelle.</w:t>
      </w:r>
    </w:p>
    <w:p>
      <w:pPr>
        <w:numPr>
          <w:ilvl w:val="0"/>
          <w:numId w:val="1003"/>
        </w:numPr>
      </w:pPr>
      <w:r>
        <w:t xml:space="preserve">La dématérialisation déclarative a commencé : la déclaration en</w:t>
      </w:r>
      <w:r>
        <w:t xml:space="preserve"> </w:t>
      </w:r>
      <w:r>
        <w:t xml:space="preserve">ligne existe et l'obligation de télédéclaration s'étend aux</w:t>
      </w:r>
      <w:r>
        <w:t xml:space="preserve"> </w:t>
      </w:r>
      <w:r>
        <w:t xml:space="preserve">grandes entreprises. MOSOLO doit absorber cet acquis, non le</w:t>
      </w:r>
      <w:r>
        <w:t xml:space="preserve"> </w:t>
      </w:r>
      <w:r>
        <w:t xml:space="preserve">dupliquer.</w:t>
      </w:r>
    </w:p>
    <w:p>
      <w:pPr>
        <w:numPr>
          <w:ilvl w:val="0"/>
          <w:numId w:val="1003"/>
        </w:numPr>
      </w:pPr>
      <w:r>
        <w:t xml:space="preserve">Les partenaires techniques et financiers suivent la trajectoire</w:t>
      </w:r>
      <w:r>
        <w:t xml:space="preserve"> </w:t>
      </w:r>
      <w:r>
        <w:t xml:space="preserve">TADAT : un programme structuré, auditable et non prédateur est</w:t>
      </w:r>
      <w:r>
        <w:t xml:space="preserve"> </w:t>
      </w:r>
      <w:r>
        <w:t xml:space="preserve">finançable ; un programme perçu comme une fermage fiscal ne l'est</w:t>
      </w:r>
      <w:r>
        <w:t xml:space="preserve"> </w:t>
      </w:r>
      <w:r>
        <w:t xml:space="preserve">pas.</w:t>
      </w:r>
    </w:p>
    <w:bookmarkEnd w:id="31"/>
    <w:bookmarkStart w:id="32" w:name="le-risque-de-ne-rien-faire"/>
    <w:p>
      <w:pPr>
        <w:pStyle w:val="Heading3"/>
      </w:pPr>
      <w:r>
        <w:t xml:space="preserve">Le risque de ne rien faire</w:t>
      </w:r>
    </w:p>
    <w:p>
      <w:pPr>
        <w:pStyle w:val="FirstParagraph"/>
      </w:pPr>
      <w:r>
        <w:t xml:space="preserve">Sans registre unique, chaque campagne recommence à zéro, la pression se</w:t>
      </w:r>
      <w:r>
        <w:t xml:space="preserve"> </w:t>
      </w:r>
      <w:r>
        <w:t xml:space="preserve">concentre sur les contribuables déjà connus — les entreprises</w:t>
      </w:r>
      <w:r>
        <w:t xml:space="preserve"> </w:t>
      </w:r>
      <w:r>
        <w:t xml:space="preserve">formelles et les propriétaires identifiés — et le civisme fiscal se</w:t>
      </w:r>
      <w:r>
        <w:t xml:space="preserve"> </w:t>
      </w:r>
      <w:r>
        <w:t xml:space="preserve">dégrade parce que l'inégalité devant l'impôt devient visible. La</w:t>
      </w:r>
      <w:r>
        <w:t xml:space="preserve"> </w:t>
      </w:r>
      <w:r>
        <w:t xml:space="preserve">numérisation partielle produit alors l'effet inverse de celui recherché</w:t>
      </w:r>
      <w:r>
        <w:t xml:space="preserve"> </w:t>
      </w:r>
      <w:r>
        <w:t xml:space="preserve">: plus de pression sur la même assiette étroite, au lieu d'un</w:t>
      </w:r>
      <w:r>
        <w:t xml:space="preserve"> </w:t>
      </w:r>
      <w:r>
        <w:t xml:space="preserve">élargissement équitable.</w:t>
      </w:r>
    </w:p>
    <w:bookmarkEnd w:id="32"/>
    <w:bookmarkStart w:id="33" w:name="équation-de-croissance-des-recettes"/>
    <w:p>
      <w:pPr>
        <w:pStyle w:val="Heading3"/>
      </w:pPr>
      <w:r>
        <w:t xml:space="preserve">Équation de croissance des recettes</w:t>
      </w:r>
    </w:p>
    <w:p>
      <w:pPr>
        <w:pStyle w:val="FirstParagraph"/>
      </w:pPr>
      <w:r>
        <w:rPr>
          <w:b/>
          <w:bCs/>
        </w:rPr>
        <w:t xml:space="preserve">Recettes nettes = objets détectés × objets correctement rattachés × obligations légalement applicables × taux de déclaration × taux de paiement × taux de rapprochement</w:t>
      </w:r>
      <w:r>
        <w:t xml:space="preserve">, diminuées des erreurs, exonérations indues, annulations irrégulières, détournements, coûts de collecte et remboursements. La plateforme agit sur chaque facteur séparément, et distingue toujours le potentiel fiscal, le montant légalement exigible, le montant payé, le montant rapproché et le montant définitivement comptabilisé.</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Modèle actuel à réduire</w:t>
            </w:r>
          </w:p>
        </w:tc>
        <w:tc>
          <w:tcPr>
            <w:shd w:val="clear" w:color="auto" w:fill="1BA996"/>
          </w:tcPr>
          <w:p>
            <w:pPr>
              <w:pStyle w:val="Compact"/>
              <w:spacing w:after="20" w:before="20" w:line="240" w:lineRule="auto"/>
              <w:jc w:val="left"/>
            </w:pPr>
            <w:r>
              <w:rPr>
                <w:b/>
                <w:color w:val="FFFFFF"/>
                <w:sz w:val="17"/>
              </w:rPr>
              <w:t xml:space="preserve">Modèle cible</w:t>
            </w:r>
          </w:p>
        </w:tc>
      </w:tr>
      <w:tr>
        <w:tc>
          <w:tcPr/>
          <w:p>
            <w:pPr>
              <w:pStyle w:val="Compact"/>
              <w:spacing w:after="20" w:before="20" w:line="240" w:lineRule="auto"/>
              <w:jc w:val="left"/>
            </w:pPr>
            <w:r>
              <w:rPr>
                <w:sz w:val="17"/>
              </w:rPr>
              <w:t xml:space="preserve">Chercher manuellement le contribuable</w:t>
            </w:r>
          </w:p>
        </w:tc>
        <w:tc>
          <w:tcPr/>
          <w:p>
            <w:pPr>
              <w:pStyle w:val="Compact"/>
              <w:spacing w:after="20" w:before="20" w:line="240" w:lineRule="auto"/>
              <w:jc w:val="left"/>
            </w:pPr>
            <w:r>
              <w:rPr>
                <w:sz w:val="17"/>
              </w:rPr>
              <w:t xml:space="preserve">Détecter et suivre l’objet générateur de recettes</w:t>
            </w:r>
          </w:p>
        </w:tc>
      </w:tr>
      <w:tr>
        <w:tc>
          <w:tcPr>
            <w:shd w:val="clear" w:color="auto" w:fill="F2F9F8"/>
          </w:tcPr>
          <w:p>
            <w:pPr>
              <w:pStyle w:val="Compact"/>
              <w:spacing w:after="20" w:before="20" w:line="240" w:lineRule="auto"/>
              <w:jc w:val="left"/>
            </w:pPr>
            <w:r>
              <w:rPr>
                <w:sz w:val="17"/>
              </w:rPr>
              <w:t xml:space="preserve">Multiples dossiers et identifiants</w:t>
            </w:r>
          </w:p>
        </w:tc>
        <w:tc>
          <w:tcPr>
            <w:shd w:val="clear" w:color="auto" w:fill="F2F9F8"/>
          </w:tcPr>
          <w:p>
            <w:pPr>
              <w:pStyle w:val="Compact"/>
              <w:spacing w:after="20" w:before="20" w:line="240" w:lineRule="auto"/>
              <w:jc w:val="left"/>
            </w:pPr>
            <w:r>
              <w:rPr>
                <w:sz w:val="17"/>
              </w:rPr>
              <w:t xml:space="preserve">Identité fiscale unique et liens vérifiés</w:t>
            </w:r>
          </w:p>
        </w:tc>
      </w:tr>
      <w:tr>
        <w:tc>
          <w:tcPr/>
          <w:p>
            <w:pPr>
              <w:pStyle w:val="Compact"/>
              <w:spacing w:after="20" w:before="20" w:line="240" w:lineRule="auto"/>
              <w:jc w:val="left"/>
            </w:pPr>
            <w:r>
              <w:rPr>
                <w:sz w:val="17"/>
              </w:rPr>
              <w:t xml:space="preserve">Paiement difficile à rapprocher</w:t>
            </w:r>
          </w:p>
        </w:tc>
        <w:tc>
          <w:tcPr/>
          <w:p>
            <w:pPr>
              <w:pStyle w:val="Compact"/>
              <w:spacing w:after="20" w:before="20" w:line="240" w:lineRule="auto"/>
              <w:jc w:val="left"/>
            </w:pPr>
            <w:r>
              <w:rPr>
                <w:sz w:val="17"/>
              </w:rPr>
              <w:t xml:space="preserve">Paiement référencé et rapprochement automatisé</w:t>
            </w:r>
          </w:p>
        </w:tc>
      </w:tr>
      <w:tr>
        <w:tc>
          <w:tcPr>
            <w:shd w:val="clear" w:color="auto" w:fill="F2F9F8"/>
          </w:tcPr>
          <w:p>
            <w:pPr>
              <w:pStyle w:val="Compact"/>
              <w:spacing w:after="20" w:before="20" w:line="240" w:lineRule="auto"/>
              <w:jc w:val="left"/>
            </w:pPr>
            <w:r>
              <w:rPr>
                <w:sz w:val="17"/>
              </w:rPr>
              <w:t xml:space="preserve">Contrôle uniforme</w:t>
            </w:r>
          </w:p>
        </w:tc>
        <w:tc>
          <w:tcPr>
            <w:shd w:val="clear" w:color="auto" w:fill="F2F9F8"/>
          </w:tcPr>
          <w:p>
            <w:pPr>
              <w:pStyle w:val="Compact"/>
              <w:spacing w:after="20" w:before="20" w:line="240" w:lineRule="auto"/>
              <w:jc w:val="left"/>
            </w:pPr>
            <w:r>
              <w:rPr>
                <w:sz w:val="17"/>
              </w:rPr>
              <w:t xml:space="preserve">Contrôle orienté risque et potentiel</w:t>
            </w:r>
          </w:p>
        </w:tc>
      </w:tr>
      <w:tr>
        <w:tc>
          <w:tcPr/>
          <w:p>
            <w:pPr>
              <w:pStyle w:val="Compact"/>
              <w:spacing w:after="20" w:before="20" w:line="240" w:lineRule="auto"/>
              <w:jc w:val="left"/>
            </w:pPr>
            <w:r>
              <w:rPr>
                <w:sz w:val="17"/>
              </w:rPr>
              <w:t xml:space="preserve">Rapport périodique tardif</w:t>
            </w:r>
          </w:p>
        </w:tc>
        <w:tc>
          <w:tcPr/>
          <w:p>
            <w:pPr>
              <w:pStyle w:val="Compact"/>
              <w:spacing w:after="20" w:before="20" w:line="240" w:lineRule="auto"/>
              <w:jc w:val="left"/>
            </w:pPr>
            <w:r>
              <w:rPr>
                <w:sz w:val="17"/>
              </w:rPr>
              <w:t xml:space="preserve">Pilotage quotidien et alertes explicables</w:t>
            </w:r>
          </w:p>
        </w:tc>
      </w:tr>
      <w:tr>
        <w:tc>
          <w:tcPr>
            <w:shd w:val="clear" w:color="auto" w:fill="F2F9F8"/>
          </w:tcPr>
          <w:p>
            <w:pPr>
              <w:pStyle w:val="Compact"/>
              <w:spacing w:after="20" w:before="20" w:line="240" w:lineRule="auto"/>
              <w:jc w:val="left"/>
            </w:pPr>
            <w:r>
              <w:rPr>
                <w:sz w:val="17"/>
              </w:rPr>
              <w:t xml:space="preserve">Correction sans preuve suffisante</w:t>
            </w:r>
          </w:p>
        </w:tc>
        <w:tc>
          <w:tcPr>
            <w:shd w:val="clear" w:color="auto" w:fill="F2F9F8"/>
          </w:tcPr>
          <w:p>
            <w:pPr>
              <w:pStyle w:val="Compact"/>
              <w:spacing w:after="20" w:before="20" w:line="240" w:lineRule="auto"/>
              <w:jc w:val="left"/>
            </w:pPr>
            <w:r>
              <w:rPr>
                <w:sz w:val="17"/>
              </w:rPr>
              <w:t xml:space="preserve">Contre-écriture, motif, pièces et double approbation</w:t>
            </w:r>
          </w:p>
        </w:tc>
      </w:tr>
    </w:tbl>
    <w:bookmarkEnd w:id="33"/>
    <w:bookmarkEnd w:id="34"/>
    <w:bookmarkStart w:id="39" w:name="vision-du-projet"/>
    <w:p>
      <w:pPr>
        <w:pStyle w:val="Heading1"/>
      </w:pPr>
      <w:r>
        <w:t xml:space="preserve">3. Vision du projet</w:t>
      </w:r>
    </w:p>
    <w:p>
      <w:pPr>
        <w:pStyle w:val="FirstParagraph"/>
      </w:pPr>
      <w:r>
        <w:t xml:space="preserve">KINSHASA MOSOLO doit devenir l'infrastructure numérique par laquelle</w:t>
      </w:r>
      <w:r>
        <w:t xml:space="preserve"> </w:t>
      </w:r>
      <w:r>
        <w:t xml:space="preserve">Kinshasa connaît, gère, protège et accroît ses recettes, et rend compte</w:t>
      </w:r>
      <w:r>
        <w:t xml:space="preserve"> </w:t>
      </w:r>
      <w:r>
        <w:t xml:space="preserve">de leur emploi. La plateforme répond en permanence à sept questions,</w:t>
      </w:r>
      <w:r>
        <w:t xml:space="preserve"> </w:t>
      </w:r>
      <w:r>
        <w:t xml:space="preserve">pour chaque objet et chaque obligation : qui ? quoi ? où ? quelle règle</w:t>
      </w:r>
      <w:r>
        <w:t xml:space="preserve"> </w:t>
      </w:r>
      <w:r>
        <w:t xml:space="preserve">? combien ? payé ? l'argent est-il arrivé sur le compte public et</w:t>
      </w:r>
      <w:r>
        <w:t xml:space="preserve"> </w:t>
      </w:r>
      <w:r>
        <w:t xml:space="preserve">comptabilisé ?</w:t>
      </w:r>
    </w:p>
    <w:bookmarkStart w:id="35" w:name="chaîne-opératoire"/>
    <w:p>
      <w:pPr>
        <w:pStyle w:val="Heading3"/>
      </w:pPr>
      <w:r>
        <w:t xml:space="preserve">Chaîne opératoire</w:t>
      </w:r>
    </w:p>
    <w:p>
      <w:pPr>
        <w:pStyle w:val="FirstParagraph"/>
      </w:pPr>
      <w:r>
        <w:rPr>
          <w:b/>
          <w:bCs/>
        </w:rPr>
        <w:t xml:space="preserve">RECENSER → IDENTIFIER → GÉOLOCALISER → QUALIFIER → CALCULER → NOTIFIER</w:t>
      </w:r>
      <w:r>
        <w:rPr>
          <w:b/>
          <w:bCs/>
        </w:rPr>
        <w:t xml:space="preserve"> </w:t>
      </w:r>
      <w:r>
        <w:rPr>
          <w:b/>
          <w:bCs/>
        </w:rPr>
        <w:t xml:space="preserve">→ PAYER → RAPPROCHER → QUITTANCER → CONTRÔLER → RECOUVRER → AUDITER →</w:t>
      </w:r>
      <w:r>
        <w:rPr>
          <w:b/>
          <w:bCs/>
        </w:rPr>
        <w:t xml:space="preserve"> </w:t>
      </w:r>
      <w:r>
        <w:rPr>
          <w:b/>
          <w:bCs/>
        </w:rPr>
        <w:t xml:space="preserve">PLANIFIER</w:t>
      </w:r>
    </w:p>
    <w:p>
      <w:pPr>
        <w:pStyle w:val="BodyText"/>
      </w:pPr>
      <w:r>
        <w:t xml:space="preserve">Chaque maillon produit un événement horodaté, signé et inaltérable.</w:t>
      </w:r>
      <w:r>
        <w:t xml:space="preserve"> </w:t>
      </w:r>
      <w:r>
        <w:t xml:space="preserve">Aucun maillon ne peut être sauté : il n'existe pas de quittance sans</w:t>
      </w:r>
      <w:r>
        <w:t xml:space="preserve"> </w:t>
      </w:r>
      <w:r>
        <w:t xml:space="preserve">paiement confirmé, pas de paiement sans obligation liquidée, pas</w:t>
      </w:r>
      <w:r>
        <w:t xml:space="preserve"> </w:t>
      </w:r>
      <w:r>
        <w:t xml:space="preserve">d'obligation sans règle validée, pas de règle sans texte en vigueur.</w:t>
      </w:r>
    </w:p>
    <w:bookmarkEnd w:id="35"/>
    <w:bookmarkStart w:id="36" w:name="positionnement-et-mandat"/>
    <w:p>
      <w:pPr>
        <w:pStyle w:val="Heading3"/>
      </w:pPr>
      <w:r>
        <w:t xml:space="preserve">Positionnement et mandat</w:t>
      </w:r>
    </w:p>
    <w:p>
      <w:pPr>
        <w:pStyle w:val="Compact"/>
        <w:numPr>
          <w:ilvl w:val="0"/>
          <w:numId w:val="1004"/>
        </w:numPr>
      </w:pPr>
      <w:r>
        <w:t xml:space="preserve">Positionner MOSOLO comme système d’exploitation souverain des recettes de Kinshasa (Sovereign Revenue Maximisation Operating System) : une plateforme faîtière, et non un simple portail fiscal ni un nouveau guichet de paiement.</w:t>
      </w:r>
    </w:p>
    <w:p>
      <w:pPr>
        <w:pStyle w:val="Compact"/>
        <w:numPr>
          <w:ilvl w:val="0"/>
          <w:numId w:val="1004"/>
        </w:numPr>
      </w:pPr>
      <w:r>
        <w:t xml:space="preserve">Créer une source de vérité commune reliant identité, territoire, droit, obligation, paiement, Trésor, rapprochement, contrôle, recouvrement, audit, intelligence artificielle et décision publique.</w:t>
      </w:r>
    </w:p>
    <w:p>
      <w:pPr>
        <w:pStyle w:val="Compact"/>
        <w:numPr>
          <w:ilvl w:val="0"/>
          <w:numId w:val="1004"/>
        </w:numPr>
      </w:pPr>
      <w:r>
        <w:t xml:space="preserve">Maximiser d’abord les recettes légalement dues mais insuffisamment identifiées ou recouvrées, avant de proposer tout nouveau prélèvement.</w:t>
      </w:r>
    </w:p>
    <w:p>
      <w:pPr>
        <w:pStyle w:val="Compact"/>
        <w:numPr>
          <w:ilvl w:val="0"/>
          <w:numId w:val="1004"/>
        </w:numPr>
      </w:pPr>
      <w:r>
        <w:t xml:space="preserve">Positionnement résumé :</w:t>
      </w:r>
      <w:r>
        <w:t xml:space="preserve"> </w:t>
      </w:r>
      <w:r>
        <w:rPr>
          <w:b/>
          <w:bCs/>
        </w:rPr>
        <w:t xml:space="preserve">une identité • un territoire • une règle légale • une recette traçable.</w:t>
      </w:r>
      <w:r>
        <w:t xml:space="preserve"> </w:t>
      </w:r>
      <w:r>
        <w:t xml:space="preserve">Principe :</w:t>
      </w:r>
      <w:r>
        <w:t xml:space="preserve"> </w:t>
      </w:r>
      <w:r>
        <w:rPr>
          <w:b/>
          <w:bCs/>
        </w:rPr>
        <w:t xml:space="preserve">chaque franc public doit être identifiable, rapprochable et auditable.</w:t>
      </w:r>
    </w:p>
    <w:bookmarkEnd w:id="36"/>
    <w:bookmarkStart w:id="37" w:name="principes-directeurs"/>
    <w:p>
      <w:pPr>
        <w:pStyle w:val="Heading3"/>
      </w:pPr>
      <w:r>
        <w:t xml:space="preserve">Principes directeurs</w:t>
      </w:r>
    </w:p>
    <w:p>
      <w:pPr>
        <w:numPr>
          <w:ilvl w:val="0"/>
          <w:numId w:val="1005"/>
        </w:numPr>
      </w:pPr>
      <w:r>
        <w:t xml:space="preserve">Souveraineté : la Ville est propriétaire des données, du référentiel</w:t>
      </w:r>
      <w:r>
        <w:t xml:space="preserve"> </w:t>
      </w:r>
      <w:r>
        <w:t xml:space="preserve">et des clés ; aucune dépendance irréversible à un fournisseur.</w:t>
      </w:r>
    </w:p>
    <w:p>
      <w:pPr>
        <w:numPr>
          <w:ilvl w:val="0"/>
          <w:numId w:val="1005"/>
        </w:numPr>
      </w:pPr>
      <w:r>
        <w:t xml:space="preserve">Légalité stricte : le système applique le droit, il ne le crée pas ;</w:t>
      </w:r>
      <w:r>
        <w:t xml:space="preserve"> </w:t>
      </w:r>
      <w:r>
        <w:t xml:space="preserve">toute règle porte sa référence légale et son historique de versions.</w:t>
      </w:r>
    </w:p>
    <w:p>
      <w:pPr>
        <w:numPr>
          <w:ilvl w:val="0"/>
          <w:numId w:val="1005"/>
        </w:numPr>
      </w:pPr>
      <w:r>
        <w:t xml:space="preserve">Un contribuable, un compte, plusieurs objets, plusieurs rôles.</w:t>
      </w:r>
    </w:p>
    <w:p>
      <w:pPr>
        <w:numPr>
          <w:ilvl w:val="0"/>
          <w:numId w:val="1005"/>
        </w:numPr>
      </w:pPr>
      <w:r>
        <w:t xml:space="preserve">Preuve avant sanction : un signal analytique ouvre une vérification</w:t>
      </w:r>
      <w:r>
        <w:t xml:space="preserve"> </w:t>
      </w:r>
      <w:r>
        <w:t xml:space="preserve">humaine, jamais une taxation automatique.</w:t>
      </w:r>
    </w:p>
    <w:p>
      <w:pPr>
        <w:numPr>
          <w:ilvl w:val="0"/>
          <w:numId w:val="1005"/>
        </w:numPr>
      </w:pPr>
      <w:r>
        <w:t xml:space="preserve">Zéro espèces entre les mains de l'agent : l'agent constate et</w:t>
      </w:r>
      <w:r>
        <w:t xml:space="preserve"> </w:t>
      </w:r>
      <w:r>
        <w:t xml:space="preserve">notifie, il n'encaisse pas.</w:t>
      </w:r>
    </w:p>
    <w:p>
      <w:pPr>
        <w:numPr>
          <w:ilvl w:val="0"/>
          <w:numId w:val="1005"/>
        </w:numPr>
      </w:pPr>
      <w:r>
        <w:t xml:space="preserve">Hors ligne d'abord pour le terrain, temps réel pour le pilotage.</w:t>
      </w:r>
    </w:p>
    <w:p>
      <w:pPr>
        <w:numPr>
          <w:ilvl w:val="0"/>
          <w:numId w:val="1005"/>
        </w:numPr>
      </w:pPr>
      <w:r>
        <w:t xml:space="preserve">Minimisation des données : on ne collecte que ce qui a une finalité</w:t>
      </w:r>
      <w:r>
        <w:t xml:space="preserve"> </w:t>
      </w:r>
      <w:r>
        <w:t xml:space="preserve">administrative, fiscale ou de service légitime.</w:t>
      </w:r>
    </w:p>
    <w:p>
      <w:pPr>
        <w:numPr>
          <w:ilvl w:val="0"/>
          <w:numId w:val="1005"/>
        </w:numPr>
      </w:pPr>
      <w:r>
        <w:t xml:space="preserve">Réversibilité : code source, données et procédures documentées et</w:t>
      </w:r>
      <w:r>
        <w:t xml:space="preserve"> </w:t>
      </w:r>
      <w:r>
        <w:t xml:space="preserve">transférables à la Ville à tout moment.</w:t>
      </w:r>
    </w:p>
    <w:bookmarkEnd w:id="37"/>
    <w:bookmarkStart w:id="38" w:name="X752f53f196d14cc412b0dba9c848923e25524ee"/>
    <w:p>
      <w:pPr>
        <w:pStyle w:val="Heading3"/>
      </w:pPr>
      <w:r>
        <w:t xml:space="preserve">Principes constitutionnels du produit (non négociables)</w:t>
      </w:r>
    </w:p>
    <w:p>
      <w:pPr>
        <w:pStyle w:val="FirstParagraph"/>
      </w:pPr>
      <w:r>
        <w:t xml:space="preserve">Les principes directeurs se traduisent en règles de conception opposables à toute équipe de réalisation. Aucune dérogation n’est possible sans décision écrite du comité de pilotage.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Principe</w:t>
            </w:r>
          </w:p>
        </w:tc>
        <w:tc>
          <w:tcPr>
            <w:shd w:val="clear" w:color="auto" w:fill="1BA996"/>
          </w:tcPr>
          <w:p>
            <w:pPr>
              <w:pStyle w:val="Compact"/>
              <w:spacing w:after="20" w:before="20" w:line="240" w:lineRule="auto"/>
              <w:jc w:val="left"/>
            </w:pPr>
            <w:r>
              <w:rPr>
                <w:b/>
                <w:color w:val="FFFFFF"/>
                <w:sz w:val="17"/>
              </w:rPr>
              <w:t xml:space="preserve">Traduction obligatoire dans le produit</w:t>
            </w:r>
          </w:p>
        </w:tc>
      </w:tr>
      <w:tr>
        <w:tc>
          <w:tcPr/>
          <w:p>
            <w:pPr>
              <w:pStyle w:val="Compact"/>
              <w:spacing w:after="20" w:before="20" w:line="240" w:lineRule="auto"/>
              <w:jc w:val="left"/>
            </w:pPr>
            <w:r>
              <w:rPr>
                <w:sz w:val="17"/>
              </w:rPr>
              <w:t xml:space="preserve">Légalité avant automatisation</w:t>
            </w:r>
          </w:p>
        </w:tc>
        <w:tc>
          <w:tcPr/>
          <w:p>
            <w:pPr>
              <w:pStyle w:val="Compact"/>
              <w:spacing w:after="20" w:before="20" w:line="240" w:lineRule="auto"/>
              <w:jc w:val="left"/>
            </w:pPr>
            <w:r>
              <w:rPr>
                <w:sz w:val="17"/>
              </w:rPr>
              <w:t xml:space="preserve">Aucun prélèvement sans base juridique ; aucune règle exécutable sans fiche validée (§ 6.2) ; taux non confirmés jamais codés en dur</w:t>
            </w:r>
          </w:p>
        </w:tc>
      </w:tr>
      <w:tr>
        <w:tc>
          <w:tcPr>
            <w:shd w:val="clear" w:color="auto" w:fill="F2F9F8"/>
          </w:tcPr>
          <w:p>
            <w:pPr>
              <w:pStyle w:val="Compact"/>
              <w:spacing w:after="20" w:before="20" w:line="240" w:lineRule="auto"/>
              <w:jc w:val="left"/>
            </w:pPr>
            <w:r>
              <w:rPr>
                <w:sz w:val="17"/>
              </w:rPr>
              <w:t xml:space="preserve">Unicité logique de l’identité, multiplicité des rôles</w:t>
            </w:r>
          </w:p>
        </w:tc>
        <w:tc>
          <w:tcPr>
            <w:shd w:val="clear" w:color="auto" w:fill="F2F9F8"/>
          </w:tcPr>
          <w:p>
            <w:pPr>
              <w:pStyle w:val="Compact"/>
              <w:spacing w:after="20" w:before="20" w:line="240" w:lineRule="auto"/>
              <w:jc w:val="left"/>
            </w:pPr>
            <w:r>
              <w:rPr>
                <w:sz w:val="17"/>
              </w:rPr>
              <w:t xml:space="preserve">Une identité principale par personne ou organisation ; plusieurs rôles et objets (§ 9) ; pas de fusion silencieuse</w:t>
            </w:r>
          </w:p>
        </w:tc>
      </w:tr>
      <w:tr>
        <w:tc>
          <w:tcPr/>
          <w:p>
            <w:pPr>
              <w:pStyle w:val="Compact"/>
              <w:spacing w:after="20" w:before="20" w:line="240" w:lineRule="auto"/>
              <w:jc w:val="left"/>
            </w:pPr>
            <w:r>
              <w:rPr>
                <w:sz w:val="17"/>
              </w:rPr>
              <w:t xml:space="preserve">Minimisation des données</w:t>
            </w:r>
          </w:p>
        </w:tc>
        <w:tc>
          <w:tcPr/>
          <w:p>
            <w:pPr>
              <w:pStyle w:val="Compact"/>
              <w:spacing w:after="20" w:before="20" w:line="240" w:lineRule="auto"/>
              <w:jc w:val="left"/>
            </w:pPr>
            <w:r>
              <w:rPr>
                <w:sz w:val="17"/>
              </w:rPr>
              <w:t xml:space="preserve">Collecte limitée à une finalité administrative, fiscale ou de service légitime (§ 32)</w:t>
            </w:r>
          </w:p>
        </w:tc>
      </w:tr>
      <w:tr>
        <w:tc>
          <w:tcPr>
            <w:shd w:val="clear" w:color="auto" w:fill="F2F9F8"/>
          </w:tcPr>
          <w:p>
            <w:pPr>
              <w:pStyle w:val="Compact"/>
              <w:spacing w:after="20" w:before="20" w:line="240" w:lineRule="auto"/>
              <w:jc w:val="left"/>
            </w:pPr>
            <w:r>
              <w:rPr>
                <w:sz w:val="17"/>
              </w:rPr>
              <w:t xml:space="preserve">Paiement vers les comptes publics désignés</w:t>
            </w:r>
          </w:p>
        </w:tc>
        <w:tc>
          <w:tcPr>
            <w:shd w:val="clear" w:color="auto" w:fill="F2F9F8"/>
          </w:tcPr>
          <w:p>
            <w:pPr>
              <w:pStyle w:val="Compact"/>
              <w:spacing w:after="20" w:before="20" w:line="240" w:lineRule="auto"/>
              <w:jc w:val="left"/>
            </w:pPr>
            <w:r>
              <w:rPr>
                <w:sz w:val="17"/>
              </w:rPr>
              <w:t xml:space="preserve">Aucun paiement public vers un compte privé de plateforme ; MOSOLO orchestre et prouve (§ 18)</w:t>
            </w:r>
          </w:p>
        </w:tc>
      </w:tr>
      <w:tr>
        <w:tc>
          <w:tcPr/>
          <w:p>
            <w:pPr>
              <w:pStyle w:val="Compact"/>
              <w:spacing w:after="20" w:before="20" w:line="240" w:lineRule="auto"/>
              <w:jc w:val="left"/>
            </w:pPr>
            <w:r>
              <w:rPr>
                <w:sz w:val="17"/>
              </w:rPr>
              <w:t xml:space="preserve">Séparation des pouvoirs et quatre yeux</w:t>
            </w:r>
          </w:p>
        </w:tc>
        <w:tc>
          <w:tcPr/>
          <w:p>
            <w:pPr>
              <w:pStyle w:val="Compact"/>
              <w:spacing w:after="20" w:before="20" w:line="240" w:lineRule="auto"/>
              <w:jc w:val="left"/>
            </w:pPr>
            <w:r>
              <w:rPr>
                <w:sz w:val="17"/>
              </w:rPr>
              <w:t xml:space="preserve">Constitution financière MOSOLO (§ 12.3)</w:t>
            </w:r>
          </w:p>
        </w:tc>
      </w:tr>
      <w:tr>
        <w:tc>
          <w:tcPr>
            <w:shd w:val="clear" w:color="auto" w:fill="F2F9F8"/>
          </w:tcPr>
          <w:p>
            <w:pPr>
              <w:pStyle w:val="Compact"/>
              <w:spacing w:after="20" w:before="20" w:line="240" w:lineRule="auto"/>
              <w:jc w:val="left"/>
            </w:pPr>
            <w:r>
              <w:rPr>
                <w:sz w:val="17"/>
              </w:rPr>
              <w:t xml:space="preserve">Aucune suppression silencieuse d’écriture financière</w:t>
            </w:r>
          </w:p>
        </w:tc>
        <w:tc>
          <w:tcPr>
            <w:shd w:val="clear" w:color="auto" w:fill="F2F9F8"/>
          </w:tcPr>
          <w:p>
            <w:pPr>
              <w:pStyle w:val="Compact"/>
              <w:spacing w:after="20" w:before="20" w:line="240" w:lineRule="auto"/>
              <w:jc w:val="left"/>
            </w:pPr>
            <w:r>
              <w:rPr>
                <w:sz w:val="17"/>
              </w:rPr>
              <w:t xml:space="preserve">Toute correction est une contre-écriture liée à l’original (§ 20.1)</w:t>
            </w:r>
          </w:p>
        </w:tc>
      </w:tr>
      <w:tr>
        <w:tc>
          <w:tcPr/>
          <w:p>
            <w:pPr>
              <w:pStyle w:val="Compact"/>
              <w:spacing w:after="20" w:before="20" w:line="240" w:lineRule="auto"/>
              <w:jc w:val="left"/>
            </w:pPr>
            <w:r>
              <w:rPr>
                <w:sz w:val="17"/>
              </w:rPr>
              <w:t xml:space="preserve">IA assistive</w:t>
            </w:r>
          </w:p>
        </w:tc>
        <w:tc>
          <w:tcPr/>
          <w:p>
            <w:pPr>
              <w:pStyle w:val="Compact"/>
              <w:spacing w:after="20" w:before="20" w:line="240" w:lineRule="auto"/>
              <w:jc w:val="left"/>
            </w:pPr>
            <w:r>
              <w:rPr>
                <w:sz w:val="17"/>
              </w:rPr>
              <w:t xml:space="preserve">Pas de sanction automatique par IA ; les décisions coercitives restent humaines et légalement habilitées (§ 23)</w:t>
            </w:r>
          </w:p>
        </w:tc>
      </w:tr>
      <w:tr>
        <w:tc>
          <w:tcPr>
            <w:shd w:val="clear" w:color="auto" w:fill="F2F9F8"/>
          </w:tcPr>
          <w:p>
            <w:pPr>
              <w:pStyle w:val="Compact"/>
              <w:spacing w:after="20" w:before="20" w:line="240" w:lineRule="auto"/>
              <w:jc w:val="left"/>
            </w:pPr>
            <w:r>
              <w:rPr>
                <w:sz w:val="17"/>
              </w:rPr>
              <w:t xml:space="preserve">Audit complet de toute action critique</w:t>
            </w:r>
          </w:p>
        </w:tc>
        <w:tc>
          <w:tcPr>
            <w:shd w:val="clear" w:color="auto" w:fill="F2F9F8"/>
          </w:tcPr>
          <w:p>
            <w:pPr>
              <w:pStyle w:val="Compact"/>
              <w:spacing w:after="20" w:before="20" w:line="240" w:lineRule="auto"/>
              <w:jc w:val="left"/>
            </w:pPr>
            <w:r>
              <w:rPr>
                <w:sz w:val="17"/>
              </w:rPr>
              <w:t xml:space="preserve">Journal en ajout seul, signé et horodaté (§ 25.1) ; attributs d’audit obligatoires (§ 29.1)</w:t>
            </w:r>
          </w:p>
        </w:tc>
      </w:tr>
    </w:tbl>
    <w:bookmarkEnd w:id="38"/>
    <w:bookmarkEnd w:id="39"/>
    <w:bookmarkStart w:id="40" w:name="énoncé-du-problème"/>
    <w:p>
      <w:pPr>
        <w:pStyle w:val="Heading1"/>
      </w:pPr>
      <w:r>
        <w:t xml:space="preserve">4. Énoncé du problème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461"/>
        <w:gridCol w:w="2354"/>
        <w:gridCol w:w="2889"/>
      </w:tblGrid>
      <w:tr>
        <w:trPr>
          <w:tblHeader w:val="true"/>
          <w:tblHeader/>
        </w:trPr>
        <w:tc>
          <w:tcPr>
            <w:shd w:val="clear" w:color="auto" w:fill="1BA996"/>
          </w:tcPr>
          <w:p>
            <w:pPr>
              <w:pStyle w:val="Compact"/>
              <w:spacing w:after="20" w:before="20" w:line="240" w:lineRule="auto"/>
              <w:jc w:val="left"/>
            </w:pPr>
            <w:r>
              <w:rPr>
                <w:b/>
                <w:bCs/>
                <w:color w:val="FFFFFF"/>
                <w:sz w:val="17"/>
              </w:rPr>
              <w:t xml:space="preserve">Problème constaté</w:t>
            </w:r>
          </w:p>
        </w:tc>
        <w:tc>
          <w:tcPr>
            <w:shd w:val="clear" w:color="auto" w:fill="1BA996"/>
          </w:tcPr>
          <w:p>
            <w:pPr>
              <w:pStyle w:val="Compact"/>
              <w:spacing w:after="20" w:before="20" w:line="240" w:lineRule="auto"/>
              <w:jc w:val="left"/>
            </w:pPr>
            <w:r>
              <w:rPr>
                <w:b/>
                <w:bCs/>
                <w:color w:val="FFFFFF"/>
                <w:sz w:val="17"/>
              </w:rPr>
              <w:t xml:space="preserve">Effet sur les</w:t>
            </w:r>
            <w:r>
              <w:rPr>
                <w:b/>
                <w:bCs/>
                <w:color w:val="FFFFFF"/>
                <w:sz w:val="17"/>
              </w:rPr>
              <w:t xml:space="preserve"> </w:t>
            </w:r>
            <w:r>
              <w:rPr>
                <w:b/>
                <w:bCs/>
                <w:color w:val="FFFFFF"/>
                <w:sz w:val="17"/>
              </w:rPr>
              <w:t xml:space="preserve">recettes</w:t>
            </w:r>
          </w:p>
        </w:tc>
        <w:tc>
          <w:tcPr>
            <w:shd w:val="clear" w:color="auto" w:fill="1BA996"/>
          </w:tcPr>
          <w:p>
            <w:pPr>
              <w:pStyle w:val="Compact"/>
              <w:spacing w:after="20" w:before="20" w:line="240" w:lineRule="auto"/>
              <w:jc w:val="left"/>
            </w:pPr>
            <w:r>
              <w:rPr>
                <w:b/>
                <w:bCs/>
                <w:color w:val="FFFFFF"/>
                <w:sz w:val="17"/>
              </w:rPr>
              <w:t xml:space="preserve">Réponse MOSOLO</w:t>
            </w:r>
          </w:p>
        </w:tc>
      </w:tr>
      <w:tr>
        <w:tc>
          <w:tcPr/>
          <w:p>
            <w:pPr>
              <w:pStyle w:val="Compact"/>
              <w:spacing w:after="20" w:before="20" w:line="240" w:lineRule="auto"/>
              <w:jc w:val="left"/>
            </w:pPr>
            <w:r>
              <w:rPr>
                <w:sz w:val="17"/>
              </w:rPr>
              <w:t xml:space="preserve">Registre des</w:t>
            </w:r>
            <w:r>
              <w:rPr>
                <w:sz w:val="17"/>
              </w:rPr>
              <w:t xml:space="preserve"> </w:t>
            </w:r>
            <w:r>
              <w:rPr>
                <w:sz w:val="17"/>
              </w:rPr>
              <w:t xml:space="preserve">contribuables</w:t>
            </w:r>
            <w:r>
              <w:rPr>
                <w:sz w:val="17"/>
              </w:rPr>
              <w:t xml:space="preserve"> </w:t>
            </w:r>
            <w:r>
              <w:rPr>
                <w:sz w:val="17"/>
              </w:rPr>
              <w:t xml:space="preserve">incomplet et peu</w:t>
            </w:r>
            <w:r>
              <w:rPr>
                <w:sz w:val="17"/>
              </w:rPr>
              <w:t xml:space="preserve"> </w:t>
            </w:r>
            <w:r>
              <w:rPr>
                <w:sz w:val="17"/>
              </w:rPr>
              <w:t xml:space="preserve">fiable (constat TADAT</w:t>
            </w:r>
            <w:r>
              <w:rPr>
                <w:sz w:val="17"/>
              </w:rPr>
              <w:t xml:space="preserve"> </w:t>
            </w:r>
            <w:r>
              <w:rPr>
                <w:sz w:val="17"/>
              </w:rPr>
              <w:t xml:space="preserve">2025)</w:t>
            </w:r>
          </w:p>
        </w:tc>
        <w:tc>
          <w:tcPr/>
          <w:p>
            <w:pPr>
              <w:pStyle w:val="Compact"/>
              <w:spacing w:after="20" w:before="20" w:line="240" w:lineRule="auto"/>
              <w:jc w:val="left"/>
            </w:pPr>
            <w:r>
              <w:rPr>
                <w:sz w:val="17"/>
              </w:rPr>
              <w:t xml:space="preserve">Assiette étroite,</w:t>
            </w:r>
            <w:r>
              <w:rPr>
                <w:sz w:val="17"/>
              </w:rPr>
              <w:t xml:space="preserve"> </w:t>
            </w:r>
            <w:r>
              <w:rPr>
                <w:sz w:val="17"/>
              </w:rPr>
              <w:t xml:space="preserve">pression concentrée,</w:t>
            </w:r>
            <w:r>
              <w:rPr>
                <w:sz w:val="17"/>
              </w:rPr>
              <w:t xml:space="preserve"> </w:t>
            </w:r>
            <w:r>
              <w:rPr>
                <w:sz w:val="17"/>
              </w:rPr>
              <w:t xml:space="preserve">inéquité</w:t>
            </w:r>
          </w:p>
        </w:tc>
        <w:tc>
          <w:tcPr/>
          <w:p>
            <w:pPr>
              <w:pStyle w:val="Compact"/>
              <w:spacing w:after="20" w:before="20" w:line="240" w:lineRule="auto"/>
              <w:jc w:val="left"/>
            </w:pPr>
            <w:r>
              <w:rPr>
                <w:sz w:val="17"/>
              </w:rPr>
              <w:t xml:space="preserve">Registre géofiscal par</w:t>
            </w:r>
            <w:r>
              <w:rPr>
                <w:sz w:val="17"/>
              </w:rPr>
              <w:t xml:space="preserve"> </w:t>
            </w:r>
            <w:r>
              <w:rPr>
                <w:sz w:val="17"/>
              </w:rPr>
              <w:t xml:space="preserve">objet, identifiant unique,</w:t>
            </w:r>
            <w:r>
              <w:rPr>
                <w:sz w:val="17"/>
              </w:rPr>
              <w:t xml:space="preserve"> </w:t>
            </w:r>
            <w:r>
              <w:rPr>
                <w:sz w:val="17"/>
              </w:rPr>
              <w:t xml:space="preserve">enrôlement continu</w:t>
            </w:r>
          </w:p>
        </w:tc>
      </w:tr>
      <w:tr>
        <w:tc>
          <w:tcPr>
            <w:shd w:val="clear" w:color="auto" w:fill="F2F9F8"/>
          </w:tcPr>
          <w:p>
            <w:pPr>
              <w:pStyle w:val="Compact"/>
              <w:spacing w:after="20" w:before="20" w:line="240" w:lineRule="auto"/>
              <w:jc w:val="left"/>
            </w:pPr>
            <w:r>
              <w:rPr>
                <w:sz w:val="17"/>
              </w:rPr>
              <w:t xml:space="preserve">Absence d'adresse</w:t>
            </w:r>
            <w:r>
              <w:rPr>
                <w:sz w:val="17"/>
              </w:rPr>
              <w:t xml:space="preserve"> </w:t>
            </w:r>
            <w:r>
              <w:rPr>
                <w:sz w:val="17"/>
              </w:rPr>
              <w:t xml:space="preserve">fiscale géolocalisée</w:t>
            </w:r>
            <w:r>
              <w:rPr>
                <w:sz w:val="17"/>
              </w:rPr>
              <w:t xml:space="preserve"> </w:t>
            </w:r>
            <w:r>
              <w:rPr>
                <w:sz w:val="17"/>
              </w:rPr>
              <w:t xml:space="preserve">généralisée</w:t>
            </w:r>
          </w:p>
        </w:tc>
        <w:tc>
          <w:tcPr>
            <w:shd w:val="clear" w:color="auto" w:fill="F2F9F8"/>
          </w:tcPr>
          <w:p>
            <w:pPr>
              <w:pStyle w:val="Compact"/>
              <w:spacing w:after="20" w:before="20" w:line="240" w:lineRule="auto"/>
              <w:jc w:val="left"/>
            </w:pPr>
            <w:r>
              <w:rPr>
                <w:sz w:val="17"/>
              </w:rPr>
              <w:t xml:space="preserve">Impossibilité de</w:t>
            </w:r>
            <w:r>
              <w:rPr>
                <w:sz w:val="17"/>
              </w:rPr>
              <w:t xml:space="preserve"> </w:t>
            </w:r>
            <w:r>
              <w:rPr>
                <w:sz w:val="17"/>
              </w:rPr>
              <w:t xml:space="preserve">contrôler, de</w:t>
            </w:r>
            <w:r>
              <w:rPr>
                <w:sz w:val="17"/>
              </w:rPr>
              <w:t xml:space="preserve"> </w:t>
            </w:r>
            <w:r>
              <w:rPr>
                <w:sz w:val="17"/>
              </w:rPr>
              <w:t xml:space="preserve">notifier et de</w:t>
            </w:r>
            <w:r>
              <w:rPr>
                <w:sz w:val="17"/>
              </w:rPr>
              <w:t xml:space="preserve"> </w:t>
            </w:r>
            <w:r>
              <w:rPr>
                <w:sz w:val="17"/>
              </w:rPr>
              <w:t xml:space="preserve">prouver</w:t>
            </w:r>
          </w:p>
        </w:tc>
        <w:tc>
          <w:tcPr>
            <w:shd w:val="clear" w:color="auto" w:fill="F2F9F8"/>
          </w:tcPr>
          <w:p>
            <w:pPr>
              <w:pStyle w:val="Compact"/>
              <w:spacing w:after="20" w:before="20" w:line="240" w:lineRule="auto"/>
              <w:jc w:val="left"/>
            </w:pPr>
            <w:r>
              <w:rPr>
                <w:sz w:val="17"/>
              </w:rPr>
              <w:t xml:space="preserve">Identifiant géographique</w:t>
            </w:r>
            <w:r>
              <w:rPr>
                <w:sz w:val="17"/>
              </w:rPr>
              <w:t xml:space="preserve"> </w:t>
            </w:r>
            <w:r>
              <w:rPr>
                <w:sz w:val="17"/>
              </w:rPr>
              <w:t xml:space="preserve">fiscal et code QR par</w:t>
            </w:r>
            <w:r>
              <w:rPr>
                <w:sz w:val="17"/>
              </w:rPr>
              <w:t xml:space="preserve"> </w:t>
            </w:r>
            <w:r>
              <w:rPr>
                <w:sz w:val="17"/>
              </w:rPr>
              <w:t xml:space="preserve">objet</w:t>
            </w:r>
          </w:p>
        </w:tc>
      </w:tr>
      <w:tr>
        <w:tc>
          <w:tcPr/>
          <w:p>
            <w:pPr>
              <w:pStyle w:val="Compact"/>
              <w:spacing w:after="20" w:before="20" w:line="240" w:lineRule="auto"/>
              <w:jc w:val="left"/>
            </w:pPr>
            <w:r>
              <w:rPr>
                <w:sz w:val="17"/>
              </w:rPr>
              <w:t xml:space="preserve">Télépaiement non</w:t>
            </w:r>
            <w:r>
              <w:rPr>
                <w:sz w:val="17"/>
              </w:rPr>
              <w:t xml:space="preserve"> </w:t>
            </w:r>
            <w:r>
              <w:rPr>
                <w:sz w:val="17"/>
              </w:rPr>
              <w:t xml:space="preserve">opérationnel</w:t>
            </w:r>
          </w:p>
        </w:tc>
        <w:tc>
          <w:tcPr/>
          <w:p>
            <w:pPr>
              <w:pStyle w:val="Compact"/>
              <w:spacing w:after="20" w:before="20" w:line="240" w:lineRule="auto"/>
              <w:jc w:val="left"/>
            </w:pPr>
            <w:r>
              <w:rPr>
                <w:sz w:val="17"/>
              </w:rPr>
              <w:t xml:space="preserve">Manipulations</w:t>
            </w:r>
            <w:r>
              <w:rPr>
                <w:sz w:val="17"/>
              </w:rPr>
              <w:t xml:space="preserve"> </w:t>
            </w:r>
            <w:r>
              <w:rPr>
                <w:sz w:val="17"/>
              </w:rPr>
              <w:t xml:space="preserve">d'espèces,</w:t>
            </w:r>
            <w:r>
              <w:rPr>
                <w:sz w:val="17"/>
              </w:rPr>
              <w:t xml:space="preserve"> </w:t>
            </w:r>
            <w:r>
              <w:rPr>
                <w:sz w:val="17"/>
              </w:rPr>
              <w:t xml:space="preserve">quittances non</w:t>
            </w:r>
            <w:r>
              <w:rPr>
                <w:sz w:val="17"/>
              </w:rPr>
              <w:t xml:space="preserve"> </w:t>
            </w:r>
            <w:r>
              <w:rPr>
                <w:sz w:val="17"/>
              </w:rPr>
              <w:t xml:space="preserve">standardisées</w:t>
            </w:r>
          </w:p>
        </w:tc>
        <w:tc>
          <w:tcPr/>
          <w:p>
            <w:pPr>
              <w:pStyle w:val="Compact"/>
              <w:spacing w:after="20" w:before="20" w:line="240" w:lineRule="auto"/>
              <w:jc w:val="left"/>
            </w:pPr>
            <w:r>
              <w:rPr>
                <w:sz w:val="17"/>
              </w:rPr>
              <w:t xml:space="preserve">Orchestration multicanale</w:t>
            </w:r>
            <w:r>
              <w:rPr>
                <w:sz w:val="17"/>
              </w:rPr>
              <w:t xml:space="preserve"> </w:t>
            </w:r>
            <w:r>
              <w:rPr>
                <w:sz w:val="17"/>
              </w:rPr>
              <w:t xml:space="preserve">vers comptes publics</w:t>
            </w:r>
            <w:r>
              <w:rPr>
                <w:sz w:val="17"/>
              </w:rPr>
              <w:t xml:space="preserve"> </w:t>
            </w:r>
            <w:r>
              <w:rPr>
                <w:sz w:val="17"/>
              </w:rPr>
              <w:t xml:space="preserve">désignés</w:t>
            </w:r>
          </w:p>
        </w:tc>
      </w:tr>
      <w:tr>
        <w:tc>
          <w:tcPr>
            <w:shd w:val="clear" w:color="auto" w:fill="F2F9F8"/>
          </w:tcPr>
          <w:p>
            <w:pPr>
              <w:pStyle w:val="Compact"/>
              <w:spacing w:after="20" w:before="20" w:line="240" w:lineRule="auto"/>
              <w:jc w:val="left"/>
            </w:pPr>
            <w:r>
              <w:rPr>
                <w:sz w:val="17"/>
              </w:rPr>
              <w:t xml:space="preserve">Dispersion des bases</w:t>
            </w:r>
            <w:r>
              <w:rPr>
                <w:sz w:val="17"/>
              </w:rPr>
              <w:t xml:space="preserve"> </w:t>
            </w:r>
            <w:r>
              <w:rPr>
                <w:sz w:val="17"/>
              </w:rPr>
              <w:t xml:space="preserve">entre services</w:t>
            </w:r>
          </w:p>
        </w:tc>
        <w:tc>
          <w:tcPr>
            <w:shd w:val="clear" w:color="auto" w:fill="F2F9F8"/>
          </w:tcPr>
          <w:p>
            <w:pPr>
              <w:pStyle w:val="Compact"/>
              <w:spacing w:after="20" w:before="20" w:line="240" w:lineRule="auto"/>
              <w:jc w:val="left"/>
            </w:pPr>
            <w:r>
              <w:rPr>
                <w:sz w:val="17"/>
              </w:rPr>
              <w:t xml:space="preserve">Double taxation,</w:t>
            </w:r>
            <w:r>
              <w:rPr>
                <w:sz w:val="17"/>
              </w:rPr>
              <w:t xml:space="preserve"> </w:t>
            </w:r>
            <w:r>
              <w:rPr>
                <w:sz w:val="17"/>
              </w:rPr>
              <w:t xml:space="preserve">angles morts,</w:t>
            </w:r>
            <w:r>
              <w:rPr>
                <w:sz w:val="17"/>
              </w:rPr>
              <w:t xml:space="preserve"> </w:t>
            </w:r>
            <w:r>
              <w:rPr>
                <w:sz w:val="17"/>
              </w:rPr>
              <w:t xml:space="preserve">statistiques non</w:t>
            </w:r>
            <w:r>
              <w:rPr>
                <w:sz w:val="17"/>
              </w:rPr>
              <w:t xml:space="preserve"> </w:t>
            </w:r>
            <w:r>
              <w:rPr>
                <w:sz w:val="17"/>
              </w:rPr>
              <w:t xml:space="preserve">fiables</w:t>
            </w:r>
          </w:p>
        </w:tc>
        <w:tc>
          <w:tcPr>
            <w:shd w:val="clear" w:color="auto" w:fill="F2F9F8"/>
          </w:tcPr>
          <w:p>
            <w:pPr>
              <w:pStyle w:val="Compact"/>
              <w:spacing w:after="20" w:before="20" w:line="240" w:lineRule="auto"/>
              <w:jc w:val="left"/>
            </w:pPr>
            <w:r>
              <w:rPr>
                <w:sz w:val="17"/>
              </w:rPr>
              <w:t xml:space="preserve">Socle unique,</w:t>
            </w:r>
            <w:r>
              <w:rPr>
                <w:sz w:val="17"/>
              </w:rPr>
              <w:t xml:space="preserve"> </w:t>
            </w:r>
            <w:r>
              <w:rPr>
                <w:sz w:val="17"/>
              </w:rPr>
              <w:t xml:space="preserve">interopérabilité par API,</w:t>
            </w:r>
            <w:r>
              <w:rPr>
                <w:sz w:val="17"/>
              </w:rPr>
              <w:t xml:space="preserve"> </w:t>
            </w:r>
            <w:r>
              <w:rPr>
                <w:sz w:val="17"/>
              </w:rPr>
              <w:t xml:space="preserve">référentiel partagé</w:t>
            </w:r>
          </w:p>
        </w:tc>
      </w:tr>
      <w:tr>
        <w:tc>
          <w:tcPr/>
          <w:p>
            <w:pPr>
              <w:pStyle w:val="Compact"/>
              <w:spacing w:after="20" w:before="20" w:line="240" w:lineRule="auto"/>
              <w:jc w:val="left"/>
            </w:pPr>
            <w:r>
              <w:rPr>
                <w:sz w:val="17"/>
              </w:rPr>
              <w:t xml:space="preserve">Contribuable ne</w:t>
            </w:r>
            <w:r>
              <w:rPr>
                <w:sz w:val="17"/>
              </w:rPr>
              <w:t xml:space="preserve"> </w:t>
            </w:r>
            <w:r>
              <w:rPr>
                <w:sz w:val="17"/>
              </w:rPr>
              <w:t xml:space="preserve">sachant ni quoi, ni</w:t>
            </w:r>
            <w:r>
              <w:rPr>
                <w:sz w:val="17"/>
              </w:rPr>
              <w:t xml:space="preserve"> </w:t>
            </w:r>
            <w:r>
              <w:rPr>
                <w:sz w:val="17"/>
              </w:rPr>
              <w:t xml:space="preserve">combien, ni où payer</w:t>
            </w:r>
          </w:p>
        </w:tc>
        <w:tc>
          <w:tcPr/>
          <w:p>
            <w:pPr>
              <w:pStyle w:val="Compact"/>
              <w:spacing w:after="20" w:before="20" w:line="240" w:lineRule="auto"/>
              <w:jc w:val="left"/>
            </w:pPr>
            <w:r>
              <w:rPr>
                <w:sz w:val="17"/>
              </w:rPr>
              <w:t xml:space="preserve">Non-paiement par</w:t>
            </w:r>
            <w:r>
              <w:rPr>
                <w:sz w:val="17"/>
              </w:rPr>
              <w:t xml:space="preserve"> </w:t>
            </w:r>
            <w:r>
              <w:rPr>
                <w:sz w:val="17"/>
              </w:rPr>
              <w:t xml:space="preserve">friction plutôt que</w:t>
            </w:r>
            <w:r>
              <w:rPr>
                <w:sz w:val="17"/>
              </w:rPr>
              <w:t xml:space="preserve"> </w:t>
            </w:r>
            <w:r>
              <w:rPr>
                <w:sz w:val="17"/>
              </w:rPr>
              <w:t xml:space="preserve">par refus</w:t>
            </w:r>
          </w:p>
        </w:tc>
        <w:tc>
          <w:tcPr/>
          <w:p>
            <w:pPr>
              <w:pStyle w:val="Compact"/>
              <w:spacing w:after="20" w:before="20" w:line="240" w:lineRule="auto"/>
              <w:jc w:val="left"/>
            </w:pPr>
            <w:r>
              <w:rPr>
                <w:sz w:val="17"/>
              </w:rPr>
              <w:t xml:space="preserve">Espace unique, déclaration</w:t>
            </w:r>
            <w:r>
              <w:rPr>
                <w:sz w:val="17"/>
              </w:rPr>
              <w:t xml:space="preserve"> </w:t>
            </w:r>
            <w:r>
              <w:rPr>
                <w:sz w:val="17"/>
              </w:rPr>
              <w:t xml:space="preserve">pré-remplie, échéancier,</w:t>
            </w:r>
            <w:r>
              <w:rPr>
                <w:sz w:val="17"/>
              </w:rPr>
              <w:t xml:space="preserve"> </w:t>
            </w:r>
            <w:r>
              <w:rPr>
                <w:sz w:val="17"/>
              </w:rPr>
              <w:t xml:space="preserve">notifications</w:t>
            </w:r>
          </w:p>
        </w:tc>
      </w:tr>
      <w:tr>
        <w:tc>
          <w:tcPr>
            <w:shd w:val="clear" w:color="auto" w:fill="F2F9F8"/>
          </w:tcPr>
          <w:p>
            <w:pPr>
              <w:pStyle w:val="Compact"/>
              <w:spacing w:after="20" w:before="20" w:line="240" w:lineRule="auto"/>
              <w:jc w:val="left"/>
            </w:pPr>
            <w:r>
              <w:rPr>
                <w:sz w:val="17"/>
              </w:rPr>
              <w:t xml:space="preserve">Contrôle terrain sans</w:t>
            </w:r>
            <w:r>
              <w:rPr>
                <w:sz w:val="17"/>
              </w:rPr>
              <w:t xml:space="preserve"> </w:t>
            </w:r>
            <w:r>
              <w:rPr>
                <w:sz w:val="17"/>
              </w:rPr>
              <w:t xml:space="preserve">données fiables</w:t>
            </w:r>
          </w:p>
        </w:tc>
        <w:tc>
          <w:tcPr>
            <w:shd w:val="clear" w:color="auto" w:fill="F2F9F8"/>
          </w:tcPr>
          <w:p>
            <w:pPr>
              <w:pStyle w:val="Compact"/>
              <w:spacing w:after="20" w:before="20" w:line="240" w:lineRule="auto"/>
              <w:jc w:val="left"/>
            </w:pPr>
            <w:r>
              <w:rPr>
                <w:sz w:val="17"/>
              </w:rPr>
              <w:t xml:space="preserve">Contrôles</w:t>
            </w:r>
            <w:r>
              <w:rPr>
                <w:sz w:val="17"/>
              </w:rPr>
              <w:t xml:space="preserve"> </w:t>
            </w:r>
            <w:r>
              <w:rPr>
                <w:sz w:val="17"/>
              </w:rPr>
              <w:t xml:space="preserve">inefficaces,</w:t>
            </w:r>
            <w:r>
              <w:rPr>
                <w:sz w:val="17"/>
              </w:rPr>
              <w:t xml:space="preserve"> </w:t>
            </w:r>
            <w:r>
              <w:rPr>
                <w:sz w:val="17"/>
              </w:rPr>
              <w:t xml:space="preserve">contestations,</w:t>
            </w:r>
            <w:r>
              <w:rPr>
                <w:sz w:val="17"/>
              </w:rPr>
              <w:t xml:space="preserve"> </w:t>
            </w:r>
            <w:r>
              <w:rPr>
                <w:sz w:val="17"/>
              </w:rPr>
              <w:t xml:space="preserve">litiges</w:t>
            </w:r>
          </w:p>
        </w:tc>
        <w:tc>
          <w:tcPr>
            <w:shd w:val="clear" w:color="auto" w:fill="F2F9F8"/>
          </w:tcPr>
          <w:p>
            <w:pPr>
              <w:pStyle w:val="Compact"/>
              <w:spacing w:after="20" w:before="20" w:line="240" w:lineRule="auto"/>
              <w:jc w:val="left"/>
            </w:pPr>
            <w:r>
              <w:rPr>
                <w:sz w:val="17"/>
              </w:rPr>
              <w:t xml:space="preserve">Application terrain hors</w:t>
            </w:r>
            <w:r>
              <w:rPr>
                <w:sz w:val="17"/>
              </w:rPr>
              <w:t xml:space="preserve"> </w:t>
            </w:r>
            <w:r>
              <w:rPr>
                <w:sz w:val="17"/>
              </w:rPr>
              <w:t xml:space="preserve">ligne, dossier</w:t>
            </w:r>
            <w:r>
              <w:rPr>
                <w:sz w:val="17"/>
              </w:rPr>
              <w:t xml:space="preserve"> </w:t>
            </w:r>
            <w:r>
              <w:rPr>
                <w:sz w:val="17"/>
              </w:rPr>
              <w:t xml:space="preserve">d'inspection préparé,</w:t>
            </w:r>
            <w:r>
              <w:rPr>
                <w:sz w:val="17"/>
              </w:rPr>
              <w:t xml:space="preserve"> </w:t>
            </w:r>
            <w:r>
              <w:rPr>
                <w:sz w:val="17"/>
              </w:rPr>
              <w:t xml:space="preserve">géorepérage</w:t>
            </w:r>
          </w:p>
        </w:tc>
      </w:tr>
      <w:tr>
        <w:tc>
          <w:tcPr/>
          <w:p>
            <w:pPr>
              <w:pStyle w:val="Compact"/>
              <w:spacing w:after="20" w:before="20" w:line="240" w:lineRule="auto"/>
              <w:jc w:val="left"/>
            </w:pPr>
            <w:r>
              <w:rPr>
                <w:sz w:val="17"/>
              </w:rPr>
              <w:t xml:space="preserve">Faiblesse du contrôle</w:t>
            </w:r>
            <w:r>
              <w:rPr>
                <w:sz w:val="17"/>
              </w:rPr>
              <w:t xml:space="preserve"> </w:t>
            </w:r>
            <w:r>
              <w:rPr>
                <w:sz w:val="17"/>
              </w:rPr>
              <w:t xml:space="preserve">interne et audit</w:t>
            </w:r>
            <w:r>
              <w:rPr>
                <w:sz w:val="17"/>
              </w:rPr>
              <w:t xml:space="preserve"> </w:t>
            </w:r>
            <w:r>
              <w:rPr>
                <w:sz w:val="17"/>
              </w:rPr>
              <w:t xml:space="preserve">interne non</w:t>
            </w:r>
            <w:r>
              <w:rPr>
                <w:sz w:val="17"/>
              </w:rPr>
              <w:t xml:space="preserve"> </w:t>
            </w:r>
            <w:r>
              <w:rPr>
                <w:sz w:val="17"/>
              </w:rPr>
              <w:t xml:space="preserve">fonctionnel</w:t>
            </w:r>
          </w:p>
        </w:tc>
        <w:tc>
          <w:tcPr/>
          <w:p>
            <w:pPr>
              <w:pStyle w:val="Compact"/>
              <w:spacing w:after="20" w:before="20" w:line="240" w:lineRule="auto"/>
              <w:jc w:val="left"/>
            </w:pPr>
            <w:r>
              <w:rPr>
                <w:sz w:val="17"/>
              </w:rPr>
              <w:t xml:space="preserve">Déperdition difficile</w:t>
            </w:r>
            <w:r>
              <w:rPr>
                <w:sz w:val="17"/>
              </w:rPr>
              <w:t xml:space="preserve"> </w:t>
            </w:r>
            <w:r>
              <w:rPr>
                <w:sz w:val="17"/>
              </w:rPr>
              <w:t xml:space="preserve">à prouver, impunité</w:t>
            </w:r>
          </w:p>
        </w:tc>
        <w:tc>
          <w:tcPr/>
          <w:p>
            <w:pPr>
              <w:pStyle w:val="Compact"/>
              <w:spacing w:after="20" w:before="20" w:line="240" w:lineRule="auto"/>
              <w:jc w:val="left"/>
            </w:pPr>
            <w:r>
              <w:rPr>
                <w:sz w:val="17"/>
              </w:rPr>
              <w:t xml:space="preserve">Journal en ajout seul,</w:t>
            </w:r>
            <w:r>
              <w:rPr>
                <w:sz w:val="17"/>
              </w:rPr>
              <w:t xml:space="preserve"> </w:t>
            </w:r>
            <w:r>
              <w:rPr>
                <w:sz w:val="17"/>
              </w:rPr>
              <w:t xml:space="preserve">séparation des fonctions,</w:t>
            </w:r>
            <w:r>
              <w:rPr>
                <w:sz w:val="17"/>
              </w:rPr>
              <w:t xml:space="preserve"> </w:t>
            </w:r>
            <w:r>
              <w:rPr>
                <w:sz w:val="17"/>
              </w:rPr>
              <w:t xml:space="preserve">accès auditeur indépendant</w:t>
            </w:r>
          </w:p>
        </w:tc>
      </w:tr>
      <w:tr>
        <w:tc>
          <w:tcPr>
            <w:shd w:val="clear" w:color="auto" w:fill="F2F9F8"/>
          </w:tcPr>
          <w:p>
            <w:pPr>
              <w:pStyle w:val="Compact"/>
              <w:spacing w:after="20" w:before="20" w:line="240" w:lineRule="auto"/>
              <w:jc w:val="left"/>
            </w:pPr>
            <w:r>
              <w:rPr>
                <w:sz w:val="17"/>
              </w:rPr>
              <w:t xml:space="preserve">Faible capacité de</w:t>
            </w:r>
            <w:r>
              <w:rPr>
                <w:sz w:val="17"/>
              </w:rPr>
              <w:t xml:space="preserve"> </w:t>
            </w:r>
            <w:r>
              <w:rPr>
                <w:sz w:val="17"/>
              </w:rPr>
              <w:t xml:space="preserve">prévision</w:t>
            </w:r>
          </w:p>
        </w:tc>
        <w:tc>
          <w:tcPr>
            <w:shd w:val="clear" w:color="auto" w:fill="F2F9F8"/>
          </w:tcPr>
          <w:p>
            <w:pPr>
              <w:pStyle w:val="Compact"/>
              <w:spacing w:after="20" w:before="20" w:line="240" w:lineRule="auto"/>
              <w:jc w:val="left"/>
            </w:pPr>
            <w:r>
              <w:rPr>
                <w:sz w:val="17"/>
              </w:rPr>
              <w:t xml:space="preserve">Assignations non</w:t>
            </w:r>
            <w:r>
              <w:rPr>
                <w:sz w:val="17"/>
              </w:rPr>
              <w:t xml:space="preserve"> </w:t>
            </w:r>
            <w:r>
              <w:rPr>
                <w:sz w:val="17"/>
              </w:rPr>
              <w:t xml:space="preserve">réalistes, pilotage à</w:t>
            </w:r>
            <w:r>
              <w:rPr>
                <w:sz w:val="17"/>
              </w:rPr>
              <w:t xml:space="preserve"> </w:t>
            </w:r>
            <w:r>
              <w:rPr>
                <w:sz w:val="17"/>
              </w:rPr>
              <w:t xml:space="preserve">l'aveugle</w:t>
            </w:r>
          </w:p>
        </w:tc>
        <w:tc>
          <w:tcPr>
            <w:shd w:val="clear" w:color="auto" w:fill="F2F9F8"/>
          </w:tcPr>
          <w:p>
            <w:pPr>
              <w:pStyle w:val="Compact"/>
              <w:spacing w:after="20" w:before="20" w:line="240" w:lineRule="auto"/>
              <w:jc w:val="left"/>
            </w:pPr>
            <w:r>
              <w:rPr>
                <w:sz w:val="17"/>
              </w:rPr>
              <w:t xml:space="preserve">Modèle de potentiel par</w:t>
            </w:r>
            <w:r>
              <w:rPr>
                <w:sz w:val="17"/>
              </w:rPr>
              <w:t xml:space="preserve"> </w:t>
            </w:r>
            <w:r>
              <w:rPr>
                <w:sz w:val="17"/>
              </w:rPr>
              <w:t xml:space="preserve">commune, catégorie et</w:t>
            </w:r>
            <w:r>
              <w:rPr>
                <w:sz w:val="17"/>
              </w:rPr>
              <w:t xml:space="preserve"> </w:t>
            </w:r>
            <w:r>
              <w:rPr>
                <w:sz w:val="17"/>
              </w:rPr>
              <w:t xml:space="preserve">objet</w:t>
            </w:r>
          </w:p>
        </w:tc>
      </w:tr>
    </w:tbl>
    <w:bookmarkEnd w:id="40"/>
    <w:bookmarkStart w:id="41" w:name="objectifs-stratégiques"/>
    <w:p>
      <w:pPr>
        <w:pStyle w:val="Heading1"/>
      </w:pPr>
      <w:r>
        <w:t xml:space="preserve">5. Objectifs stratégiques</w:t>
      </w:r>
    </w:p>
    <w:p>
      <w:pPr>
        <w:pStyle w:val="BlockText"/>
      </w:pPr>
      <w:r>
        <w:rPr>
          <w:b/>
          <w:bCs/>
        </w:rPr>
        <w:t xml:space="preserve">1.</w:t>
      </w:r>
      <w:r>
        <w:t xml:space="preserve"> </w:t>
      </w:r>
      <w:r>
        <w:t xml:space="preserve">Constituer et maintenir un registre géolocalisé des objets</w:t>
      </w:r>
      <w:r>
        <w:t xml:space="preserve"> </w:t>
      </w:r>
      <w:r>
        <w:t xml:space="preserve">générateurs de recettes de la Ville, commune par commune.</w:t>
      </w:r>
    </w:p>
    <w:p>
      <w:pPr>
        <w:pStyle w:val="BlockText"/>
      </w:pPr>
      <w:r>
        <w:rPr>
          <w:b/>
          <w:bCs/>
        </w:rPr>
        <w:t xml:space="preserve">2.</w:t>
      </w:r>
      <w:r>
        <w:t xml:space="preserve"> </w:t>
      </w:r>
      <w:r>
        <w:t xml:space="preserve">Attribuer une identité fiscale unique à chaque contribuable et</w:t>
      </w:r>
      <w:r>
        <w:t xml:space="preserve"> </w:t>
      </w:r>
      <w:r>
        <w:t xml:space="preserve">rattacher tous ses objets et rôles à ce compte unique.</w:t>
      </w:r>
    </w:p>
    <w:p>
      <w:pPr>
        <w:pStyle w:val="BlockText"/>
      </w:pPr>
      <w:r>
        <w:rPr>
          <w:b/>
          <w:bCs/>
        </w:rPr>
        <w:t xml:space="preserve">3.</w:t>
      </w:r>
      <w:r>
        <w:t xml:space="preserve"> </w:t>
      </w:r>
      <w:r>
        <w:t xml:space="preserve">Fonder chaque obligation sur une règle validée, datée,</w:t>
      </w:r>
      <w:r>
        <w:t xml:space="preserve"> </w:t>
      </w:r>
      <w:r>
        <w:t xml:space="preserve">référencée et versionnée, issue des textes en vigueur.</w:t>
      </w:r>
    </w:p>
    <w:p>
      <w:pPr>
        <w:pStyle w:val="BlockText"/>
      </w:pPr>
      <w:r>
        <w:rPr>
          <w:b/>
          <w:bCs/>
        </w:rPr>
        <w:t xml:space="preserve">4.</w:t>
      </w:r>
      <w:r>
        <w:t xml:space="preserve"> </w:t>
      </w:r>
      <w:r>
        <w:t xml:space="preserve">Porter la part des recettes provinciales encaissées par voie</w:t>
      </w:r>
      <w:r>
        <w:t xml:space="preserve"> </w:t>
      </w:r>
      <w:r>
        <w:t xml:space="preserve">électronique à un niveau dominant dans un délai de dix-huit mois après</w:t>
      </w:r>
      <w:r>
        <w:t xml:space="preserve"> </w:t>
      </w:r>
      <w:r>
        <w:t xml:space="preserve">le pilote.</w:t>
      </w:r>
    </w:p>
    <w:p>
      <w:pPr>
        <w:pStyle w:val="BlockText"/>
      </w:pPr>
      <w:r>
        <w:rPr>
          <w:b/>
          <w:bCs/>
        </w:rPr>
        <w:t xml:space="preserve">5.</w:t>
      </w:r>
      <w:r>
        <w:t xml:space="preserve"> </w:t>
      </w:r>
      <w:r>
        <w:t xml:space="preserve">Réduire le délai entre le paiement et la quittance à moins</w:t>
      </w:r>
      <w:r>
        <w:t xml:space="preserve"> </w:t>
      </w:r>
      <w:r>
        <w:t xml:space="preserve">d'une minute, et entre le paiement et le rapprochement bancaire à</w:t>
      </w:r>
      <w:r>
        <w:t xml:space="preserve"> </w:t>
      </w:r>
      <w:r>
        <w:t xml:space="preserve">moins de vingt-quatre heures.</w:t>
      </w:r>
    </w:p>
    <w:p>
      <w:pPr>
        <w:pStyle w:val="BlockText"/>
      </w:pPr>
      <w:r>
        <w:rPr>
          <w:b/>
          <w:bCs/>
        </w:rPr>
        <w:t xml:space="preserve">6.</w:t>
      </w:r>
      <w:r>
        <w:t xml:space="preserve"> </w:t>
      </w:r>
      <w:r>
        <w:t xml:space="preserve">Supprimer la manipulation d'espèces par les agents dans les</w:t>
      </w:r>
      <w:r>
        <w:t xml:space="preserve"> </w:t>
      </w:r>
      <w:r>
        <w:t xml:space="preserve">circuits couverts par la plateforme.</w:t>
      </w:r>
    </w:p>
    <w:p>
      <w:pPr>
        <w:pStyle w:val="BlockText"/>
      </w:pPr>
      <w:r>
        <w:rPr>
          <w:b/>
          <w:bCs/>
        </w:rPr>
        <w:t xml:space="preserve">7.</w:t>
      </w:r>
      <w:r>
        <w:t xml:space="preserve"> </w:t>
      </w:r>
      <w:r>
        <w:t xml:space="preserve">Réduire la déperdition mesurable : paiements non rapprochés,</w:t>
      </w:r>
      <w:r>
        <w:t xml:space="preserve"> </w:t>
      </w:r>
      <w:r>
        <w:t xml:space="preserve">quittances non appariées, annulations non justifiées, exonérations non</w:t>
      </w:r>
      <w:r>
        <w:t xml:space="preserve"> </w:t>
      </w:r>
      <w:r>
        <w:t xml:space="preserve">fondées.</w:t>
      </w:r>
    </w:p>
    <w:p>
      <w:pPr>
        <w:pStyle w:val="BlockText"/>
      </w:pPr>
      <w:r>
        <w:rPr>
          <w:b/>
          <w:bCs/>
        </w:rPr>
        <w:t xml:space="preserve">8.</w:t>
      </w:r>
      <w:r>
        <w:t xml:space="preserve"> </w:t>
      </w:r>
      <w:r>
        <w:t xml:space="preserve">Fournir au Gouverneur et aux régies un pilotage en temps réel</w:t>
      </w:r>
      <w:r>
        <w:t xml:space="preserve"> </w:t>
      </w:r>
      <w:r>
        <w:t xml:space="preserve">distinguant potentiel, constaté, encaissé, réglé, rapproché et</w:t>
      </w:r>
      <w:r>
        <w:t xml:space="preserve"> </w:t>
      </w:r>
      <w:r>
        <w:t xml:space="preserve">disponible.</w:t>
      </w:r>
    </w:p>
    <w:p>
      <w:pPr>
        <w:pStyle w:val="BlockText"/>
      </w:pPr>
      <w:r>
        <w:rPr>
          <w:b/>
          <w:bCs/>
        </w:rPr>
        <w:t xml:space="preserve">9.</w:t>
      </w:r>
      <w:r>
        <w:t xml:space="preserve"> </w:t>
      </w:r>
      <w:r>
        <w:t xml:space="preserve">Documenter et publier le lien entre recettes encaissées et</w:t>
      </w:r>
      <w:r>
        <w:t xml:space="preserve"> </w:t>
      </w:r>
      <w:r>
        <w:t xml:space="preserve">réalisations publiques par commune.</w:t>
      </w:r>
    </w:p>
    <w:p>
      <w:pPr>
        <w:pStyle w:val="BlockText"/>
      </w:pPr>
      <w:r>
        <w:rPr>
          <w:b/>
          <w:bCs/>
        </w:rPr>
        <w:t xml:space="preserve">10.</w:t>
      </w:r>
      <w:r>
        <w:t xml:space="preserve"> </w:t>
      </w:r>
      <w:r>
        <w:t xml:space="preserve">Renforcer la capacité des agents par un environnement de</w:t>
      </w:r>
      <w:r>
        <w:t xml:space="preserve"> </w:t>
      </w:r>
      <w:r>
        <w:t xml:space="preserve">travail outillé, formé et évalué sur des résultats vérifiables.</w:t>
      </w:r>
    </w:p>
    <w:bookmarkEnd w:id="41"/>
    <w:bookmarkStart w:id="48" w:name="analyse-juridique-et-réglementaire"/>
    <w:p>
      <w:pPr>
        <w:pStyle w:val="Heading1"/>
      </w:pPr>
      <w:r>
        <w:t xml:space="preserve">6. Analyse juridique et réglementaire</w:t>
      </w:r>
    </w:p>
    <w:p>
      <w:pPr>
        <w:pStyle w:val="FirstParagraph"/>
      </w:pPr>
      <w:r>
        <w:t xml:space="preserve">Cette section établit le cadre dans lequel le référentiel de MOSOLO peut</w:t>
      </w:r>
      <w:r>
        <w:t xml:space="preserve"> </w:t>
      </w:r>
      <w:r>
        <w:t xml:space="preserve">être publié. Elle distingue ce qui est établi, ce qui doit être vérifié</w:t>
      </w:r>
      <w:r>
        <w:t xml:space="preserve"> </w:t>
      </w:r>
      <w:r>
        <w:t xml:space="preserve">auprès de l'autorité compétente avant toute mise en production, et ce</w:t>
      </w:r>
      <w:r>
        <w:t xml:space="preserve"> </w:t>
      </w:r>
      <w:r>
        <w:t xml:space="preserve">qui exige un acte nouveau.</w:t>
      </w:r>
    </w:p>
    <w:bookmarkStart w:id="43" w:name="textes-de-référence-identifiés"/>
    <w:p>
      <w:pPr>
        <w:pStyle w:val="Heading2"/>
      </w:pPr>
      <w:r>
        <w:t xml:space="preserve">6.1 Textes de référence identifiés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00"/>
        <w:gridCol w:w="2428"/>
        <w:gridCol w:w="3379"/>
      </w:tblGrid>
      <w:tr>
        <w:trPr>
          <w:tblHeader w:val="true"/>
          <w:tblHeader/>
        </w:trPr>
        <w:tc>
          <w:tcPr>
            <w:shd w:val="clear" w:color="auto" w:fill="1BA996"/>
          </w:tcPr>
          <w:p>
            <w:pPr>
              <w:pStyle w:val="Compact"/>
              <w:spacing w:after="20" w:before="20" w:line="240" w:lineRule="auto"/>
              <w:jc w:val="left"/>
            </w:pPr>
            <w:r>
              <w:rPr>
                <w:b/>
                <w:bCs/>
                <w:color w:val="FFFFFF"/>
                <w:sz w:val="17"/>
              </w:rPr>
              <w:t xml:space="preserve">Texte</w:t>
            </w:r>
          </w:p>
        </w:tc>
        <w:tc>
          <w:tcPr>
            <w:shd w:val="clear" w:color="auto" w:fill="1BA996"/>
          </w:tcPr>
          <w:p>
            <w:pPr>
              <w:pStyle w:val="Compact"/>
              <w:spacing w:after="20" w:before="20" w:line="240" w:lineRule="auto"/>
              <w:jc w:val="left"/>
            </w:pPr>
            <w:r>
              <w:rPr>
                <w:b/>
                <w:bCs/>
                <w:color w:val="FFFFFF"/>
                <w:sz w:val="17"/>
              </w:rPr>
              <w:t xml:space="preserve">Objet</w:t>
            </w:r>
          </w:p>
        </w:tc>
        <w:tc>
          <w:tcPr>
            <w:shd w:val="clear" w:color="auto" w:fill="1BA996"/>
          </w:tcPr>
          <w:p>
            <w:pPr>
              <w:pStyle w:val="Compact"/>
              <w:spacing w:after="20" w:before="20" w:line="240" w:lineRule="auto"/>
              <w:jc w:val="left"/>
            </w:pPr>
            <w:r>
              <w:rPr>
                <w:b/>
                <w:bCs/>
                <w:color w:val="FFFFFF"/>
                <w:sz w:val="17"/>
              </w:rPr>
              <w:t xml:space="preserve">Statut et usage dans MOSOLO</w:t>
            </w:r>
          </w:p>
        </w:tc>
      </w:tr>
      <w:tr>
        <w:tc>
          <w:tcPr/>
          <w:p>
            <w:pPr>
              <w:pStyle w:val="Compact"/>
              <w:spacing w:after="20" w:before="20" w:line="240" w:lineRule="auto"/>
              <w:jc w:val="left"/>
            </w:pPr>
            <w:r>
              <w:rPr>
                <w:sz w:val="17"/>
              </w:rPr>
              <w:t xml:space="preserve">Constitution de</w:t>
            </w:r>
            <w:r>
              <w:rPr>
                <w:sz w:val="17"/>
              </w:rPr>
              <w:t xml:space="preserve"> </w:t>
            </w:r>
            <w:r>
              <w:rPr>
                <w:sz w:val="17"/>
              </w:rPr>
              <w:t xml:space="preserve">la RDC, art. 204</w:t>
            </w:r>
          </w:p>
        </w:tc>
        <w:tc>
          <w:tcPr/>
          <w:p>
            <w:pPr>
              <w:pStyle w:val="Compact"/>
              <w:spacing w:after="20" w:before="20" w:line="240" w:lineRule="auto"/>
              <w:jc w:val="left"/>
            </w:pPr>
            <w:r>
              <w:rPr>
                <w:sz w:val="17"/>
              </w:rPr>
              <w:t xml:space="preserve">Compétences exclusives</w:t>
            </w:r>
            <w:r>
              <w:rPr>
                <w:sz w:val="17"/>
              </w:rPr>
              <w:t xml:space="preserve"> </w:t>
            </w:r>
            <w:r>
              <w:rPr>
                <w:sz w:val="17"/>
              </w:rPr>
              <w:t xml:space="preserve">des provinces, dont</w:t>
            </w:r>
            <w:r>
              <w:rPr>
                <w:sz w:val="17"/>
              </w:rPr>
              <w:t xml:space="preserve"> </w:t>
            </w:r>
            <w:r>
              <w:rPr>
                <w:sz w:val="17"/>
              </w:rPr>
              <w:t xml:space="preserve">les impôts cédés</w:t>
            </w:r>
            <w:r>
              <w:rPr>
                <w:sz w:val="17"/>
              </w:rPr>
              <w:t xml:space="preserve"> </w:t>
            </w:r>
            <w:r>
              <w:rPr>
                <w:sz w:val="17"/>
              </w:rPr>
              <w:t xml:space="preserve">(point 16)</w:t>
            </w:r>
          </w:p>
        </w:tc>
        <w:tc>
          <w:tcPr/>
          <w:p>
            <w:pPr>
              <w:pStyle w:val="Compact"/>
              <w:spacing w:after="20" w:before="20" w:line="240" w:lineRule="auto"/>
              <w:jc w:val="left"/>
            </w:pPr>
            <w:r>
              <w:rPr>
                <w:sz w:val="17"/>
              </w:rPr>
              <w:t xml:space="preserve">Fondement constitutionnel des</w:t>
            </w:r>
            <w:r>
              <w:rPr>
                <w:sz w:val="17"/>
              </w:rPr>
              <w:t xml:space="preserve"> </w:t>
            </w:r>
            <w:r>
              <w:rPr>
                <w:sz w:val="17"/>
              </w:rPr>
              <w:t xml:space="preserve">quatre impôts provinciaux</w:t>
            </w:r>
          </w:p>
        </w:tc>
      </w:tr>
      <w:tr>
        <w:tc>
          <w:tcPr>
            <w:shd w:val="clear" w:color="auto" w:fill="F2F9F8"/>
          </w:tcPr>
          <w:p>
            <w:pPr>
              <w:pStyle w:val="Compact"/>
              <w:spacing w:after="20" w:before="20" w:line="240" w:lineRule="auto"/>
              <w:jc w:val="left"/>
            </w:pPr>
            <w:r>
              <w:rPr>
                <w:sz w:val="17"/>
              </w:rPr>
              <w:t xml:space="preserve">Ordonnance-loi n°</w:t>
            </w:r>
            <w:r>
              <w:rPr>
                <w:sz w:val="17"/>
              </w:rPr>
              <w:t xml:space="preserve"> </w:t>
            </w:r>
            <w:r>
              <w:rPr>
                <w:sz w:val="17"/>
              </w:rPr>
              <w:t xml:space="preserve">18/004 du 13 mars</w:t>
            </w:r>
            <w:r>
              <w:rPr>
                <w:sz w:val="17"/>
              </w:rPr>
              <w:t xml:space="preserve"> </w:t>
            </w:r>
            <w:r>
              <w:rPr>
                <w:sz w:val="17"/>
              </w:rPr>
              <w:t xml:space="preserve">2018</w:t>
            </w:r>
          </w:p>
        </w:tc>
        <w:tc>
          <w:tcPr>
            <w:shd w:val="clear" w:color="auto" w:fill="F2F9F8"/>
          </w:tcPr>
          <w:p>
            <w:pPr>
              <w:pStyle w:val="Compact"/>
              <w:spacing w:after="20" w:before="20" w:line="240" w:lineRule="auto"/>
              <w:jc w:val="left"/>
            </w:pPr>
            <w:r>
              <w:rPr>
                <w:sz w:val="17"/>
              </w:rPr>
              <w:t xml:space="preserve">Nomenclature des</w:t>
            </w:r>
            <w:r>
              <w:rPr>
                <w:sz w:val="17"/>
              </w:rPr>
              <w:t xml:space="preserve"> </w:t>
            </w:r>
            <w:r>
              <w:rPr>
                <w:sz w:val="17"/>
              </w:rPr>
              <w:t xml:space="preserve">impôts, droits, taxes</w:t>
            </w:r>
            <w:r>
              <w:rPr>
                <w:sz w:val="17"/>
              </w:rPr>
              <w:t xml:space="preserve"> </w:t>
            </w:r>
            <w:r>
              <w:rPr>
                <w:sz w:val="17"/>
              </w:rPr>
              <w:t xml:space="preserve">et redevances de la</w:t>
            </w:r>
            <w:r>
              <w:rPr>
                <w:sz w:val="17"/>
              </w:rPr>
              <w:t xml:space="preserve"> </w:t>
            </w:r>
            <w:r>
              <w:rPr>
                <w:sz w:val="17"/>
              </w:rPr>
              <w:t xml:space="preserve">province et de l'ETD,</w:t>
            </w:r>
            <w:r>
              <w:rPr>
                <w:sz w:val="17"/>
              </w:rPr>
              <w:t xml:space="preserve"> </w:t>
            </w:r>
            <w:r>
              <w:rPr>
                <w:sz w:val="17"/>
              </w:rPr>
              <w:t xml:space="preserve">modalités de</w:t>
            </w:r>
            <w:r>
              <w:rPr>
                <w:sz w:val="17"/>
              </w:rPr>
              <w:t xml:space="preserve"> </w:t>
            </w:r>
            <w:r>
              <w:rPr>
                <w:sz w:val="17"/>
              </w:rPr>
              <w:t xml:space="preserve">répartition</w:t>
            </w:r>
          </w:p>
        </w:tc>
        <w:tc>
          <w:tcPr>
            <w:shd w:val="clear" w:color="auto" w:fill="F2F9F8"/>
          </w:tcPr>
          <w:p>
            <w:pPr>
              <w:pStyle w:val="Compact"/>
              <w:spacing w:after="20" w:before="20" w:line="240" w:lineRule="auto"/>
              <w:jc w:val="left"/>
            </w:pPr>
            <w:r>
              <w:rPr>
                <w:sz w:val="17"/>
              </w:rPr>
              <w:t xml:space="preserve">Base normative du référentiel</w:t>
            </w:r>
            <w:r>
              <w:rPr>
                <w:sz w:val="17"/>
              </w:rPr>
              <w:t xml:space="preserve"> </w:t>
            </w:r>
            <w:r>
              <w:rPr>
                <w:sz w:val="17"/>
              </w:rPr>
              <w:t xml:space="preserve">MOSOLO ; abroge</w:t>
            </w:r>
            <w:r>
              <w:rPr>
                <w:sz w:val="17"/>
              </w:rPr>
              <w:t xml:space="preserve"> </w:t>
            </w:r>
            <w:r>
              <w:rPr>
                <w:sz w:val="17"/>
              </w:rPr>
              <w:t xml:space="preserve">l'Ordonnance-loi n° 13/001 du</w:t>
            </w:r>
            <w:r>
              <w:rPr>
                <w:sz w:val="17"/>
              </w:rPr>
              <w:t xml:space="preserve"> </w:t>
            </w:r>
            <w:r>
              <w:rPr>
                <w:sz w:val="17"/>
              </w:rPr>
              <w:t xml:space="preserve">23 février 2013</w:t>
            </w:r>
          </w:p>
        </w:tc>
      </w:tr>
      <w:tr>
        <w:tc>
          <w:tcPr/>
          <w:p>
            <w:pPr>
              <w:pStyle w:val="Compact"/>
              <w:spacing w:after="20" w:before="20" w:line="240" w:lineRule="auto"/>
              <w:jc w:val="left"/>
            </w:pPr>
            <w:r>
              <w:rPr>
                <w:sz w:val="17"/>
              </w:rPr>
              <w:t xml:space="preserve">Ordonnance-loi n°</w:t>
            </w:r>
            <w:r>
              <w:rPr>
                <w:sz w:val="17"/>
              </w:rPr>
              <w:t xml:space="preserve"> </w:t>
            </w:r>
            <w:r>
              <w:rPr>
                <w:sz w:val="17"/>
              </w:rPr>
              <w:t xml:space="preserve">18/003 du 13 mars</w:t>
            </w:r>
            <w:r>
              <w:rPr>
                <w:sz w:val="17"/>
              </w:rPr>
              <w:t xml:space="preserve"> </w:t>
            </w:r>
            <w:r>
              <w:rPr>
                <w:sz w:val="17"/>
              </w:rPr>
              <w:t xml:space="preserve">2018</w:t>
            </w:r>
          </w:p>
        </w:tc>
        <w:tc>
          <w:tcPr/>
          <w:p>
            <w:pPr>
              <w:pStyle w:val="Compact"/>
              <w:spacing w:after="20" w:before="20" w:line="240" w:lineRule="auto"/>
              <w:jc w:val="left"/>
            </w:pPr>
            <w:r>
              <w:rPr>
                <w:sz w:val="17"/>
              </w:rPr>
              <w:t xml:space="preserve">Nomenclature des</w:t>
            </w:r>
            <w:r>
              <w:rPr>
                <w:sz w:val="17"/>
              </w:rPr>
              <w:t xml:space="preserve"> </w:t>
            </w:r>
            <w:r>
              <w:rPr>
                <w:sz w:val="17"/>
              </w:rPr>
              <w:t xml:space="preserve">droits, taxes et</w:t>
            </w:r>
            <w:r>
              <w:rPr>
                <w:sz w:val="17"/>
              </w:rPr>
              <w:t xml:space="preserve"> </w:t>
            </w:r>
            <w:r>
              <w:rPr>
                <w:sz w:val="17"/>
              </w:rPr>
              <w:t xml:space="preserve">redevances du pouvoir</w:t>
            </w:r>
            <w:r>
              <w:rPr>
                <w:sz w:val="17"/>
              </w:rPr>
              <w:t xml:space="preserve"> </w:t>
            </w:r>
            <w:r>
              <w:rPr>
                <w:sz w:val="17"/>
              </w:rPr>
              <w:t xml:space="preserve">central</w:t>
            </w:r>
          </w:p>
        </w:tc>
        <w:tc>
          <w:tcPr/>
          <w:p>
            <w:pPr>
              <w:pStyle w:val="Compact"/>
              <w:spacing w:after="20" w:before="20" w:line="240" w:lineRule="auto"/>
              <w:jc w:val="left"/>
            </w:pPr>
            <w:r>
              <w:rPr>
                <w:sz w:val="17"/>
              </w:rPr>
              <w:t xml:space="preserve">Sert à exclure du périmètre</w:t>
            </w:r>
            <w:r>
              <w:rPr>
                <w:sz w:val="17"/>
              </w:rPr>
              <w:t xml:space="preserve"> </w:t>
            </w:r>
            <w:r>
              <w:rPr>
                <w:sz w:val="17"/>
              </w:rPr>
              <w:t xml:space="preserve">provincial les recettes</w:t>
            </w:r>
            <w:r>
              <w:rPr>
                <w:sz w:val="17"/>
              </w:rPr>
              <w:t xml:space="preserve"> </w:t>
            </w:r>
            <w:r>
              <w:rPr>
                <w:sz w:val="17"/>
              </w:rPr>
              <w:t xml:space="preserve">centrales et éviter les</w:t>
            </w:r>
            <w:r>
              <w:rPr>
                <w:sz w:val="17"/>
              </w:rPr>
              <w:t xml:space="preserve"> </w:t>
            </w:r>
            <w:r>
              <w:rPr>
                <w:sz w:val="17"/>
              </w:rPr>
              <w:t xml:space="preserve">doublons</w:t>
            </w:r>
          </w:p>
        </w:tc>
      </w:tr>
      <w:tr>
        <w:tc>
          <w:tcPr>
            <w:shd w:val="clear" w:color="auto" w:fill="F2F9F8"/>
          </w:tcPr>
          <w:p>
            <w:pPr>
              <w:pStyle w:val="Compact"/>
              <w:spacing w:after="20" w:before="20" w:line="240" w:lineRule="auto"/>
              <w:jc w:val="left"/>
            </w:pPr>
            <w:r>
              <w:rPr>
                <w:sz w:val="17"/>
              </w:rPr>
              <w:t xml:space="preserve">Ordonnance-loi n°</w:t>
            </w:r>
            <w:r>
              <w:rPr>
                <w:sz w:val="17"/>
              </w:rPr>
              <w:t xml:space="preserve"> </w:t>
            </w:r>
            <w:r>
              <w:rPr>
                <w:sz w:val="17"/>
              </w:rPr>
              <w:t xml:space="preserve">69/006 du 10</w:t>
            </w:r>
            <w:r>
              <w:rPr>
                <w:sz w:val="17"/>
              </w:rPr>
              <w:t xml:space="preserve"> </w:t>
            </w:r>
            <w:r>
              <w:rPr>
                <w:sz w:val="17"/>
              </w:rPr>
              <w:t xml:space="preserve">février 1969</w:t>
            </w:r>
          </w:p>
        </w:tc>
        <w:tc>
          <w:tcPr>
            <w:shd w:val="clear" w:color="auto" w:fill="F2F9F8"/>
          </w:tcPr>
          <w:p>
            <w:pPr>
              <w:pStyle w:val="Compact"/>
              <w:spacing w:after="20" w:before="20" w:line="240" w:lineRule="auto"/>
              <w:jc w:val="left"/>
            </w:pPr>
            <w:r>
              <w:rPr>
                <w:sz w:val="17"/>
              </w:rPr>
              <w:t xml:space="preserve">Impôts réels (foncier,</w:t>
            </w:r>
            <w:r>
              <w:rPr>
                <w:sz w:val="17"/>
              </w:rPr>
              <w:t xml:space="preserve"> </w:t>
            </w:r>
            <w:r>
              <w:rPr>
                <w:sz w:val="17"/>
              </w:rPr>
              <w:t xml:space="preserve">véhicules, superficie</w:t>
            </w:r>
            <w:r>
              <w:rPr>
                <w:sz w:val="17"/>
              </w:rPr>
              <w:t xml:space="preserve"> </w:t>
            </w:r>
            <w:r>
              <w:rPr>
                <w:sz w:val="17"/>
              </w:rPr>
              <w:t xml:space="preserve">des concessions)</w:t>
            </w:r>
          </w:p>
        </w:tc>
        <w:tc>
          <w:tcPr>
            <w:shd w:val="clear" w:color="auto" w:fill="F2F9F8"/>
          </w:tcPr>
          <w:p>
            <w:pPr>
              <w:pStyle w:val="Compact"/>
              <w:spacing w:after="20" w:before="20" w:line="240" w:lineRule="auto"/>
              <w:jc w:val="left"/>
            </w:pPr>
            <w:r>
              <w:rPr>
                <w:sz w:val="17"/>
              </w:rPr>
              <w:t xml:space="preserve">Base historique de l'IF et de</w:t>
            </w:r>
            <w:r>
              <w:rPr>
                <w:sz w:val="17"/>
              </w:rPr>
              <w:t xml:space="preserve"> </w:t>
            </w:r>
            <w:r>
              <w:rPr>
                <w:sz w:val="17"/>
              </w:rPr>
              <w:t xml:space="preserve">l'impôt sur les véhicules ;</w:t>
            </w:r>
            <w:r>
              <w:rPr>
                <w:sz w:val="17"/>
              </w:rPr>
              <w:t xml:space="preserve"> </w:t>
            </w:r>
            <w:r>
              <w:rPr>
                <w:sz w:val="17"/>
              </w:rPr>
              <w:t xml:space="preserve">vérifier les modifications</w:t>
            </w:r>
            <w:r>
              <w:rPr>
                <w:sz w:val="17"/>
              </w:rPr>
              <w:t xml:space="preserve"> </w:t>
            </w:r>
            <w:r>
              <w:rPr>
                <w:sz w:val="17"/>
              </w:rPr>
              <w:t xml:space="preserve">successives</w:t>
            </w:r>
          </w:p>
        </w:tc>
      </w:tr>
      <w:tr>
        <w:tc>
          <w:tcPr/>
          <w:p>
            <w:pPr>
              <w:pStyle w:val="Compact"/>
              <w:spacing w:after="20" w:before="20" w:line="240" w:lineRule="auto"/>
              <w:jc w:val="left"/>
            </w:pPr>
            <w:r>
              <w:rPr>
                <w:sz w:val="17"/>
              </w:rPr>
              <w:t xml:space="preserve">Ordonnance-loi n°</w:t>
            </w:r>
            <w:r>
              <w:rPr>
                <w:sz w:val="17"/>
              </w:rPr>
              <w:t xml:space="preserve"> </w:t>
            </w:r>
            <w:r>
              <w:rPr>
                <w:sz w:val="17"/>
              </w:rPr>
              <w:t xml:space="preserve">69/009 du 10</w:t>
            </w:r>
            <w:r>
              <w:rPr>
                <w:sz w:val="17"/>
              </w:rPr>
              <w:t xml:space="preserve"> </w:t>
            </w:r>
            <w:r>
              <w:rPr>
                <w:sz w:val="17"/>
              </w:rPr>
              <w:t xml:space="preserve">février 1969</w:t>
            </w:r>
          </w:p>
        </w:tc>
        <w:tc>
          <w:tcPr/>
          <w:p>
            <w:pPr>
              <w:pStyle w:val="Compact"/>
              <w:spacing w:after="20" w:before="20" w:line="240" w:lineRule="auto"/>
              <w:jc w:val="left"/>
            </w:pPr>
            <w:r>
              <w:rPr>
                <w:sz w:val="17"/>
              </w:rPr>
              <w:t xml:space="preserve">Impôts cédulaires sur</w:t>
            </w:r>
            <w:r>
              <w:rPr>
                <w:sz w:val="17"/>
              </w:rPr>
              <w:t xml:space="preserve"> </w:t>
            </w:r>
            <w:r>
              <w:rPr>
                <w:sz w:val="17"/>
              </w:rPr>
              <w:t xml:space="preserve">les revenus</w:t>
            </w:r>
          </w:p>
        </w:tc>
        <w:tc>
          <w:tcPr/>
          <w:p>
            <w:pPr>
              <w:pStyle w:val="Compact"/>
              <w:spacing w:after="20" w:before="20" w:line="240" w:lineRule="auto"/>
              <w:jc w:val="left"/>
            </w:pPr>
            <w:r>
              <w:rPr>
                <w:sz w:val="17"/>
              </w:rPr>
              <w:t xml:space="preserve">Base historique de l'IRL ;</w:t>
            </w:r>
            <w:r>
              <w:rPr>
                <w:sz w:val="17"/>
              </w:rPr>
              <w:t xml:space="preserve"> </w:t>
            </w:r>
            <w:r>
              <w:rPr>
                <w:sz w:val="17"/>
              </w:rPr>
              <w:t xml:space="preserve">vérifier les modifications</w:t>
            </w:r>
            <w:r>
              <w:rPr>
                <w:sz w:val="17"/>
              </w:rPr>
              <w:t xml:space="preserve"> </w:t>
            </w:r>
            <w:r>
              <w:rPr>
                <w:sz w:val="17"/>
              </w:rPr>
              <w:t xml:space="preserve">successives</w:t>
            </w:r>
          </w:p>
        </w:tc>
      </w:tr>
      <w:tr>
        <w:tc>
          <w:tcPr>
            <w:shd w:val="clear" w:color="auto" w:fill="F2F9F8"/>
          </w:tcPr>
          <w:p>
            <w:pPr>
              <w:pStyle w:val="Compact"/>
              <w:spacing w:after="20" w:before="20" w:line="240" w:lineRule="auto"/>
              <w:jc w:val="left"/>
            </w:pPr>
            <w:r>
              <w:rPr>
                <w:sz w:val="17"/>
              </w:rPr>
              <w:t xml:space="preserve">Loi n° 11/011 du</w:t>
            </w:r>
            <w:r>
              <w:rPr>
                <w:sz w:val="17"/>
              </w:rPr>
              <w:t xml:space="preserve"> </w:t>
            </w:r>
            <w:r>
              <w:rPr>
                <w:sz w:val="17"/>
              </w:rPr>
              <w:t xml:space="preserve">13 juillet 2011</w:t>
            </w:r>
            <w:r>
              <w:rPr>
                <w:sz w:val="17"/>
              </w:rPr>
              <w:t xml:space="preserve"> </w:t>
            </w:r>
            <w:r>
              <w:rPr>
                <w:sz w:val="17"/>
              </w:rPr>
              <w:t xml:space="preserve">(LOFIP)</w:t>
            </w:r>
          </w:p>
        </w:tc>
        <w:tc>
          <w:tcPr>
            <w:shd w:val="clear" w:color="auto" w:fill="F2F9F8"/>
          </w:tcPr>
          <w:p>
            <w:pPr>
              <w:pStyle w:val="Compact"/>
              <w:spacing w:after="20" w:before="20" w:line="240" w:lineRule="auto"/>
              <w:jc w:val="left"/>
            </w:pPr>
            <w:r>
              <w:rPr>
                <w:sz w:val="17"/>
              </w:rPr>
              <w:t xml:space="preserve">Finances publiques :</w:t>
            </w:r>
            <w:r>
              <w:rPr>
                <w:sz w:val="17"/>
              </w:rPr>
              <w:t xml:space="preserve"> </w:t>
            </w:r>
            <w:r>
              <w:rPr>
                <w:sz w:val="17"/>
              </w:rPr>
              <w:t xml:space="preserve">budget, comptabilité,</w:t>
            </w:r>
            <w:r>
              <w:rPr>
                <w:sz w:val="17"/>
              </w:rPr>
              <w:t xml:space="preserve"> </w:t>
            </w:r>
            <w:r>
              <w:rPr>
                <w:sz w:val="17"/>
              </w:rPr>
              <w:t xml:space="preserve">trésorerie, contrôle</w:t>
            </w:r>
          </w:p>
        </w:tc>
        <w:tc>
          <w:tcPr>
            <w:shd w:val="clear" w:color="auto" w:fill="F2F9F8"/>
          </w:tcPr>
          <w:p>
            <w:pPr>
              <w:pStyle w:val="Compact"/>
              <w:spacing w:after="20" w:before="20" w:line="240" w:lineRule="auto"/>
              <w:jc w:val="left"/>
            </w:pPr>
            <w:r>
              <w:rPr>
                <w:sz w:val="17"/>
              </w:rPr>
              <w:t xml:space="preserve">Encadre le circuit des fonds,</w:t>
            </w:r>
            <w:r>
              <w:rPr>
                <w:sz w:val="17"/>
              </w:rPr>
              <w:t xml:space="preserve"> </w:t>
            </w:r>
            <w:r>
              <w:rPr>
                <w:sz w:val="17"/>
              </w:rPr>
              <w:t xml:space="preserve">l'exécution budgétaire et la</w:t>
            </w:r>
            <w:r>
              <w:rPr>
                <w:sz w:val="17"/>
              </w:rPr>
              <w:t xml:space="preserve"> </w:t>
            </w:r>
            <w:r>
              <w:rPr>
                <w:sz w:val="17"/>
              </w:rPr>
              <w:t xml:space="preserve">comptabilisation</w:t>
            </w:r>
          </w:p>
        </w:tc>
      </w:tr>
      <w:tr>
        <w:tc>
          <w:tcPr/>
          <w:p>
            <w:pPr>
              <w:pStyle w:val="Compact"/>
              <w:spacing w:after="20" w:before="20" w:line="240" w:lineRule="auto"/>
              <w:jc w:val="left"/>
            </w:pPr>
            <w:r>
              <w:rPr>
                <w:sz w:val="17"/>
              </w:rPr>
              <w:t xml:space="preserve">Édits budgétaires</w:t>
            </w:r>
            <w:r>
              <w:rPr>
                <w:sz w:val="17"/>
              </w:rPr>
              <w:t xml:space="preserve"> </w:t>
            </w:r>
            <w:r>
              <w:rPr>
                <w:sz w:val="17"/>
              </w:rPr>
              <w:t xml:space="preserve">annuels de la</w:t>
            </w:r>
            <w:r>
              <w:rPr>
                <w:sz w:val="17"/>
              </w:rPr>
              <w:t xml:space="preserve"> </w:t>
            </w:r>
            <w:r>
              <w:rPr>
                <w:sz w:val="17"/>
              </w:rPr>
              <w:t xml:space="preserve">Ville de Kinshasa</w:t>
            </w:r>
          </w:p>
        </w:tc>
        <w:tc>
          <w:tcPr/>
          <w:p>
            <w:pPr>
              <w:pStyle w:val="Compact"/>
              <w:spacing w:after="20" w:before="20" w:line="240" w:lineRule="auto"/>
              <w:jc w:val="left"/>
            </w:pPr>
            <w:r>
              <w:rPr>
                <w:sz w:val="17"/>
              </w:rPr>
              <w:t xml:space="preserve">Taux, innovations et</w:t>
            </w:r>
            <w:r>
              <w:rPr>
                <w:sz w:val="17"/>
              </w:rPr>
              <w:t xml:space="preserve"> </w:t>
            </w:r>
            <w:r>
              <w:rPr>
                <w:sz w:val="17"/>
              </w:rPr>
              <w:t xml:space="preserve">règles de perception</w:t>
            </w:r>
            <w:r>
              <w:rPr>
                <w:sz w:val="17"/>
              </w:rPr>
              <w:t xml:space="preserve"> </w:t>
            </w:r>
            <w:r>
              <w:rPr>
                <w:sz w:val="17"/>
              </w:rPr>
              <w:t xml:space="preserve">provinciales</w:t>
            </w:r>
          </w:p>
        </w:tc>
        <w:tc>
          <w:tcPr/>
          <w:p>
            <w:pPr>
              <w:pStyle w:val="Compact"/>
              <w:spacing w:after="20" w:before="20" w:line="240" w:lineRule="auto"/>
              <w:jc w:val="left"/>
            </w:pPr>
            <w:r>
              <w:rPr>
                <w:sz w:val="17"/>
              </w:rPr>
              <w:t xml:space="preserve">Source des taux applicables et</w:t>
            </w:r>
            <w:r>
              <w:rPr>
                <w:sz w:val="17"/>
              </w:rPr>
              <w:t xml:space="preserve"> </w:t>
            </w:r>
            <w:r>
              <w:rPr>
                <w:sz w:val="17"/>
              </w:rPr>
              <w:t xml:space="preserve">des extensions d'assiette</w:t>
            </w:r>
          </w:p>
        </w:tc>
      </w:tr>
      <w:tr>
        <w:tc>
          <w:tcPr>
            <w:shd w:val="clear" w:color="auto" w:fill="F2F9F8"/>
          </w:tcPr>
          <w:p>
            <w:pPr>
              <w:pStyle w:val="Compact"/>
              <w:spacing w:after="20" w:before="20" w:line="240" w:lineRule="auto"/>
              <w:jc w:val="left"/>
            </w:pPr>
            <w:r>
              <w:rPr>
                <w:sz w:val="17"/>
              </w:rPr>
              <w:t xml:space="preserve">Arrêtés du</w:t>
            </w:r>
            <w:r>
              <w:rPr>
                <w:sz w:val="17"/>
              </w:rPr>
              <w:t xml:space="preserve"> </w:t>
            </w:r>
            <w:r>
              <w:rPr>
                <w:sz w:val="17"/>
              </w:rPr>
              <w:t xml:space="preserve">ministre</w:t>
            </w:r>
            <w:r>
              <w:rPr>
                <w:sz w:val="17"/>
              </w:rPr>
              <w:t xml:space="preserve"> </w:t>
            </w:r>
            <w:r>
              <w:rPr>
                <w:sz w:val="17"/>
              </w:rPr>
              <w:t xml:space="preserve">provincial des</w:t>
            </w:r>
            <w:r>
              <w:rPr>
                <w:sz w:val="17"/>
              </w:rPr>
              <w:t xml:space="preserve"> </w:t>
            </w:r>
            <w:r>
              <w:rPr>
                <w:sz w:val="17"/>
              </w:rPr>
              <w:t xml:space="preserve">Finances</w:t>
            </w:r>
          </w:p>
        </w:tc>
        <w:tc>
          <w:tcPr>
            <w:shd w:val="clear" w:color="auto" w:fill="F2F9F8"/>
          </w:tcPr>
          <w:p>
            <w:pPr>
              <w:pStyle w:val="Compact"/>
              <w:spacing w:after="20" w:before="20" w:line="240" w:lineRule="auto"/>
              <w:jc w:val="left"/>
            </w:pPr>
            <w:r>
              <w:rPr>
                <w:sz w:val="17"/>
              </w:rPr>
              <w:t xml:space="preserve">Fixation des taux IF</w:t>
            </w:r>
            <w:r>
              <w:rPr>
                <w:sz w:val="17"/>
              </w:rPr>
              <w:t xml:space="preserve"> </w:t>
            </w:r>
            <w:r>
              <w:rPr>
                <w:sz w:val="17"/>
              </w:rPr>
              <w:t xml:space="preserve">et IRL, modalités de</w:t>
            </w:r>
            <w:r>
              <w:rPr>
                <w:sz w:val="17"/>
              </w:rPr>
              <w:t xml:space="preserve"> </w:t>
            </w:r>
            <w:r>
              <w:rPr>
                <w:sz w:val="17"/>
              </w:rPr>
              <w:t xml:space="preserve">perception</w:t>
            </w:r>
          </w:p>
        </w:tc>
        <w:tc>
          <w:tcPr>
            <w:shd w:val="clear" w:color="auto" w:fill="F2F9F8"/>
          </w:tcPr>
          <w:p>
            <w:pPr>
              <w:pStyle w:val="Compact"/>
              <w:spacing w:after="20" w:before="20" w:line="240" w:lineRule="auto"/>
              <w:jc w:val="left"/>
            </w:pPr>
            <w:r>
              <w:rPr>
                <w:sz w:val="17"/>
              </w:rPr>
              <w:t xml:space="preserve">Source directe des barèmes</w:t>
            </w:r>
            <w:r>
              <w:rPr>
                <w:sz w:val="17"/>
              </w:rPr>
              <w:t xml:space="preserve"> </w:t>
            </w:r>
            <w:r>
              <w:rPr>
                <w:sz w:val="17"/>
              </w:rPr>
              <w:t xml:space="preserve">intégrés au référentiel</w:t>
            </w:r>
          </w:p>
        </w:tc>
      </w:tr>
      <w:tr>
        <w:tc>
          <w:tcPr/>
          <w:p>
            <w:pPr>
              <w:pStyle w:val="Compact"/>
              <w:spacing w:after="20" w:before="20" w:line="240" w:lineRule="auto"/>
              <w:jc w:val="left"/>
            </w:pPr>
            <w:r>
              <w:rPr>
                <w:sz w:val="17"/>
              </w:rPr>
              <w:t xml:space="preserve">Ordonnance-loi n°</w:t>
            </w:r>
            <w:r>
              <w:rPr>
                <w:sz w:val="17"/>
              </w:rPr>
              <w:t xml:space="preserve"> </w:t>
            </w:r>
            <w:r>
              <w:rPr>
                <w:sz w:val="17"/>
              </w:rPr>
              <w:t xml:space="preserve">23/010 du 13 mars</w:t>
            </w:r>
            <w:r>
              <w:rPr>
                <w:sz w:val="17"/>
              </w:rPr>
              <w:t xml:space="preserve"> </w:t>
            </w:r>
            <w:r>
              <w:rPr>
                <w:sz w:val="17"/>
              </w:rPr>
              <w:t xml:space="preserve">2023 (Code du</w:t>
            </w:r>
            <w:r>
              <w:rPr>
                <w:sz w:val="17"/>
              </w:rPr>
              <w:t xml:space="preserve"> </w:t>
            </w:r>
            <w:r>
              <w:rPr>
                <w:sz w:val="17"/>
              </w:rPr>
              <w:t xml:space="preserve">numérique)</w:t>
            </w:r>
          </w:p>
        </w:tc>
        <w:tc>
          <w:tcPr/>
          <w:p>
            <w:pPr>
              <w:pStyle w:val="Compact"/>
              <w:spacing w:after="20" w:before="20" w:line="240" w:lineRule="auto"/>
              <w:jc w:val="left"/>
            </w:pPr>
            <w:r>
              <w:rPr>
                <w:sz w:val="17"/>
              </w:rPr>
              <w:t xml:space="preserve">Numérique, données</w:t>
            </w:r>
            <w:r>
              <w:rPr>
                <w:sz w:val="17"/>
              </w:rPr>
              <w:t xml:space="preserve"> </w:t>
            </w:r>
            <w:r>
              <w:rPr>
                <w:sz w:val="17"/>
              </w:rPr>
              <w:t xml:space="preserve">personnelles,</w:t>
            </w:r>
            <w:r>
              <w:rPr>
                <w:sz w:val="17"/>
              </w:rPr>
              <w:t xml:space="preserve"> </w:t>
            </w:r>
            <w:r>
              <w:rPr>
                <w:sz w:val="17"/>
              </w:rPr>
              <w:t xml:space="preserve">transactions</w:t>
            </w:r>
            <w:r>
              <w:rPr>
                <w:sz w:val="17"/>
              </w:rPr>
              <w:t xml:space="preserve"> </w:t>
            </w:r>
            <w:r>
              <w:rPr>
                <w:sz w:val="17"/>
              </w:rPr>
              <w:t xml:space="preserve">électroniques</w:t>
            </w:r>
          </w:p>
        </w:tc>
        <w:tc>
          <w:tcPr/>
          <w:p>
            <w:pPr>
              <w:pStyle w:val="Compact"/>
              <w:spacing w:after="20" w:before="20" w:line="240" w:lineRule="auto"/>
              <w:jc w:val="left"/>
            </w:pPr>
            <w:r>
              <w:rPr>
                <w:sz w:val="17"/>
              </w:rPr>
              <w:t xml:space="preserve">Cadre de protection des données</w:t>
            </w:r>
            <w:r>
              <w:rPr>
                <w:sz w:val="17"/>
              </w:rPr>
              <w:t xml:space="preserve"> </w:t>
            </w:r>
            <w:r>
              <w:rPr>
                <w:sz w:val="17"/>
              </w:rPr>
              <w:t xml:space="preserve">et de la signature</w:t>
            </w:r>
            <w:r>
              <w:rPr>
                <w:sz w:val="17"/>
              </w:rPr>
              <w:t xml:space="preserve"> </w:t>
            </w:r>
            <w:r>
              <w:rPr>
                <w:sz w:val="17"/>
              </w:rPr>
              <w:t xml:space="preserve">électronique, à confirmer dans</w:t>
            </w:r>
            <w:r>
              <w:rPr>
                <w:sz w:val="17"/>
              </w:rPr>
              <w:t xml:space="preserve"> </w:t>
            </w:r>
            <w:r>
              <w:rPr>
                <w:sz w:val="17"/>
              </w:rPr>
              <w:t xml:space="preserve">son détail</w:t>
            </w:r>
          </w:p>
        </w:tc>
      </w:tr>
    </w:tbl>
    <w:p>
      <w:pPr>
        <w:pStyle w:val="BlockText"/>
      </w:pPr>
      <w:r>
        <w:rPr>
          <w:b/>
          <w:bCs/>
        </w:rPr>
        <w:t xml:space="preserve">À vérifier avant toute utilisation.</w:t>
      </w:r>
      <w:r>
        <w:t xml:space="preserve"> </w:t>
      </w:r>
      <w:r>
        <w:t xml:space="preserve">Deux références citées dans la</w:t>
      </w:r>
      <w:r>
        <w:t xml:space="preserve"> </w:t>
      </w:r>
      <w:r>
        <w:t xml:space="preserve">commande initiale n'ont pas pu être confirmées en l'état : la Loi n°</w:t>
      </w:r>
      <w:r>
        <w:t xml:space="preserve"> </w:t>
      </w:r>
      <w:r>
        <w:t xml:space="preserve">18/014 du 9 juillet 2018, dont l'objet doit être établi au Journal</w:t>
      </w:r>
      <w:r>
        <w:t xml:space="preserve"> </w:t>
      </w:r>
      <w:r>
        <w:t xml:space="preserve">officiel avant d'être invoquée, et le statut consolidé des</w:t>
      </w:r>
      <w:r>
        <w:t xml:space="preserve"> </w:t>
      </w:r>
      <w:r>
        <w:t xml:space="preserve">ordonnances-lois de 1969 après leurs modifications successives. Le</w:t>
      </w:r>
      <w:r>
        <w:t xml:space="preserve"> </w:t>
      </w:r>
      <w:r>
        <w:t xml:space="preserve">service juridique provincial doit produire un relevé certifié avant le</w:t>
      </w:r>
      <w:r>
        <w:t xml:space="preserve"> </w:t>
      </w:r>
      <w:r>
        <w:t xml:space="preserve">paramétrage du référentiel.</w:t>
      </w:r>
    </w:p>
    <w:bookmarkStart w:id="42" w:name="X42f9f40b29c75ab073770f7dbfd3e965fa5695e"/>
    <w:p>
      <w:pPr>
        <w:pStyle w:val="Heading3"/>
      </w:pPr>
      <w:r>
        <w:t xml:space="preserve">Périmètre du référentiel à valider formellement</w:t>
      </w:r>
    </w:p>
    <w:p>
      <w:pPr>
        <w:pStyle w:val="FirstParagraph"/>
      </w:pPr>
      <w:r>
        <w:t xml:space="preserve">Au-delà des textes du tableau, le relevé juridique certifié couvre : la Constitution ; la nomenclature provinciale et des entités territoriales décentralisées en vigueur ; les finances publiques et la comptabilité publique ; les marchés publics et les partenariats public-privé ; les systèmes de paiement ; le Code du numérique ; les édits, décisions et tarifs de la Ville de Kinshasa. Les anciennes références et les anciens taux restent au statut « à vérifier », et désactivés dans le moteur, tant que l’autorité juridique n’a pas validé leur applicabilité à l’exercice 2026.</w:t>
      </w:r>
    </w:p>
    <w:p>
      <w:pPr>
        <w:pStyle w:val="BodyText"/>
      </w:pPr>
      <w:r>
        <w:rPr>
          <w:b/>
          <w:bCs/>
        </w:rPr>
        <w:t xml:space="preserve">Précision apportée par la spécification KIN RECETTES.</w:t>
      </w:r>
      <w:r>
        <w:t xml:space="preserve"> </w:t>
      </w:r>
      <w:r>
        <w:t xml:space="preserve">Selon les sources consultées par cette spécification (Journal officiel via Leganet), la Loi n° 18/014 du 9 juillet 2018 porte ratification de l’Ordonnance-loi n° 18/004 et confirme l’abrogation du texte de 2013. Cette information lève en partie la réserve ci-dessus ; elle doit être confirmée par le relevé juridique certifié avant paramétrage.</w:t>
      </w:r>
    </w:p>
    <w:bookmarkEnd w:id="42"/>
    <w:bookmarkEnd w:id="43"/>
    <w:bookmarkStart w:id="45" w:name="règle-dor-du-référentiel"/>
    <w:p>
      <w:pPr>
        <w:pStyle w:val="Heading2"/>
      </w:pPr>
      <w:r>
        <w:t xml:space="preserve">6.2 Règle d'or du référentiel</w:t>
      </w:r>
    </w:p>
    <w:p>
      <w:pPr>
        <w:pStyle w:val="FirstParagraph"/>
      </w:pPr>
      <w:r>
        <w:t xml:space="preserve">Aucune recette n'est activable dans MOSOLO sans une fiche complète,</w:t>
      </w:r>
      <w:r>
        <w:t xml:space="preserve"> </w:t>
      </w:r>
      <w:r>
        <w:t xml:space="preserve">validée par le service juridique provincial et approuvée par l'autorité</w:t>
      </w:r>
      <w:r>
        <w:t xml:space="preserve"> </w:t>
      </w:r>
      <w:r>
        <w:t xml:space="preserve">compétente. La fiche comporte obligatoirement :</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006"/>
        <w:gridCol w:w="3379"/>
        <w:gridCol w:w="2323"/>
      </w:tblGrid>
      <w:tr>
        <w:trPr>
          <w:tblHeader w:val="true"/>
          <w:tblHeader/>
        </w:trPr>
        <w:tc>
          <w:tcPr>
            <w:shd w:val="clear" w:color="auto" w:fill="1BA996"/>
          </w:tcPr>
          <w:p>
            <w:pPr>
              <w:pStyle w:val="Compact"/>
              <w:spacing w:after="20" w:before="20" w:line="240" w:lineRule="auto"/>
              <w:jc w:val="left"/>
            </w:pPr>
            <w:r>
              <w:rPr>
                <w:b/>
                <w:bCs/>
                <w:color w:val="FFFFFF"/>
                <w:sz w:val="17"/>
              </w:rPr>
              <w:t xml:space="preserve">Champ</w:t>
            </w:r>
          </w:p>
        </w:tc>
        <w:tc>
          <w:tcPr>
            <w:shd w:val="clear" w:color="auto" w:fill="1BA996"/>
          </w:tcPr>
          <w:p>
            <w:pPr>
              <w:pStyle w:val="Compact"/>
              <w:spacing w:after="20" w:before="20" w:line="240" w:lineRule="auto"/>
              <w:jc w:val="left"/>
            </w:pPr>
            <w:r>
              <w:rPr>
                <w:b/>
                <w:bCs/>
                <w:color w:val="FFFFFF"/>
                <w:sz w:val="17"/>
              </w:rPr>
              <w:t xml:space="preserve">Contenu</w:t>
            </w:r>
          </w:p>
        </w:tc>
        <w:tc>
          <w:tcPr>
            <w:shd w:val="clear" w:color="auto" w:fill="1BA996"/>
          </w:tcPr>
          <w:p>
            <w:pPr>
              <w:pStyle w:val="Compact"/>
              <w:spacing w:after="20" w:before="20" w:line="240" w:lineRule="auto"/>
              <w:jc w:val="left"/>
            </w:pPr>
            <w:r>
              <w:rPr>
                <w:b/>
                <w:bCs/>
                <w:color w:val="FFFFFF"/>
                <w:sz w:val="17"/>
              </w:rPr>
              <w:t xml:space="preserve">Contrôle</w:t>
            </w:r>
          </w:p>
        </w:tc>
      </w:tr>
      <w:tr>
        <w:tc>
          <w:tcPr/>
          <w:p>
            <w:pPr>
              <w:pStyle w:val="Compact"/>
              <w:spacing w:after="20" w:before="20" w:line="240" w:lineRule="auto"/>
              <w:jc w:val="left"/>
            </w:pPr>
            <w:r>
              <w:rPr>
                <w:sz w:val="17"/>
              </w:rPr>
              <w:t xml:space="preserve">Référence légale</w:t>
            </w:r>
            <w:r>
              <w:rPr>
                <w:sz w:val="17"/>
              </w:rPr>
              <w:t xml:space="preserve"> </w:t>
            </w:r>
            <w:r>
              <w:rPr>
                <w:sz w:val="17"/>
              </w:rPr>
              <w:t xml:space="preserve">et article</w:t>
            </w:r>
          </w:p>
        </w:tc>
        <w:tc>
          <w:tcPr/>
          <w:p>
            <w:pPr>
              <w:pStyle w:val="Compact"/>
              <w:spacing w:after="20" w:before="20" w:line="240" w:lineRule="auto"/>
              <w:jc w:val="left"/>
            </w:pPr>
            <w:r>
              <w:rPr>
                <w:sz w:val="17"/>
              </w:rPr>
              <w:t xml:space="preserve">Texte, numéro, date, article</w:t>
            </w:r>
            <w:r>
              <w:rPr>
                <w:sz w:val="17"/>
              </w:rPr>
              <w:t xml:space="preserve"> </w:t>
            </w:r>
            <w:r>
              <w:rPr>
                <w:sz w:val="17"/>
              </w:rPr>
              <w:t xml:space="preserve">précis</w:t>
            </w:r>
          </w:p>
        </w:tc>
        <w:tc>
          <w:tcPr/>
          <w:p>
            <w:pPr>
              <w:pStyle w:val="Compact"/>
              <w:spacing w:after="20" w:before="20" w:line="240" w:lineRule="auto"/>
              <w:jc w:val="left"/>
            </w:pPr>
            <w:r>
              <w:rPr>
                <w:sz w:val="17"/>
              </w:rPr>
              <w:t xml:space="preserve">Bloquant : pas de</w:t>
            </w:r>
            <w:r>
              <w:rPr>
                <w:sz w:val="17"/>
              </w:rPr>
              <w:t xml:space="preserve"> </w:t>
            </w:r>
            <w:r>
              <w:rPr>
                <w:sz w:val="17"/>
              </w:rPr>
              <w:t xml:space="preserve">fiche sans texte</w:t>
            </w:r>
          </w:p>
        </w:tc>
      </w:tr>
      <w:tr>
        <w:tc>
          <w:tcPr>
            <w:shd w:val="clear" w:color="auto" w:fill="F2F9F8"/>
          </w:tcPr>
          <w:p>
            <w:pPr>
              <w:pStyle w:val="Compact"/>
              <w:spacing w:after="20" w:before="20" w:line="240" w:lineRule="auto"/>
              <w:jc w:val="left"/>
            </w:pPr>
            <w:r>
              <w:rPr>
                <w:sz w:val="17"/>
              </w:rPr>
              <w:t xml:space="preserve">Autorité</w:t>
            </w:r>
            <w:r>
              <w:rPr>
                <w:sz w:val="17"/>
              </w:rPr>
              <w:t xml:space="preserve"> </w:t>
            </w:r>
            <w:r>
              <w:rPr>
                <w:sz w:val="17"/>
              </w:rPr>
              <w:t xml:space="preserve">compétente</w:t>
            </w:r>
          </w:p>
        </w:tc>
        <w:tc>
          <w:tcPr>
            <w:shd w:val="clear" w:color="auto" w:fill="F2F9F8"/>
          </w:tcPr>
          <w:p>
            <w:pPr>
              <w:pStyle w:val="Compact"/>
              <w:spacing w:after="20" w:before="20" w:line="240" w:lineRule="auto"/>
              <w:jc w:val="left"/>
            </w:pPr>
            <w:r>
              <w:rPr>
                <w:sz w:val="17"/>
              </w:rPr>
              <w:t xml:space="preserve">Régie ou service d'assiette</w:t>
            </w:r>
            <w:r>
              <w:rPr>
                <w:sz w:val="17"/>
              </w:rPr>
              <w:t xml:space="preserve"> </w:t>
            </w:r>
            <w:r>
              <w:rPr>
                <w:sz w:val="17"/>
              </w:rPr>
              <w:t xml:space="preserve">légalement responsable</w:t>
            </w:r>
          </w:p>
        </w:tc>
        <w:tc>
          <w:tcPr>
            <w:shd w:val="clear" w:color="auto" w:fill="F2F9F8"/>
          </w:tcPr>
          <w:p>
            <w:pPr>
              <w:pStyle w:val="Compact"/>
              <w:spacing w:after="20" w:before="20" w:line="240" w:lineRule="auto"/>
              <w:jc w:val="left"/>
            </w:pPr>
            <w:r>
              <w:rPr>
                <w:sz w:val="17"/>
              </w:rPr>
              <w:t xml:space="preserve">Bloquant</w:t>
            </w:r>
          </w:p>
        </w:tc>
      </w:tr>
      <w:tr>
        <w:tc>
          <w:tcPr/>
          <w:p>
            <w:pPr>
              <w:pStyle w:val="Compact"/>
              <w:spacing w:after="20" w:before="20" w:line="240" w:lineRule="auto"/>
              <w:jc w:val="left"/>
            </w:pPr>
            <w:r>
              <w:rPr>
                <w:sz w:val="17"/>
              </w:rPr>
              <w:t xml:space="preserve">Fait générateur</w:t>
            </w:r>
          </w:p>
        </w:tc>
        <w:tc>
          <w:tcPr/>
          <w:p>
            <w:pPr>
              <w:pStyle w:val="Compact"/>
              <w:spacing w:after="20" w:before="20" w:line="240" w:lineRule="auto"/>
              <w:jc w:val="left"/>
            </w:pPr>
            <w:r>
              <w:rPr>
                <w:sz w:val="17"/>
              </w:rPr>
              <w:t xml:space="preserve">Événement qui crée</w:t>
            </w:r>
            <w:r>
              <w:rPr>
                <w:sz w:val="17"/>
              </w:rPr>
              <w:t xml:space="preserve"> </w:t>
            </w:r>
            <w:r>
              <w:rPr>
                <w:sz w:val="17"/>
              </w:rPr>
              <w:t xml:space="preserve">l'obligation</w:t>
            </w:r>
          </w:p>
        </w:tc>
        <w:tc>
          <w:tcPr/>
          <w:p>
            <w:pPr>
              <w:pStyle w:val="Compact"/>
              <w:spacing w:after="20" w:before="20" w:line="240" w:lineRule="auto"/>
              <w:jc w:val="left"/>
            </w:pPr>
            <w:r>
              <w:rPr>
                <w:sz w:val="17"/>
              </w:rPr>
              <w:t xml:space="preserve">Bloquant</w:t>
            </w:r>
          </w:p>
        </w:tc>
      </w:tr>
      <w:tr>
        <w:tc>
          <w:tcPr>
            <w:shd w:val="clear" w:color="auto" w:fill="F2F9F8"/>
          </w:tcPr>
          <w:p>
            <w:pPr>
              <w:pStyle w:val="Compact"/>
              <w:spacing w:after="20" w:before="20" w:line="240" w:lineRule="auto"/>
              <w:jc w:val="left"/>
            </w:pPr>
            <w:r>
              <w:rPr>
                <w:sz w:val="17"/>
              </w:rPr>
              <w:t xml:space="preserve">Catégorie</w:t>
            </w:r>
            <w:r>
              <w:rPr>
                <w:sz w:val="17"/>
              </w:rPr>
              <w:t xml:space="preserve"> </w:t>
            </w:r>
            <w:r>
              <w:rPr>
                <w:sz w:val="17"/>
              </w:rPr>
              <w:t xml:space="preserve">d'assujetti</w:t>
            </w:r>
          </w:p>
        </w:tc>
        <w:tc>
          <w:tcPr>
            <w:shd w:val="clear" w:color="auto" w:fill="F2F9F8"/>
          </w:tcPr>
          <w:p>
            <w:pPr>
              <w:pStyle w:val="Compact"/>
              <w:spacing w:after="20" w:before="20" w:line="240" w:lineRule="auto"/>
              <w:jc w:val="left"/>
            </w:pPr>
            <w:r>
              <w:rPr>
                <w:sz w:val="17"/>
              </w:rPr>
              <w:t xml:space="preserve">Personnes concernées et</w:t>
            </w:r>
            <w:r>
              <w:rPr>
                <w:sz w:val="17"/>
              </w:rPr>
              <w:t xml:space="preserve"> </w:t>
            </w:r>
            <w:r>
              <w:rPr>
                <w:sz w:val="17"/>
              </w:rPr>
              <w:t xml:space="preserve">exclusions</w:t>
            </w:r>
          </w:p>
        </w:tc>
        <w:tc>
          <w:tcPr>
            <w:shd w:val="clear" w:color="auto" w:fill="F2F9F8"/>
          </w:tcPr>
          <w:p>
            <w:pPr>
              <w:pStyle w:val="Compact"/>
              <w:spacing w:after="20" w:before="20" w:line="240" w:lineRule="auto"/>
              <w:jc w:val="left"/>
            </w:pPr>
            <w:r>
              <w:rPr>
                <w:sz w:val="17"/>
              </w:rPr>
              <w:t xml:space="preserve">Bloquant</w:t>
            </w:r>
          </w:p>
        </w:tc>
      </w:tr>
      <w:tr>
        <w:tc>
          <w:tcPr/>
          <w:p>
            <w:pPr>
              <w:pStyle w:val="Compact"/>
              <w:spacing w:after="20" w:before="20" w:line="240" w:lineRule="auto"/>
              <w:jc w:val="left"/>
            </w:pPr>
            <w:r>
              <w:rPr>
                <w:sz w:val="17"/>
              </w:rPr>
              <w:t xml:space="preserve">Base de calcul et</w:t>
            </w:r>
            <w:r>
              <w:rPr>
                <w:sz w:val="17"/>
              </w:rPr>
              <w:t xml:space="preserve"> </w:t>
            </w:r>
            <w:r>
              <w:rPr>
                <w:sz w:val="17"/>
              </w:rPr>
              <w:t xml:space="preserve">formule</w:t>
            </w:r>
          </w:p>
        </w:tc>
        <w:tc>
          <w:tcPr/>
          <w:p>
            <w:pPr>
              <w:pStyle w:val="Compact"/>
              <w:spacing w:after="20" w:before="20" w:line="240" w:lineRule="auto"/>
              <w:jc w:val="left"/>
            </w:pPr>
            <w:r>
              <w:rPr>
                <w:sz w:val="17"/>
              </w:rPr>
              <w:t xml:space="preserve">Assiette officielle et mode de</w:t>
            </w:r>
            <w:r>
              <w:rPr>
                <w:sz w:val="17"/>
              </w:rPr>
              <w:t xml:space="preserve"> </w:t>
            </w:r>
            <w:r>
              <w:rPr>
                <w:sz w:val="17"/>
              </w:rPr>
              <w:t xml:space="preserve">calcul</w:t>
            </w:r>
          </w:p>
        </w:tc>
        <w:tc>
          <w:tcPr/>
          <w:p>
            <w:pPr>
              <w:pStyle w:val="Compact"/>
              <w:spacing w:after="20" w:before="20" w:line="240" w:lineRule="auto"/>
              <w:jc w:val="left"/>
            </w:pPr>
            <w:r>
              <w:rPr>
                <w:sz w:val="17"/>
              </w:rPr>
              <w:t xml:space="preserve">Bloquant</w:t>
            </w:r>
          </w:p>
        </w:tc>
      </w:tr>
      <w:tr>
        <w:tc>
          <w:tcPr>
            <w:shd w:val="clear" w:color="auto" w:fill="F2F9F8"/>
          </w:tcPr>
          <w:p>
            <w:pPr>
              <w:pStyle w:val="Compact"/>
              <w:spacing w:after="20" w:before="20" w:line="240" w:lineRule="auto"/>
              <w:jc w:val="left"/>
            </w:pPr>
            <w:r>
              <w:rPr>
                <w:sz w:val="17"/>
              </w:rPr>
              <w:t xml:space="preserve">Taux ou tarif,</w:t>
            </w:r>
            <w:r>
              <w:rPr>
                <w:sz w:val="17"/>
              </w:rPr>
              <w:t xml:space="preserve"> </w:t>
            </w:r>
            <w:r>
              <w:rPr>
                <w:sz w:val="17"/>
              </w:rPr>
              <w:t xml:space="preserve">devise</w:t>
            </w:r>
          </w:p>
        </w:tc>
        <w:tc>
          <w:tcPr>
            <w:shd w:val="clear" w:color="auto" w:fill="F2F9F8"/>
          </w:tcPr>
          <w:p>
            <w:pPr>
              <w:pStyle w:val="Compact"/>
              <w:spacing w:after="20" w:before="20" w:line="240" w:lineRule="auto"/>
              <w:jc w:val="left"/>
            </w:pPr>
            <w:r>
              <w:rPr>
                <w:sz w:val="17"/>
              </w:rPr>
              <w:t xml:space="preserve">Valeur, unité, devise, arrondi</w:t>
            </w:r>
          </w:p>
        </w:tc>
        <w:tc>
          <w:tcPr>
            <w:shd w:val="clear" w:color="auto" w:fill="F2F9F8"/>
          </w:tcPr>
          <w:p>
            <w:pPr>
              <w:pStyle w:val="Compact"/>
              <w:spacing w:after="20" w:before="20" w:line="240" w:lineRule="auto"/>
              <w:jc w:val="left"/>
            </w:pPr>
            <w:r>
              <w:rPr>
                <w:sz w:val="17"/>
              </w:rPr>
              <w:t xml:space="preserve">Bloquant</w:t>
            </w:r>
          </w:p>
        </w:tc>
      </w:tr>
      <w:tr>
        <w:tc>
          <w:tcPr/>
          <w:p>
            <w:pPr>
              <w:pStyle w:val="Compact"/>
              <w:spacing w:after="20" w:before="20" w:line="240" w:lineRule="auto"/>
              <w:jc w:val="left"/>
            </w:pPr>
            <w:r>
              <w:rPr>
                <w:sz w:val="17"/>
              </w:rPr>
              <w:t xml:space="preserve">Périodicité et</w:t>
            </w:r>
            <w:r>
              <w:rPr>
                <w:sz w:val="17"/>
              </w:rPr>
              <w:t xml:space="preserve"> </w:t>
            </w:r>
            <w:r>
              <w:rPr>
                <w:sz w:val="17"/>
              </w:rPr>
              <w:t xml:space="preserve">échéance</w:t>
            </w:r>
          </w:p>
        </w:tc>
        <w:tc>
          <w:tcPr/>
          <w:p>
            <w:pPr>
              <w:pStyle w:val="Compact"/>
              <w:spacing w:after="20" w:before="20" w:line="240" w:lineRule="auto"/>
              <w:jc w:val="left"/>
            </w:pPr>
            <w:r>
              <w:rPr>
                <w:sz w:val="17"/>
              </w:rPr>
              <w:t xml:space="preserve">Fréquence, date limite,</w:t>
            </w:r>
            <w:r>
              <w:rPr>
                <w:sz w:val="17"/>
              </w:rPr>
              <w:t xml:space="preserve"> </w:t>
            </w:r>
            <w:r>
              <w:rPr>
                <w:sz w:val="17"/>
              </w:rPr>
              <w:t xml:space="preserve">tolérance</w:t>
            </w:r>
          </w:p>
        </w:tc>
        <w:tc>
          <w:tcPr/>
          <w:p>
            <w:pPr>
              <w:pStyle w:val="Compact"/>
              <w:spacing w:after="20" w:before="20" w:line="240" w:lineRule="auto"/>
              <w:jc w:val="left"/>
            </w:pPr>
            <w:r>
              <w:rPr>
                <w:sz w:val="17"/>
              </w:rPr>
              <w:t xml:space="preserve">Bloquant</w:t>
            </w:r>
          </w:p>
        </w:tc>
      </w:tr>
      <w:tr>
        <w:tc>
          <w:tcPr>
            <w:shd w:val="clear" w:color="auto" w:fill="F2F9F8"/>
          </w:tcPr>
          <w:p>
            <w:pPr>
              <w:pStyle w:val="Compact"/>
              <w:spacing w:after="20" w:before="20" w:line="240" w:lineRule="auto"/>
              <w:jc w:val="left"/>
            </w:pPr>
            <w:r>
              <w:rPr>
                <w:sz w:val="17"/>
              </w:rPr>
              <w:t xml:space="preserve">Exonérations</w:t>
            </w:r>
          </w:p>
        </w:tc>
        <w:tc>
          <w:tcPr>
            <w:shd w:val="clear" w:color="auto" w:fill="F2F9F8"/>
          </w:tcPr>
          <w:p>
            <w:pPr>
              <w:pStyle w:val="Compact"/>
              <w:spacing w:after="20" w:before="20" w:line="240" w:lineRule="auto"/>
              <w:jc w:val="left"/>
            </w:pPr>
            <w:r>
              <w:rPr>
                <w:sz w:val="17"/>
              </w:rPr>
              <w:t xml:space="preserve">Cas légaux d'exonération et</w:t>
            </w:r>
            <w:r>
              <w:rPr>
                <w:sz w:val="17"/>
              </w:rPr>
              <w:t xml:space="preserve"> </w:t>
            </w:r>
            <w:r>
              <w:rPr>
                <w:sz w:val="17"/>
              </w:rPr>
              <w:t xml:space="preserve">preuve exigée</w:t>
            </w:r>
          </w:p>
        </w:tc>
        <w:tc>
          <w:tcPr>
            <w:shd w:val="clear" w:color="auto" w:fill="F2F9F8"/>
          </w:tcPr>
          <w:p>
            <w:pPr>
              <w:pStyle w:val="Compact"/>
              <w:spacing w:after="20" w:before="20" w:line="240" w:lineRule="auto"/>
              <w:jc w:val="left"/>
            </w:pPr>
            <w:r>
              <w:rPr>
                <w:sz w:val="17"/>
              </w:rPr>
              <w:t xml:space="preserve">Obligatoire si</w:t>
            </w:r>
            <w:r>
              <w:rPr>
                <w:sz w:val="17"/>
              </w:rPr>
              <w:t xml:space="preserve"> </w:t>
            </w:r>
            <w:r>
              <w:rPr>
                <w:sz w:val="17"/>
              </w:rPr>
              <w:t xml:space="preserve">applicable</w:t>
            </w:r>
          </w:p>
        </w:tc>
      </w:tr>
      <w:tr>
        <w:tc>
          <w:tcPr/>
          <w:p>
            <w:pPr>
              <w:pStyle w:val="Compact"/>
              <w:spacing w:after="20" w:before="20" w:line="240" w:lineRule="auto"/>
              <w:jc w:val="left"/>
            </w:pPr>
            <w:r>
              <w:rPr>
                <w:sz w:val="17"/>
              </w:rPr>
              <w:t xml:space="preserve">Pénalités</w:t>
            </w:r>
          </w:p>
        </w:tc>
        <w:tc>
          <w:tcPr/>
          <w:p>
            <w:pPr>
              <w:pStyle w:val="Compact"/>
              <w:spacing w:after="20" w:before="20" w:line="240" w:lineRule="auto"/>
              <w:jc w:val="left"/>
            </w:pPr>
            <w:r>
              <w:rPr>
                <w:sz w:val="17"/>
              </w:rPr>
              <w:t xml:space="preserve">Nature, taux, plafond, base</w:t>
            </w:r>
            <w:r>
              <w:rPr>
                <w:sz w:val="17"/>
              </w:rPr>
              <w:t xml:space="preserve"> </w:t>
            </w:r>
            <w:r>
              <w:rPr>
                <w:sz w:val="17"/>
              </w:rPr>
              <w:t xml:space="preserve">légale</w:t>
            </w:r>
          </w:p>
        </w:tc>
        <w:tc>
          <w:tcPr/>
          <w:p>
            <w:pPr>
              <w:pStyle w:val="Compact"/>
              <w:spacing w:after="20" w:before="20" w:line="240" w:lineRule="auto"/>
              <w:jc w:val="left"/>
            </w:pPr>
            <w:r>
              <w:rPr>
                <w:sz w:val="17"/>
              </w:rPr>
              <w:t xml:space="preserve">Obligatoire si</w:t>
            </w:r>
            <w:r>
              <w:rPr>
                <w:sz w:val="17"/>
              </w:rPr>
              <w:t xml:space="preserve"> </w:t>
            </w:r>
            <w:r>
              <w:rPr>
                <w:sz w:val="17"/>
              </w:rPr>
              <w:t xml:space="preserve">applicable</w:t>
            </w:r>
          </w:p>
        </w:tc>
      </w:tr>
      <w:tr>
        <w:tc>
          <w:tcPr>
            <w:shd w:val="clear" w:color="auto" w:fill="F2F9F8"/>
          </w:tcPr>
          <w:p>
            <w:pPr>
              <w:pStyle w:val="Compact"/>
              <w:spacing w:after="20" w:before="20" w:line="240" w:lineRule="auto"/>
              <w:jc w:val="left"/>
            </w:pPr>
            <w:r>
              <w:rPr>
                <w:sz w:val="17"/>
              </w:rPr>
              <w:t xml:space="preserve">Compte public</w:t>
            </w:r>
            <w:r>
              <w:rPr>
                <w:sz w:val="17"/>
              </w:rPr>
              <w:t xml:space="preserve"> </w:t>
            </w:r>
            <w:r>
              <w:rPr>
                <w:sz w:val="17"/>
              </w:rPr>
              <w:t xml:space="preserve">bénéficiaire</w:t>
            </w:r>
          </w:p>
        </w:tc>
        <w:tc>
          <w:tcPr>
            <w:shd w:val="clear" w:color="auto" w:fill="F2F9F8"/>
          </w:tcPr>
          <w:p>
            <w:pPr>
              <w:pStyle w:val="Compact"/>
              <w:spacing w:after="20" w:before="20" w:line="240" w:lineRule="auto"/>
              <w:jc w:val="left"/>
            </w:pPr>
            <w:r>
              <w:rPr>
                <w:sz w:val="17"/>
              </w:rPr>
              <w:t xml:space="preserve">Compte désigné, verrouillé,</w:t>
            </w:r>
            <w:r>
              <w:rPr>
                <w:sz w:val="17"/>
              </w:rPr>
              <w:t xml:space="preserve"> </w:t>
            </w:r>
            <w:r>
              <w:rPr>
                <w:sz w:val="17"/>
              </w:rPr>
              <w:t xml:space="preserve">double validation pour</w:t>
            </w:r>
            <w:r>
              <w:rPr>
                <w:sz w:val="17"/>
              </w:rPr>
              <w:t xml:space="preserve"> </w:t>
            </w:r>
            <w:r>
              <w:rPr>
                <w:sz w:val="17"/>
              </w:rPr>
              <w:t xml:space="preserve">modification</w:t>
            </w:r>
          </w:p>
        </w:tc>
        <w:tc>
          <w:tcPr>
            <w:shd w:val="clear" w:color="auto" w:fill="F2F9F8"/>
          </w:tcPr>
          <w:p>
            <w:pPr>
              <w:pStyle w:val="Compact"/>
              <w:spacing w:after="20" w:before="20" w:line="240" w:lineRule="auto"/>
              <w:jc w:val="left"/>
            </w:pPr>
            <w:r>
              <w:rPr>
                <w:sz w:val="17"/>
              </w:rPr>
              <w:t xml:space="preserve">Bloquant</w:t>
            </w:r>
          </w:p>
        </w:tc>
      </w:tr>
      <w:tr>
        <w:tc>
          <w:tcPr/>
          <w:p>
            <w:pPr>
              <w:pStyle w:val="Compact"/>
              <w:spacing w:after="20" w:before="20" w:line="240" w:lineRule="auto"/>
              <w:jc w:val="left"/>
            </w:pPr>
            <w:r>
              <w:rPr>
                <w:sz w:val="17"/>
              </w:rPr>
              <w:t xml:space="preserve">Entrée en vigueur</w:t>
            </w:r>
            <w:r>
              <w:rPr>
                <w:sz w:val="17"/>
              </w:rPr>
              <w:t xml:space="preserve"> </w:t>
            </w:r>
            <w:r>
              <w:rPr>
                <w:sz w:val="17"/>
              </w:rPr>
              <w:t xml:space="preserve">et fin</w:t>
            </w:r>
          </w:p>
        </w:tc>
        <w:tc>
          <w:tcPr/>
          <w:p>
            <w:pPr>
              <w:pStyle w:val="Compact"/>
              <w:spacing w:after="20" w:before="20" w:line="240" w:lineRule="auto"/>
              <w:jc w:val="left"/>
            </w:pPr>
            <w:r>
              <w:rPr>
                <w:sz w:val="17"/>
              </w:rPr>
              <w:t xml:space="preserve">Dates d'application, texte</w:t>
            </w:r>
            <w:r>
              <w:rPr>
                <w:sz w:val="17"/>
              </w:rPr>
              <w:t xml:space="preserve"> </w:t>
            </w:r>
            <w:r>
              <w:rPr>
                <w:sz w:val="17"/>
              </w:rPr>
              <w:t xml:space="preserve">abrogatoire éventuel</w:t>
            </w:r>
          </w:p>
        </w:tc>
        <w:tc>
          <w:tcPr/>
          <w:p>
            <w:pPr>
              <w:pStyle w:val="Compact"/>
              <w:spacing w:after="20" w:before="20" w:line="240" w:lineRule="auto"/>
              <w:jc w:val="left"/>
            </w:pPr>
            <w:r>
              <w:rPr>
                <w:sz w:val="17"/>
              </w:rPr>
              <w:t xml:space="preserve">Bloquant</w:t>
            </w:r>
          </w:p>
        </w:tc>
      </w:tr>
      <w:tr>
        <w:tc>
          <w:tcPr>
            <w:shd w:val="clear" w:color="auto" w:fill="F2F9F8"/>
          </w:tcPr>
          <w:p>
            <w:pPr>
              <w:pStyle w:val="Compact"/>
              <w:spacing w:after="20" w:before="20" w:line="240" w:lineRule="auto"/>
              <w:jc w:val="left"/>
            </w:pPr>
            <w:r>
              <w:rPr>
                <w:sz w:val="17"/>
              </w:rPr>
              <w:t xml:space="preserve">Voie de recours</w:t>
            </w:r>
          </w:p>
        </w:tc>
        <w:tc>
          <w:tcPr>
            <w:shd w:val="clear" w:color="auto" w:fill="F2F9F8"/>
          </w:tcPr>
          <w:p>
            <w:pPr>
              <w:pStyle w:val="Compact"/>
              <w:spacing w:after="20" w:before="20" w:line="240" w:lineRule="auto"/>
              <w:jc w:val="left"/>
            </w:pPr>
            <w:r>
              <w:rPr>
                <w:sz w:val="17"/>
              </w:rPr>
              <w:t xml:space="preserve">Procédure, délai, service</w:t>
            </w:r>
            <w:r>
              <w:rPr>
                <w:sz w:val="17"/>
              </w:rPr>
              <w:t xml:space="preserve"> </w:t>
            </w:r>
            <w:r>
              <w:rPr>
                <w:sz w:val="17"/>
              </w:rPr>
              <w:t xml:space="preserve">compétent</w:t>
            </w:r>
          </w:p>
        </w:tc>
        <w:tc>
          <w:tcPr>
            <w:shd w:val="clear" w:color="auto" w:fill="F2F9F8"/>
          </w:tcPr>
          <w:p>
            <w:pPr>
              <w:pStyle w:val="Compact"/>
              <w:spacing w:after="20" w:before="20" w:line="240" w:lineRule="auto"/>
              <w:jc w:val="left"/>
            </w:pPr>
            <w:r>
              <w:rPr>
                <w:sz w:val="17"/>
              </w:rPr>
              <w:t xml:space="preserve">Bloquant</w:t>
            </w:r>
          </w:p>
        </w:tc>
      </w:tr>
      <w:tr>
        <w:tc>
          <w:tcPr/>
          <w:p>
            <w:pPr>
              <w:pStyle w:val="Compact"/>
              <w:spacing w:after="20" w:before="20" w:line="240" w:lineRule="auto"/>
              <w:jc w:val="left"/>
            </w:pPr>
            <w:r>
              <w:rPr>
                <w:sz w:val="17"/>
              </w:rPr>
              <w:t xml:space="preserve">Approbation et</w:t>
            </w:r>
            <w:r>
              <w:rPr>
                <w:sz w:val="17"/>
              </w:rPr>
              <w:t xml:space="preserve"> </w:t>
            </w:r>
            <w:r>
              <w:rPr>
                <w:sz w:val="17"/>
              </w:rPr>
              <w:t xml:space="preserve">version</w:t>
            </w:r>
          </w:p>
        </w:tc>
        <w:tc>
          <w:tcPr/>
          <w:p>
            <w:pPr>
              <w:pStyle w:val="Compact"/>
              <w:spacing w:after="20" w:before="20" w:line="240" w:lineRule="auto"/>
              <w:jc w:val="left"/>
            </w:pPr>
            <w:r>
              <w:rPr>
                <w:sz w:val="17"/>
              </w:rPr>
              <w:t xml:space="preserve">Rédacteur, valideur juridique,</w:t>
            </w:r>
            <w:r>
              <w:rPr>
                <w:sz w:val="17"/>
              </w:rPr>
              <w:t xml:space="preserve"> </w:t>
            </w:r>
            <w:r>
              <w:rPr>
                <w:sz w:val="17"/>
              </w:rPr>
              <w:t xml:space="preserve">approbateur, numéro de version</w:t>
            </w:r>
          </w:p>
        </w:tc>
        <w:tc>
          <w:tcPr/>
          <w:p>
            <w:pPr>
              <w:pStyle w:val="Compact"/>
              <w:spacing w:after="20" w:before="20" w:line="240" w:lineRule="auto"/>
              <w:jc w:val="left"/>
            </w:pPr>
            <w:r>
              <w:rPr>
                <w:sz w:val="17"/>
              </w:rPr>
              <w:t xml:space="preserve">Quatre yeux</w:t>
            </w:r>
            <w:r>
              <w:rPr>
                <w:sz w:val="17"/>
              </w:rPr>
              <w:t xml:space="preserve"> </w:t>
            </w:r>
            <w:r>
              <w:rPr>
                <w:sz w:val="17"/>
              </w:rPr>
              <w:t xml:space="preserve">obligatoires</w:t>
            </w:r>
          </w:p>
        </w:tc>
      </w:tr>
    </w:tbl>
    <w:bookmarkStart w:id="44" w:name="X82033f06f9088292ab8c0919e4e209e0ef138cc"/>
    <w:p>
      <w:pPr>
        <w:pStyle w:val="Heading3"/>
      </w:pPr>
      <w:r>
        <w:t xml:space="preserve">Registre des règles de recettes (Revenue Rule Registry) — modèle technique</w:t>
      </w:r>
    </w:p>
    <w:p>
      <w:pPr>
        <w:pStyle w:val="FirstParagraph"/>
      </w:pPr>
      <w:r>
        <w:t xml:space="preserve">Chaque champ de la fiche est porté par un attribut technique du registre, afin que la même règle soit lisible par le juriste et exécutable par le moteur.</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Champ de la fiche</w:t>
            </w:r>
          </w:p>
        </w:tc>
        <w:tc>
          <w:tcPr>
            <w:shd w:val="clear" w:color="auto" w:fill="1BA996"/>
          </w:tcPr>
          <w:p>
            <w:pPr>
              <w:pStyle w:val="Compact"/>
              <w:spacing w:after="20" w:before="20" w:line="240" w:lineRule="auto"/>
              <w:jc w:val="left"/>
            </w:pPr>
            <w:r>
              <w:rPr>
                <w:b/>
                <w:color w:val="FFFFFF"/>
                <w:sz w:val="17"/>
              </w:rPr>
              <w:t xml:space="preserve">Attribut technique</w:t>
            </w:r>
          </w:p>
        </w:tc>
      </w:tr>
      <w:tr>
        <w:tc>
          <w:tcPr/>
          <w:p>
            <w:pPr>
              <w:pStyle w:val="Compact"/>
              <w:spacing w:after="20" w:before="20" w:line="240" w:lineRule="auto"/>
              <w:jc w:val="left"/>
            </w:pPr>
            <w:r>
              <w:rPr>
                <w:sz w:val="17"/>
              </w:rPr>
              <w:t xml:space="preserve">Référence légale et article</w:t>
            </w:r>
          </w:p>
        </w:tc>
        <w:tc>
          <w:tcPr/>
          <w:p>
            <w:pPr>
              <w:pStyle w:val="Compact"/>
              <w:spacing w:after="20" w:before="20" w:line="240" w:lineRule="auto"/>
              <w:jc w:val="left"/>
            </w:pPr>
            <w:r>
              <w:rPr>
                <w:sz w:val="17"/>
              </w:rPr>
              <w:t xml:space="preserve">legal_reference, article</w:t>
            </w:r>
          </w:p>
        </w:tc>
      </w:tr>
      <w:tr>
        <w:tc>
          <w:tcPr>
            <w:shd w:val="clear" w:color="auto" w:fill="F2F9F8"/>
          </w:tcPr>
          <w:p>
            <w:pPr>
              <w:pStyle w:val="Compact"/>
              <w:spacing w:after="20" w:before="20" w:line="240" w:lineRule="auto"/>
              <w:jc w:val="left"/>
            </w:pPr>
            <w:r>
              <w:rPr>
                <w:sz w:val="17"/>
              </w:rPr>
              <w:t xml:space="preserve">Autorité compétente et administration</w:t>
            </w:r>
          </w:p>
        </w:tc>
        <w:tc>
          <w:tcPr>
            <w:shd w:val="clear" w:color="auto" w:fill="F2F9F8"/>
          </w:tcPr>
          <w:p>
            <w:pPr>
              <w:pStyle w:val="Compact"/>
              <w:spacing w:after="20" w:before="20" w:line="240" w:lineRule="auto"/>
              <w:jc w:val="left"/>
            </w:pPr>
            <w:r>
              <w:rPr>
                <w:sz w:val="17"/>
              </w:rPr>
              <w:t xml:space="preserve">authority, administrator</w:t>
            </w:r>
          </w:p>
        </w:tc>
      </w:tr>
      <w:tr>
        <w:tc>
          <w:tcPr/>
          <w:p>
            <w:pPr>
              <w:pStyle w:val="Compact"/>
              <w:spacing w:after="20" w:before="20" w:line="240" w:lineRule="auto"/>
              <w:jc w:val="left"/>
            </w:pPr>
            <w:r>
              <w:rPr>
                <w:sz w:val="17"/>
              </w:rPr>
              <w:t xml:space="preserve">Fait générateur</w:t>
            </w:r>
          </w:p>
        </w:tc>
        <w:tc>
          <w:tcPr/>
          <w:p>
            <w:pPr>
              <w:pStyle w:val="Compact"/>
              <w:spacing w:after="20" w:before="20" w:line="240" w:lineRule="auto"/>
              <w:jc w:val="left"/>
            </w:pPr>
            <w:r>
              <w:rPr>
                <w:sz w:val="17"/>
              </w:rPr>
              <w:t xml:space="preserve">taxable_event</w:t>
            </w:r>
          </w:p>
        </w:tc>
      </w:tr>
      <w:tr>
        <w:tc>
          <w:tcPr>
            <w:shd w:val="clear" w:color="auto" w:fill="F2F9F8"/>
          </w:tcPr>
          <w:p>
            <w:pPr>
              <w:pStyle w:val="Compact"/>
              <w:spacing w:after="20" w:before="20" w:line="240" w:lineRule="auto"/>
              <w:jc w:val="left"/>
            </w:pPr>
            <w:r>
              <w:rPr>
                <w:sz w:val="17"/>
              </w:rPr>
              <w:t xml:space="preserve">Catégorie d’assujetti</w:t>
            </w:r>
          </w:p>
        </w:tc>
        <w:tc>
          <w:tcPr>
            <w:shd w:val="clear" w:color="auto" w:fill="F2F9F8"/>
          </w:tcPr>
          <w:p>
            <w:pPr>
              <w:pStyle w:val="Compact"/>
              <w:spacing w:after="20" w:before="20" w:line="240" w:lineRule="auto"/>
              <w:jc w:val="left"/>
            </w:pPr>
            <w:r>
              <w:rPr>
                <w:sz w:val="17"/>
              </w:rPr>
              <w:t xml:space="preserve">liable_party</w:t>
            </w:r>
          </w:p>
        </w:tc>
      </w:tr>
      <w:tr>
        <w:tc>
          <w:tcPr/>
          <w:p>
            <w:pPr>
              <w:pStyle w:val="Compact"/>
              <w:spacing w:after="20" w:before="20" w:line="240" w:lineRule="auto"/>
              <w:jc w:val="left"/>
            </w:pPr>
            <w:r>
              <w:rPr>
                <w:sz w:val="17"/>
              </w:rPr>
              <w:t xml:space="preserve">Base de calcul et formule</w:t>
            </w:r>
          </w:p>
        </w:tc>
        <w:tc>
          <w:tcPr/>
          <w:p>
            <w:pPr>
              <w:pStyle w:val="Compact"/>
              <w:spacing w:after="20" w:before="20" w:line="240" w:lineRule="auto"/>
              <w:jc w:val="left"/>
            </w:pPr>
            <w:r>
              <w:rPr>
                <w:sz w:val="17"/>
              </w:rPr>
              <w:t xml:space="preserve">base, formula</w:t>
            </w:r>
          </w:p>
        </w:tc>
      </w:tr>
      <w:tr>
        <w:tc>
          <w:tcPr>
            <w:shd w:val="clear" w:color="auto" w:fill="F2F9F8"/>
          </w:tcPr>
          <w:p>
            <w:pPr>
              <w:pStyle w:val="Compact"/>
              <w:spacing w:after="20" w:before="20" w:line="240" w:lineRule="auto"/>
              <w:jc w:val="left"/>
            </w:pPr>
            <w:r>
              <w:rPr>
                <w:sz w:val="17"/>
              </w:rPr>
              <w:t xml:space="preserve">Taux ou tarif, devise, arrondi</w:t>
            </w:r>
          </w:p>
        </w:tc>
        <w:tc>
          <w:tcPr>
            <w:shd w:val="clear" w:color="auto" w:fill="F2F9F8"/>
          </w:tcPr>
          <w:p>
            <w:pPr>
              <w:pStyle w:val="Compact"/>
              <w:spacing w:after="20" w:before="20" w:line="240" w:lineRule="auto"/>
              <w:jc w:val="left"/>
            </w:pPr>
            <w:r>
              <w:rPr>
                <w:sz w:val="17"/>
              </w:rPr>
              <w:t xml:space="preserve">rate, currency, rounding</w:t>
            </w:r>
          </w:p>
        </w:tc>
      </w:tr>
      <w:tr>
        <w:tc>
          <w:tcPr/>
          <w:p>
            <w:pPr>
              <w:pStyle w:val="Compact"/>
              <w:spacing w:after="20" w:before="20" w:line="240" w:lineRule="auto"/>
              <w:jc w:val="left"/>
            </w:pPr>
            <w:r>
              <w:rPr>
                <w:sz w:val="17"/>
              </w:rPr>
              <w:t xml:space="preserve">Périodicité et échéance</w:t>
            </w:r>
          </w:p>
        </w:tc>
        <w:tc>
          <w:tcPr/>
          <w:p>
            <w:pPr>
              <w:pStyle w:val="Compact"/>
              <w:spacing w:after="20" w:before="20" w:line="240" w:lineRule="auto"/>
              <w:jc w:val="left"/>
            </w:pPr>
            <w:r>
              <w:rPr>
                <w:sz w:val="17"/>
              </w:rPr>
              <w:t xml:space="preserve">periodicity, due_rule</w:t>
            </w:r>
          </w:p>
        </w:tc>
      </w:tr>
      <w:tr>
        <w:tc>
          <w:tcPr>
            <w:shd w:val="clear" w:color="auto" w:fill="F2F9F8"/>
          </w:tcPr>
          <w:p>
            <w:pPr>
              <w:pStyle w:val="Compact"/>
              <w:spacing w:after="20" w:before="20" w:line="240" w:lineRule="auto"/>
              <w:jc w:val="left"/>
            </w:pPr>
            <w:r>
              <w:rPr>
                <w:sz w:val="17"/>
              </w:rPr>
              <w:t xml:space="preserve">Exonérations</w:t>
            </w:r>
          </w:p>
        </w:tc>
        <w:tc>
          <w:tcPr>
            <w:shd w:val="clear" w:color="auto" w:fill="F2F9F8"/>
          </w:tcPr>
          <w:p>
            <w:pPr>
              <w:pStyle w:val="Compact"/>
              <w:spacing w:after="20" w:before="20" w:line="240" w:lineRule="auto"/>
              <w:jc w:val="left"/>
            </w:pPr>
            <w:r>
              <w:rPr>
                <w:sz w:val="17"/>
              </w:rPr>
              <w:t xml:space="preserve">exemptions</w:t>
            </w:r>
          </w:p>
        </w:tc>
      </w:tr>
      <w:tr>
        <w:tc>
          <w:tcPr/>
          <w:p>
            <w:pPr>
              <w:pStyle w:val="Compact"/>
              <w:spacing w:after="20" w:before="20" w:line="240" w:lineRule="auto"/>
              <w:jc w:val="left"/>
            </w:pPr>
            <w:r>
              <w:rPr>
                <w:sz w:val="17"/>
              </w:rPr>
              <w:t xml:space="preserve">Pénalités</w:t>
            </w:r>
          </w:p>
        </w:tc>
        <w:tc>
          <w:tcPr/>
          <w:p>
            <w:pPr>
              <w:pStyle w:val="Compact"/>
              <w:spacing w:after="20" w:before="20" w:line="240" w:lineRule="auto"/>
              <w:jc w:val="left"/>
            </w:pPr>
            <w:r>
              <w:rPr>
                <w:sz w:val="17"/>
              </w:rPr>
              <w:t xml:space="preserve">penalties</w:t>
            </w:r>
          </w:p>
        </w:tc>
      </w:tr>
      <w:tr>
        <w:tc>
          <w:tcPr>
            <w:shd w:val="clear" w:color="auto" w:fill="F2F9F8"/>
          </w:tcPr>
          <w:p>
            <w:pPr>
              <w:pStyle w:val="Compact"/>
              <w:spacing w:after="20" w:before="20" w:line="240" w:lineRule="auto"/>
              <w:jc w:val="left"/>
            </w:pPr>
            <w:r>
              <w:rPr>
                <w:sz w:val="17"/>
              </w:rPr>
              <w:t xml:space="preserve">Compte public bénéficiaire</w:t>
            </w:r>
          </w:p>
        </w:tc>
        <w:tc>
          <w:tcPr>
            <w:shd w:val="clear" w:color="auto" w:fill="F2F9F8"/>
          </w:tcPr>
          <w:p>
            <w:pPr>
              <w:pStyle w:val="Compact"/>
              <w:spacing w:after="20" w:before="20" w:line="240" w:lineRule="auto"/>
              <w:jc w:val="left"/>
            </w:pPr>
            <w:r>
              <w:rPr>
                <w:sz w:val="17"/>
              </w:rPr>
              <w:t xml:space="preserve">beneficiary_account (référence au coffre des comptes approuvés, jamais saisie libre)</w:t>
            </w:r>
          </w:p>
        </w:tc>
      </w:tr>
      <w:tr>
        <w:tc>
          <w:tcPr/>
          <w:p>
            <w:pPr>
              <w:pStyle w:val="Compact"/>
              <w:spacing w:after="20" w:before="20" w:line="240" w:lineRule="auto"/>
              <w:jc w:val="left"/>
            </w:pPr>
            <w:r>
              <w:rPr>
                <w:sz w:val="17"/>
              </w:rPr>
              <w:t xml:space="preserve">Entrée en vigueur et fin</w:t>
            </w:r>
          </w:p>
        </w:tc>
        <w:tc>
          <w:tcPr/>
          <w:p>
            <w:pPr>
              <w:pStyle w:val="Compact"/>
              <w:spacing w:after="20" w:before="20" w:line="240" w:lineRule="auto"/>
              <w:jc w:val="left"/>
            </w:pPr>
            <w:r>
              <w:rPr>
                <w:sz w:val="17"/>
              </w:rPr>
              <w:t xml:space="preserve">effective_from, effective_to</w:t>
            </w:r>
          </w:p>
        </w:tc>
      </w:tr>
      <w:tr>
        <w:tc>
          <w:tcPr>
            <w:shd w:val="clear" w:color="auto" w:fill="F2F9F8"/>
          </w:tcPr>
          <w:p>
            <w:pPr>
              <w:pStyle w:val="Compact"/>
              <w:spacing w:after="20" w:before="20" w:line="240" w:lineRule="auto"/>
              <w:jc w:val="left"/>
            </w:pPr>
            <w:r>
              <w:rPr>
                <w:sz w:val="17"/>
              </w:rPr>
              <w:t xml:space="preserve">Voie de recours</w:t>
            </w:r>
          </w:p>
        </w:tc>
        <w:tc>
          <w:tcPr>
            <w:shd w:val="clear" w:color="auto" w:fill="F2F9F8"/>
          </w:tcPr>
          <w:p>
            <w:pPr>
              <w:pStyle w:val="Compact"/>
              <w:spacing w:after="20" w:before="20" w:line="240" w:lineRule="auto"/>
              <w:jc w:val="left"/>
            </w:pPr>
            <w:r>
              <w:rPr>
                <w:sz w:val="17"/>
              </w:rPr>
              <w:t xml:space="preserve">appeal_path</w:t>
            </w:r>
          </w:p>
        </w:tc>
      </w:tr>
      <w:tr>
        <w:tc>
          <w:tcPr/>
          <w:p>
            <w:pPr>
              <w:pStyle w:val="Compact"/>
              <w:spacing w:after="20" w:before="20" w:line="240" w:lineRule="auto"/>
              <w:jc w:val="left"/>
            </w:pPr>
            <w:r>
              <w:rPr>
                <w:sz w:val="17"/>
              </w:rPr>
              <w:t xml:space="preserve">Approbation et version</w:t>
            </w:r>
          </w:p>
        </w:tc>
        <w:tc>
          <w:tcPr/>
          <w:p>
            <w:pPr>
              <w:pStyle w:val="Compact"/>
              <w:spacing w:after="20" w:before="20" w:line="240" w:lineRule="auto"/>
              <w:jc w:val="left"/>
            </w:pPr>
            <w:r>
              <w:rPr>
                <w:sz w:val="17"/>
              </w:rPr>
              <w:t xml:space="preserve">approval_state, version</w:t>
            </w:r>
          </w:p>
        </w:tc>
      </w:tr>
    </w:tbl>
    <w:p>
      <w:pPr>
        <w:pStyle w:val="BodyText"/>
      </w:pPr>
      <w:r>
        <w:rPr>
          <w:b/>
          <w:bCs/>
        </w:rPr>
        <w:t xml:space="preserve">Cycle de vie d’une règle.</w:t>
      </w:r>
      <w:r>
        <w:t xml:space="preserve"> </w:t>
      </w:r>
      <w:r>
        <w:t xml:space="preserve">BROUILLON (DRAFT) → validation juridique en maker-checker → validation financière → APPROUVÉE → publication ou entrée en vigueur requise → ACTIVE à compter de effective_from → EXPIRÉE ou ABROGÉE. Une règle en brouillon, ou approuvée mais pas encore en vigueur, n’affecte aucune obligation. Tout changement légal donne lieu à une nouvelle version et à un recalcul contrôlé, avec historique complet (§ 11.2).</w:t>
      </w:r>
    </w:p>
    <w:p>
      <w:pPr>
        <w:pStyle w:val="BodyText"/>
      </w:pPr>
      <w:r>
        <w:rPr>
          <w:b/>
          <w:bCs/>
        </w:rPr>
        <w:t xml:space="preserve">Exigences complémentaires du registre.</w:t>
      </w:r>
      <w:r>
        <w:t xml:space="preserve"> </w:t>
      </w:r>
      <w:r>
        <w:t xml:space="preserve">Chaque recette porte un</w:t>
      </w:r>
      <w:r>
        <w:t xml:space="preserve"> </w:t>
      </w:r>
      <w:r>
        <w:rPr>
          <w:b/>
          <w:bCs/>
        </w:rPr>
        <w:t xml:space="preserve">code stable et non réutilisable</w:t>
      </w:r>
      <w:r>
        <w:t xml:space="preserve">. Le statut d’une règle suit le cycle : brouillon, revue, approuvée, publiée, suspendue, archivée. Une règle n’entre en vigueur qu’après quatre contrôles : juridique, fiscal, financier et publication par une autorité distincte. Le système bloque toute rétroactivité non autorisée et conserve la version appliquée à chaque liquidation ; une règle expirée ne peut produire aucune nouvelle obligation.</w:t>
      </w:r>
    </w:p>
    <w:bookmarkEnd w:id="44"/>
    <w:bookmarkEnd w:id="45"/>
    <w:bookmarkStart w:id="46" w:name="séparation-des-compétences"/>
    <w:p>
      <w:pPr>
        <w:pStyle w:val="Heading2"/>
      </w:pPr>
      <w:r>
        <w:t xml:space="preserve">6.3 Séparation des compétences</w:t>
      </w:r>
    </w:p>
    <w:p>
      <w:pPr>
        <w:pStyle w:val="FirstParagraph"/>
      </w:pPr>
      <w:r>
        <w:t xml:space="preserve">Le référentiel distingue explicitement, pour chaque ligne : recette</w:t>
      </w:r>
      <w:r>
        <w:t xml:space="preserve"> </w:t>
      </w:r>
      <w:r>
        <w:t xml:space="preserve">exclusivement provinciale ; recette d'intérêt commun avec clé de</w:t>
      </w:r>
      <w:r>
        <w:t xml:space="preserve"> </w:t>
      </w:r>
      <w:r>
        <w:t xml:space="preserve">répartition ; recette relevant des entités territoriales décentralisées</w:t>
      </w:r>
      <w:r>
        <w:t xml:space="preserve"> </w:t>
      </w:r>
      <w:r>
        <w:t xml:space="preserve">; recette du pouvoir central ; recette nécessitant un acte nouveau. Le</w:t>
      </w:r>
      <w:r>
        <w:t xml:space="preserve"> </w:t>
      </w:r>
      <w:r>
        <w:t xml:space="preserve">moteur de règles refuse toute obligation qui reproduirait, pour un même</w:t>
      </w:r>
      <w:r>
        <w:t xml:space="preserve"> </w:t>
      </w:r>
      <w:r>
        <w:t xml:space="preserve">fait générateur et un même redevable, une obligation déjà portée par une</w:t>
      </w:r>
      <w:r>
        <w:t xml:space="preserve"> </w:t>
      </w:r>
      <w:r>
        <w:t xml:space="preserve">autre administration.</w:t>
      </w:r>
    </w:p>
    <w:p>
      <w:pPr>
        <w:pStyle w:val="BlockText"/>
      </w:pPr>
      <w:r>
        <w:rPr>
          <w:b/>
          <w:bCs/>
        </w:rPr>
        <w:t xml:space="preserve">Impôt personnel minimum.</w:t>
      </w:r>
      <w:r>
        <w:t xml:space="preserve"> </w:t>
      </w:r>
      <w:r>
        <w:t xml:space="preserve">L'ancien impôt personnel minimum relève</w:t>
      </w:r>
      <w:r>
        <w:t xml:space="preserve"> </w:t>
      </w:r>
      <w:r>
        <w:t xml:space="preserve">désormais de la commune ou de la chefferie. Il n'est pas activé dans</w:t>
      </w:r>
      <w:r>
        <w:t xml:space="preserve"> </w:t>
      </w:r>
      <w:r>
        <w:t xml:space="preserve">le périmètre provincial de MOSOLO. Le modèle prévoit en revanche</w:t>
      </w:r>
      <w:r>
        <w:t xml:space="preserve"> </w:t>
      </w:r>
      <w:r>
        <w:t xml:space="preserve">l'accueil ultérieur des recettes communales dans un espace distinct,</w:t>
      </w:r>
      <w:r>
        <w:t xml:space="preserve"> </w:t>
      </w:r>
      <w:r>
        <w:t xml:space="preserve">afin que le Kinois conserve un compte unique tandis que chaque</w:t>
      </w:r>
      <w:r>
        <w:t xml:space="preserve"> </w:t>
      </w:r>
      <w:r>
        <w:t xml:space="preserve">administration ne voit que ses propres recettes.</w:t>
      </w:r>
    </w:p>
    <w:bookmarkEnd w:id="46"/>
    <w:bookmarkStart w:id="47" w:name="X772323bfd792dd53bf107f1f1834f272f0bd60a"/>
    <w:p>
      <w:pPr>
        <w:pStyle w:val="Heading2"/>
      </w:pPr>
      <w:r>
        <w:t xml:space="preserve">6.4 Points juridiques à trancher avant la production</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062"/>
        <w:gridCol w:w="2006"/>
        <w:gridCol w:w="2640"/>
      </w:tblGrid>
      <w:tr>
        <w:trPr>
          <w:tblHeader w:val="true"/>
          <w:tblHeader/>
        </w:trPr>
        <w:tc>
          <w:tcPr>
            <w:shd w:val="clear" w:color="auto" w:fill="1BA996"/>
          </w:tcPr>
          <w:p>
            <w:pPr>
              <w:pStyle w:val="Compact"/>
              <w:spacing w:after="20" w:before="20" w:line="240" w:lineRule="auto"/>
              <w:jc w:val="left"/>
            </w:pPr>
            <w:r>
              <w:rPr>
                <w:b/>
                <w:bCs/>
                <w:color w:val="FFFFFF"/>
                <w:sz w:val="17"/>
              </w:rPr>
              <w:t xml:space="preserve">Question</w:t>
            </w:r>
          </w:p>
        </w:tc>
        <w:tc>
          <w:tcPr>
            <w:shd w:val="clear" w:color="auto" w:fill="1BA996"/>
          </w:tcPr>
          <w:p>
            <w:pPr>
              <w:pStyle w:val="Compact"/>
              <w:spacing w:after="20" w:before="20" w:line="240" w:lineRule="auto"/>
              <w:jc w:val="left"/>
            </w:pPr>
            <w:r>
              <w:rPr>
                <w:b/>
                <w:bCs/>
                <w:color w:val="FFFFFF"/>
                <w:sz w:val="17"/>
              </w:rPr>
              <w:t xml:space="preserve">Autorité</w:t>
            </w:r>
          </w:p>
        </w:tc>
        <w:tc>
          <w:tcPr>
            <w:shd w:val="clear" w:color="auto" w:fill="1BA996"/>
          </w:tcPr>
          <w:p>
            <w:pPr>
              <w:pStyle w:val="Compact"/>
              <w:spacing w:after="20" w:before="20" w:line="240" w:lineRule="auto"/>
              <w:jc w:val="left"/>
            </w:pPr>
            <w:r>
              <w:rPr>
                <w:b/>
                <w:bCs/>
                <w:color w:val="FFFFFF"/>
                <w:sz w:val="17"/>
              </w:rPr>
              <w:t xml:space="preserve">Effet si non</w:t>
            </w:r>
            <w:r>
              <w:rPr>
                <w:b/>
                <w:bCs/>
                <w:color w:val="FFFFFF"/>
                <w:sz w:val="17"/>
              </w:rPr>
              <w:t xml:space="preserve"> </w:t>
            </w:r>
            <w:r>
              <w:rPr>
                <w:b/>
                <w:bCs/>
                <w:color w:val="FFFFFF"/>
                <w:sz w:val="17"/>
              </w:rPr>
              <w:t xml:space="preserve">tranchée</w:t>
            </w:r>
          </w:p>
        </w:tc>
      </w:tr>
      <w:tr>
        <w:tc>
          <w:tcPr/>
          <w:p>
            <w:pPr>
              <w:pStyle w:val="Compact"/>
              <w:spacing w:after="20" w:before="20" w:line="240" w:lineRule="auto"/>
              <w:jc w:val="left"/>
            </w:pPr>
            <w:r>
              <w:rPr>
                <w:sz w:val="17"/>
              </w:rPr>
              <w:t xml:space="preserve">Statut consolidé des textes</w:t>
            </w:r>
            <w:r>
              <w:rPr>
                <w:sz w:val="17"/>
              </w:rPr>
              <w:t xml:space="preserve"> </w:t>
            </w:r>
            <w:r>
              <w:rPr>
                <w:sz w:val="17"/>
              </w:rPr>
              <w:t xml:space="preserve">fiscaux provinciaux après</w:t>
            </w:r>
            <w:r>
              <w:rPr>
                <w:sz w:val="17"/>
              </w:rPr>
              <w:t xml:space="preserve"> </w:t>
            </w:r>
            <w:r>
              <w:rPr>
                <w:sz w:val="17"/>
              </w:rPr>
              <w:t xml:space="preserve">18/004</w:t>
            </w:r>
          </w:p>
        </w:tc>
        <w:tc>
          <w:tcPr/>
          <w:p>
            <w:pPr>
              <w:pStyle w:val="Compact"/>
              <w:spacing w:after="20" w:before="20" w:line="240" w:lineRule="auto"/>
              <w:jc w:val="left"/>
            </w:pPr>
            <w:r>
              <w:rPr>
                <w:sz w:val="17"/>
              </w:rPr>
              <w:t xml:space="preserve">Service juridique</w:t>
            </w:r>
            <w:r>
              <w:rPr>
                <w:sz w:val="17"/>
              </w:rPr>
              <w:t xml:space="preserve"> </w:t>
            </w:r>
            <w:r>
              <w:rPr>
                <w:sz w:val="17"/>
              </w:rPr>
              <w:t xml:space="preserve">provincial</w:t>
            </w:r>
          </w:p>
        </w:tc>
        <w:tc>
          <w:tcPr/>
          <w:p>
            <w:pPr>
              <w:pStyle w:val="Compact"/>
              <w:spacing w:after="20" w:before="20" w:line="240" w:lineRule="auto"/>
              <w:jc w:val="left"/>
            </w:pPr>
            <w:r>
              <w:rPr>
                <w:sz w:val="17"/>
              </w:rPr>
              <w:t xml:space="preserve">Risque d'appuyer une</w:t>
            </w:r>
            <w:r>
              <w:rPr>
                <w:sz w:val="17"/>
              </w:rPr>
              <w:t xml:space="preserve"> </w:t>
            </w:r>
            <w:r>
              <w:rPr>
                <w:sz w:val="17"/>
              </w:rPr>
              <w:t xml:space="preserve">liquidation sur un texte</w:t>
            </w:r>
            <w:r>
              <w:rPr>
                <w:sz w:val="17"/>
              </w:rPr>
              <w:t xml:space="preserve"> </w:t>
            </w:r>
            <w:r>
              <w:rPr>
                <w:sz w:val="17"/>
              </w:rPr>
              <w:t xml:space="preserve">abrogé</w:t>
            </w:r>
          </w:p>
        </w:tc>
      </w:tr>
      <w:tr>
        <w:tc>
          <w:tcPr>
            <w:shd w:val="clear" w:color="auto" w:fill="F2F9F8"/>
          </w:tcPr>
          <w:p>
            <w:pPr>
              <w:pStyle w:val="Compact"/>
              <w:spacing w:after="20" w:before="20" w:line="240" w:lineRule="auto"/>
              <w:jc w:val="left"/>
            </w:pPr>
            <w:r>
              <w:rPr>
                <w:sz w:val="17"/>
              </w:rPr>
              <w:t xml:space="preserve">Taux IRL applicables et</w:t>
            </w:r>
            <w:r>
              <w:rPr>
                <w:sz w:val="17"/>
              </w:rPr>
              <w:t xml:space="preserve"> </w:t>
            </w:r>
            <w:r>
              <w:rPr>
                <w:sz w:val="17"/>
              </w:rPr>
              <w:t xml:space="preserve">retenue par rang de localité</w:t>
            </w:r>
          </w:p>
        </w:tc>
        <w:tc>
          <w:tcPr>
            <w:shd w:val="clear" w:color="auto" w:fill="F2F9F8"/>
          </w:tcPr>
          <w:p>
            <w:pPr>
              <w:pStyle w:val="Compact"/>
              <w:spacing w:after="20" w:before="20" w:line="240" w:lineRule="auto"/>
              <w:jc w:val="left"/>
            </w:pPr>
            <w:r>
              <w:rPr>
                <w:sz w:val="17"/>
              </w:rPr>
              <w:t xml:space="preserve">Ministère</w:t>
            </w:r>
            <w:r>
              <w:rPr>
                <w:sz w:val="17"/>
              </w:rPr>
              <w:t xml:space="preserve"> </w:t>
            </w:r>
            <w:r>
              <w:rPr>
                <w:sz w:val="17"/>
              </w:rPr>
              <w:t xml:space="preserve">provincial des</w:t>
            </w:r>
            <w:r>
              <w:rPr>
                <w:sz w:val="17"/>
              </w:rPr>
              <w:t xml:space="preserve"> </w:t>
            </w:r>
            <w:r>
              <w:rPr>
                <w:sz w:val="17"/>
              </w:rPr>
              <w:t xml:space="preserve">Finances</w:t>
            </w:r>
          </w:p>
        </w:tc>
        <w:tc>
          <w:tcPr>
            <w:shd w:val="clear" w:color="auto" w:fill="F2F9F8"/>
          </w:tcPr>
          <w:p>
            <w:pPr>
              <w:pStyle w:val="Compact"/>
              <w:spacing w:after="20" w:before="20" w:line="240" w:lineRule="auto"/>
              <w:jc w:val="left"/>
            </w:pPr>
            <w:r>
              <w:rPr>
                <w:sz w:val="17"/>
              </w:rPr>
              <w:t xml:space="preserve">Liquidations erronées et</w:t>
            </w:r>
            <w:r>
              <w:rPr>
                <w:sz w:val="17"/>
              </w:rPr>
              <w:t xml:space="preserve"> </w:t>
            </w:r>
            <w:r>
              <w:rPr>
                <w:sz w:val="17"/>
              </w:rPr>
              <w:t xml:space="preserve">contentieux de masse</w:t>
            </w:r>
          </w:p>
        </w:tc>
      </w:tr>
      <w:tr>
        <w:tc>
          <w:tcPr/>
          <w:p>
            <w:pPr>
              <w:pStyle w:val="Compact"/>
              <w:spacing w:after="20" w:before="20" w:line="240" w:lineRule="auto"/>
              <w:jc w:val="left"/>
            </w:pPr>
            <w:r>
              <w:rPr>
                <w:sz w:val="17"/>
              </w:rPr>
              <w:t xml:space="preserve">Valeur juridique de la</w:t>
            </w:r>
            <w:r>
              <w:rPr>
                <w:sz w:val="17"/>
              </w:rPr>
              <w:t xml:space="preserve"> </w:t>
            </w:r>
            <w:r>
              <w:rPr>
                <w:sz w:val="17"/>
              </w:rPr>
              <w:t xml:space="preserve">quittance électronique et de</w:t>
            </w:r>
            <w:r>
              <w:rPr>
                <w:sz w:val="17"/>
              </w:rPr>
              <w:t xml:space="preserve"> </w:t>
            </w:r>
            <w:r>
              <w:rPr>
                <w:sz w:val="17"/>
              </w:rPr>
              <w:t xml:space="preserve">la signature</w:t>
            </w:r>
          </w:p>
        </w:tc>
        <w:tc>
          <w:tcPr/>
          <w:p>
            <w:pPr>
              <w:pStyle w:val="Compact"/>
              <w:spacing w:after="20" w:before="20" w:line="240" w:lineRule="auto"/>
              <w:jc w:val="left"/>
            </w:pPr>
            <w:r>
              <w:rPr>
                <w:sz w:val="17"/>
              </w:rPr>
              <w:t xml:space="preserve">Services</w:t>
            </w:r>
            <w:r>
              <w:rPr>
                <w:sz w:val="17"/>
              </w:rPr>
              <w:t xml:space="preserve"> </w:t>
            </w:r>
            <w:r>
              <w:rPr>
                <w:sz w:val="17"/>
              </w:rPr>
              <w:t xml:space="preserve">juridiques et Code</w:t>
            </w:r>
            <w:r>
              <w:rPr>
                <w:sz w:val="17"/>
              </w:rPr>
              <w:t xml:space="preserve"> </w:t>
            </w:r>
            <w:r>
              <w:rPr>
                <w:sz w:val="17"/>
              </w:rPr>
              <w:t xml:space="preserve">du numérique</w:t>
            </w:r>
          </w:p>
        </w:tc>
        <w:tc>
          <w:tcPr/>
          <w:p>
            <w:pPr>
              <w:pStyle w:val="Compact"/>
              <w:spacing w:after="20" w:before="20" w:line="240" w:lineRule="auto"/>
              <w:jc w:val="left"/>
            </w:pPr>
            <w:r>
              <w:rPr>
                <w:sz w:val="17"/>
              </w:rPr>
              <w:t xml:space="preserve">Contestation de la</w:t>
            </w:r>
            <w:r>
              <w:rPr>
                <w:sz w:val="17"/>
              </w:rPr>
              <w:t xml:space="preserve"> </w:t>
            </w:r>
            <w:r>
              <w:rPr>
                <w:sz w:val="17"/>
              </w:rPr>
              <w:t xml:space="preserve">preuve de paiement</w:t>
            </w:r>
          </w:p>
        </w:tc>
      </w:tr>
      <w:tr>
        <w:tc>
          <w:tcPr>
            <w:shd w:val="clear" w:color="auto" w:fill="F2F9F8"/>
          </w:tcPr>
          <w:p>
            <w:pPr>
              <w:pStyle w:val="Compact"/>
              <w:spacing w:after="20" w:before="20" w:line="240" w:lineRule="auto"/>
              <w:jc w:val="left"/>
            </w:pPr>
            <w:r>
              <w:rPr>
                <w:sz w:val="17"/>
              </w:rPr>
              <w:t xml:space="preserve">Base légale des échéanciers</w:t>
            </w:r>
            <w:r>
              <w:rPr>
                <w:sz w:val="17"/>
              </w:rPr>
              <w:t xml:space="preserve"> </w:t>
            </w:r>
            <w:r>
              <w:rPr>
                <w:sz w:val="17"/>
              </w:rPr>
              <w:t xml:space="preserve">de paiement par Mobile Money</w:t>
            </w:r>
          </w:p>
        </w:tc>
        <w:tc>
          <w:tcPr>
            <w:shd w:val="clear" w:color="auto" w:fill="F2F9F8"/>
          </w:tcPr>
          <w:p>
            <w:pPr>
              <w:pStyle w:val="Compact"/>
              <w:spacing w:after="20" w:before="20" w:line="240" w:lineRule="auto"/>
              <w:jc w:val="left"/>
            </w:pPr>
            <w:r>
              <w:rPr>
                <w:sz w:val="17"/>
              </w:rPr>
              <w:t xml:space="preserve">Assemblée</w:t>
            </w:r>
            <w:r>
              <w:rPr>
                <w:sz w:val="17"/>
              </w:rPr>
              <w:t xml:space="preserve"> </w:t>
            </w:r>
            <w:r>
              <w:rPr>
                <w:sz w:val="17"/>
              </w:rPr>
              <w:t xml:space="preserve">provinciale ou</w:t>
            </w:r>
            <w:r>
              <w:rPr>
                <w:sz w:val="17"/>
              </w:rPr>
              <w:t xml:space="preserve"> </w:t>
            </w:r>
            <w:r>
              <w:rPr>
                <w:sz w:val="17"/>
              </w:rPr>
              <w:t xml:space="preserve">arrêté</w:t>
            </w:r>
          </w:p>
        </w:tc>
        <w:tc>
          <w:tcPr>
            <w:shd w:val="clear" w:color="auto" w:fill="F2F9F8"/>
          </w:tcPr>
          <w:p>
            <w:pPr>
              <w:pStyle w:val="Compact"/>
              <w:spacing w:after="20" w:before="20" w:line="240" w:lineRule="auto"/>
              <w:jc w:val="left"/>
            </w:pPr>
            <w:r>
              <w:rPr>
                <w:sz w:val="17"/>
              </w:rPr>
              <w:t xml:space="preserve">Impossible de proposer</w:t>
            </w:r>
            <w:r>
              <w:rPr>
                <w:sz w:val="17"/>
              </w:rPr>
              <w:t xml:space="preserve"> </w:t>
            </w:r>
            <w:r>
              <w:rPr>
                <w:sz w:val="17"/>
              </w:rPr>
              <w:t xml:space="preserve">le paiement fractionné</w:t>
            </w:r>
          </w:p>
        </w:tc>
      </w:tr>
      <w:tr>
        <w:tc>
          <w:tcPr/>
          <w:p>
            <w:pPr>
              <w:pStyle w:val="Compact"/>
              <w:spacing w:after="20" w:before="20" w:line="240" w:lineRule="auto"/>
              <w:jc w:val="left"/>
            </w:pPr>
            <w:r>
              <w:rPr>
                <w:sz w:val="17"/>
              </w:rPr>
              <w:t xml:space="preserve">Conditions de partage de</w:t>
            </w:r>
            <w:r>
              <w:rPr>
                <w:sz w:val="17"/>
              </w:rPr>
              <w:t xml:space="preserve"> </w:t>
            </w:r>
            <w:r>
              <w:rPr>
                <w:sz w:val="17"/>
              </w:rPr>
              <w:t xml:space="preserve">données avec les</w:t>
            </w:r>
            <w:r>
              <w:rPr>
                <w:sz w:val="17"/>
              </w:rPr>
              <w:t xml:space="preserve"> </w:t>
            </w:r>
            <w:r>
              <w:rPr>
                <w:sz w:val="17"/>
              </w:rPr>
              <w:t xml:space="preserve">distributeurs d'énergie,</w:t>
            </w:r>
            <w:r>
              <w:rPr>
                <w:sz w:val="17"/>
              </w:rPr>
              <w:t xml:space="preserve"> </w:t>
            </w:r>
            <w:r>
              <w:rPr>
                <w:sz w:val="17"/>
              </w:rPr>
              <w:t xml:space="preserve">d'eau et les opérateurs</w:t>
            </w:r>
          </w:p>
        </w:tc>
        <w:tc>
          <w:tcPr/>
          <w:p>
            <w:pPr>
              <w:pStyle w:val="Compact"/>
              <w:spacing w:after="20" w:before="20" w:line="240" w:lineRule="auto"/>
              <w:jc w:val="left"/>
            </w:pPr>
            <w:r>
              <w:rPr>
                <w:sz w:val="17"/>
              </w:rPr>
              <w:t xml:space="preserve">Autorité de</w:t>
            </w:r>
            <w:r>
              <w:rPr>
                <w:sz w:val="17"/>
              </w:rPr>
              <w:t xml:space="preserve"> </w:t>
            </w:r>
            <w:r>
              <w:rPr>
                <w:sz w:val="17"/>
              </w:rPr>
              <w:t xml:space="preserve">protection des</w:t>
            </w:r>
            <w:r>
              <w:rPr>
                <w:sz w:val="17"/>
              </w:rPr>
              <w:t xml:space="preserve"> </w:t>
            </w:r>
            <w:r>
              <w:rPr>
                <w:sz w:val="17"/>
              </w:rPr>
              <w:t xml:space="preserve">données et</w:t>
            </w:r>
            <w:r>
              <w:rPr>
                <w:sz w:val="17"/>
              </w:rPr>
              <w:t xml:space="preserve"> </w:t>
            </w:r>
            <w:r>
              <w:rPr>
                <w:sz w:val="17"/>
              </w:rPr>
              <w:t xml:space="preserve">services</w:t>
            </w:r>
            <w:r>
              <w:rPr>
                <w:sz w:val="17"/>
              </w:rPr>
              <w:t xml:space="preserve"> </w:t>
            </w:r>
            <w:r>
              <w:rPr>
                <w:sz w:val="17"/>
              </w:rPr>
              <w:t xml:space="preserve">juridiques</w:t>
            </w:r>
          </w:p>
        </w:tc>
        <w:tc>
          <w:tcPr/>
          <w:p>
            <w:pPr>
              <w:pStyle w:val="Compact"/>
              <w:spacing w:after="20" w:before="20" w:line="240" w:lineRule="auto"/>
              <w:jc w:val="left"/>
            </w:pPr>
            <w:r>
              <w:rPr>
                <w:sz w:val="17"/>
              </w:rPr>
              <w:t xml:space="preserve">Blocage du moteur de</w:t>
            </w:r>
            <w:r>
              <w:rPr>
                <w:sz w:val="17"/>
              </w:rPr>
              <w:t xml:space="preserve"> </w:t>
            </w:r>
            <w:r>
              <w:rPr>
                <w:sz w:val="17"/>
              </w:rPr>
              <w:t xml:space="preserve">recoupement</w:t>
            </w:r>
          </w:p>
        </w:tc>
      </w:tr>
      <w:tr>
        <w:tc>
          <w:tcPr>
            <w:shd w:val="clear" w:color="auto" w:fill="F2F9F8"/>
          </w:tcPr>
          <w:p>
            <w:pPr>
              <w:pStyle w:val="Compact"/>
              <w:spacing w:after="20" w:before="20" w:line="240" w:lineRule="auto"/>
              <w:jc w:val="left"/>
            </w:pPr>
            <w:r>
              <w:rPr>
                <w:sz w:val="17"/>
              </w:rPr>
              <w:t xml:space="preserve">Régime des incitations de</w:t>
            </w:r>
            <w:r>
              <w:rPr>
                <w:sz w:val="17"/>
              </w:rPr>
              <w:t xml:space="preserve"> </w:t>
            </w:r>
            <w:r>
              <w:rPr>
                <w:sz w:val="17"/>
              </w:rPr>
              <w:t xml:space="preserve">performance des agents</w:t>
            </w:r>
          </w:p>
        </w:tc>
        <w:tc>
          <w:tcPr>
            <w:shd w:val="clear" w:color="auto" w:fill="F2F9F8"/>
          </w:tcPr>
          <w:p>
            <w:pPr>
              <w:pStyle w:val="Compact"/>
              <w:spacing w:after="20" w:before="20" w:line="240" w:lineRule="auto"/>
              <w:jc w:val="left"/>
            </w:pPr>
            <w:r>
              <w:rPr>
                <w:sz w:val="17"/>
              </w:rPr>
              <w:t xml:space="preserve">LOFIP, édit,</w:t>
            </w:r>
            <w:r>
              <w:rPr>
                <w:sz w:val="17"/>
              </w:rPr>
              <w:t xml:space="preserve"> </w:t>
            </w:r>
            <w:r>
              <w:rPr>
                <w:sz w:val="17"/>
              </w:rPr>
              <w:t xml:space="preserve">arrêté</w:t>
            </w:r>
          </w:p>
        </w:tc>
        <w:tc>
          <w:tcPr>
            <w:shd w:val="clear" w:color="auto" w:fill="F2F9F8"/>
          </w:tcPr>
          <w:p>
            <w:pPr>
              <w:pStyle w:val="Compact"/>
              <w:spacing w:after="20" w:before="20" w:line="240" w:lineRule="auto"/>
              <w:jc w:val="left"/>
            </w:pPr>
            <w:r>
              <w:rPr>
                <w:sz w:val="17"/>
              </w:rPr>
              <w:t xml:space="preserve">Risque de rémunération</w:t>
            </w:r>
            <w:r>
              <w:rPr>
                <w:sz w:val="17"/>
              </w:rPr>
              <w:t xml:space="preserve"> </w:t>
            </w:r>
            <w:r>
              <w:rPr>
                <w:sz w:val="17"/>
              </w:rPr>
              <w:t xml:space="preserve">irrégulière sur recettes</w:t>
            </w:r>
            <w:r>
              <w:rPr>
                <w:sz w:val="17"/>
              </w:rPr>
              <w:t xml:space="preserve"> </w:t>
            </w:r>
            <w:r>
              <w:rPr>
                <w:sz w:val="17"/>
              </w:rPr>
              <w:t xml:space="preserve">publiques</w:t>
            </w:r>
          </w:p>
        </w:tc>
      </w:tr>
      <w:tr>
        <w:tc>
          <w:tcPr/>
          <w:p>
            <w:pPr>
              <w:pStyle w:val="Compact"/>
              <w:spacing w:after="20" w:before="20" w:line="240" w:lineRule="auto"/>
              <w:jc w:val="left"/>
            </w:pPr>
            <w:r>
              <w:rPr>
                <w:sz w:val="17"/>
              </w:rPr>
              <w:t xml:space="preserve">Habilitation des agrégateurs</w:t>
            </w:r>
            <w:r>
              <w:rPr>
                <w:sz w:val="17"/>
              </w:rPr>
              <w:t xml:space="preserve"> </w:t>
            </w:r>
            <w:r>
              <w:rPr>
                <w:sz w:val="17"/>
              </w:rPr>
              <w:t xml:space="preserve">de paiement</w:t>
            </w:r>
          </w:p>
        </w:tc>
        <w:tc>
          <w:tcPr/>
          <w:p>
            <w:pPr>
              <w:pStyle w:val="Compact"/>
              <w:spacing w:after="20" w:before="20" w:line="240" w:lineRule="auto"/>
              <w:jc w:val="left"/>
            </w:pPr>
            <w:r>
              <w:rPr>
                <w:sz w:val="17"/>
              </w:rPr>
              <w:t xml:space="preserve">Banque Centrale du</w:t>
            </w:r>
            <w:r>
              <w:rPr>
                <w:sz w:val="17"/>
              </w:rPr>
              <w:t xml:space="preserve"> </w:t>
            </w:r>
            <w:r>
              <w:rPr>
                <w:sz w:val="17"/>
              </w:rPr>
              <w:t xml:space="preserve">Congo</w:t>
            </w:r>
          </w:p>
        </w:tc>
        <w:tc>
          <w:tcPr/>
          <w:p>
            <w:pPr>
              <w:pStyle w:val="Compact"/>
              <w:spacing w:after="20" w:before="20" w:line="240" w:lineRule="auto"/>
              <w:jc w:val="left"/>
            </w:pPr>
            <w:r>
              <w:rPr>
                <w:sz w:val="17"/>
              </w:rPr>
              <w:t xml:space="preserve">Irrégularité du circuit</w:t>
            </w:r>
            <w:r>
              <w:rPr>
                <w:sz w:val="17"/>
              </w:rPr>
              <w:t xml:space="preserve"> </w:t>
            </w:r>
            <w:r>
              <w:rPr>
                <w:sz w:val="17"/>
              </w:rPr>
              <w:t xml:space="preserve">d'encaissement</w:t>
            </w:r>
          </w:p>
        </w:tc>
      </w:tr>
    </w:tbl>
    <w:bookmarkEnd w:id="47"/>
    <w:bookmarkEnd w:id="48"/>
    <w:bookmarkStart w:id="54" w:name="paysage-des-recettes-provinciales"/>
    <w:p>
      <w:pPr>
        <w:pStyle w:val="Heading1"/>
      </w:pPr>
      <w:r>
        <w:t xml:space="preserve">7. Paysage des recettes provinciales</w:t>
      </w:r>
    </w:p>
    <w:p>
      <w:pPr>
        <w:pStyle w:val="FirstParagraph"/>
      </w:pPr>
      <w:r>
        <w:t xml:space="preserve">Les catégories ci-dessous sont structurées pour le paramétrage, sous</w:t>
      </w:r>
      <w:r>
        <w:t xml:space="preserve"> </w:t>
      </w:r>
      <w:r>
        <w:t xml:space="preserve">réserve de la vérification prévue au chapitre 6. La colonne « rendement</w:t>
      </w:r>
      <w:r>
        <w:t xml:space="preserve"> </w:t>
      </w:r>
      <w:r>
        <w:t xml:space="preserve">» exprime une appréciation propre à Kinshasa, fondée sur la structure</w:t>
      </w:r>
      <w:r>
        <w:t xml:space="preserve"> </w:t>
      </w:r>
      <w:r>
        <w:t xml:space="preserve">économique de la ville et non sur une moyenne nationale.</w:t>
      </w:r>
    </w:p>
    <w:bookmarkStart w:id="49" w:name="impôts-provinciaux"/>
    <w:p>
      <w:pPr>
        <w:pStyle w:val="Heading2"/>
      </w:pPr>
      <w:r>
        <w:t xml:space="preserve">7.1 Impôts provinciaux</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835"/>
        <w:gridCol w:w="1738"/>
        <w:gridCol w:w="2607"/>
        <w:gridCol w:w="1545"/>
      </w:tblGrid>
      <w:tr>
        <w:trPr>
          <w:tblHeader w:val="true"/>
          <w:tblHeader/>
        </w:trPr>
        <w:tc>
          <w:tcPr>
            <w:shd w:val="clear" w:color="auto" w:fill="1BA996"/>
          </w:tcPr>
          <w:p>
            <w:pPr>
              <w:pStyle w:val="Compact"/>
              <w:spacing w:after="20" w:before="20" w:line="240" w:lineRule="auto"/>
              <w:jc w:val="left"/>
            </w:pPr>
            <w:r>
              <w:rPr>
                <w:b/>
                <w:bCs/>
                <w:color w:val="FFFFFF"/>
                <w:sz w:val="17"/>
              </w:rPr>
              <w:t xml:space="preserve">Recette</w:t>
            </w:r>
          </w:p>
        </w:tc>
        <w:tc>
          <w:tcPr>
            <w:shd w:val="clear" w:color="auto" w:fill="1BA996"/>
          </w:tcPr>
          <w:p>
            <w:pPr>
              <w:pStyle w:val="Compact"/>
              <w:spacing w:after="20" w:before="20" w:line="240" w:lineRule="auto"/>
              <w:jc w:val="left"/>
            </w:pPr>
            <w:r>
              <w:rPr>
                <w:b/>
                <w:bCs/>
                <w:color w:val="FFFFFF"/>
                <w:sz w:val="17"/>
              </w:rPr>
              <w:t xml:space="preserve">Objet dans le</w:t>
            </w:r>
            <w:r>
              <w:rPr>
                <w:b/>
                <w:bCs/>
                <w:color w:val="FFFFFF"/>
                <w:sz w:val="17"/>
              </w:rPr>
              <w:t xml:space="preserve"> </w:t>
            </w:r>
            <w:r>
              <w:rPr>
                <w:b/>
                <w:bCs/>
                <w:color w:val="FFFFFF"/>
                <w:sz w:val="17"/>
              </w:rPr>
              <w:t xml:space="preserve">système</w:t>
            </w:r>
          </w:p>
        </w:tc>
        <w:tc>
          <w:tcPr>
            <w:shd w:val="clear" w:color="auto" w:fill="1BA996"/>
          </w:tcPr>
          <w:p>
            <w:pPr>
              <w:pStyle w:val="Compact"/>
              <w:spacing w:after="20" w:before="20" w:line="240" w:lineRule="auto"/>
              <w:jc w:val="left"/>
            </w:pPr>
            <w:r>
              <w:rPr>
                <w:b/>
                <w:bCs/>
                <w:color w:val="FFFFFF"/>
                <w:sz w:val="17"/>
              </w:rPr>
              <w:t xml:space="preserve">Où se trouvent déjà les</w:t>
            </w:r>
            <w:r>
              <w:rPr>
                <w:b/>
                <w:bCs/>
                <w:color w:val="FFFFFF"/>
                <w:sz w:val="17"/>
              </w:rPr>
              <w:t xml:space="preserve"> </w:t>
            </w:r>
            <w:r>
              <w:rPr>
                <w:b/>
                <w:bCs/>
                <w:color w:val="FFFFFF"/>
                <w:sz w:val="17"/>
              </w:rPr>
              <w:t xml:space="preserve">assujettis</w:t>
            </w:r>
          </w:p>
        </w:tc>
        <w:tc>
          <w:tcPr>
            <w:shd w:val="clear" w:color="auto" w:fill="1BA996"/>
          </w:tcPr>
          <w:p>
            <w:pPr>
              <w:pStyle w:val="Compact"/>
              <w:spacing w:after="20" w:before="20" w:line="240" w:lineRule="auto"/>
              <w:jc w:val="left"/>
            </w:pPr>
            <w:r>
              <w:rPr>
                <w:b/>
                <w:bCs/>
                <w:color w:val="FFFFFF"/>
                <w:sz w:val="17"/>
              </w:rPr>
              <w:t xml:space="preserve">Rendement</w:t>
            </w:r>
          </w:p>
        </w:tc>
      </w:tr>
      <w:tr>
        <w:tc>
          <w:tcPr/>
          <w:p>
            <w:pPr>
              <w:pStyle w:val="Compact"/>
              <w:spacing w:after="20" w:before="20" w:line="240" w:lineRule="auto"/>
              <w:jc w:val="left"/>
            </w:pPr>
            <w:r>
              <w:rPr>
                <w:sz w:val="17"/>
              </w:rPr>
              <w:t xml:space="preserve">Impôt foncier</w:t>
            </w:r>
            <w:r>
              <w:rPr>
                <w:sz w:val="17"/>
              </w:rPr>
              <w:t xml:space="preserve"> </w:t>
            </w:r>
            <w:r>
              <w:rPr>
                <w:sz w:val="17"/>
              </w:rPr>
              <w:t xml:space="preserve">(bâti et non bâti)</w:t>
            </w:r>
          </w:p>
        </w:tc>
        <w:tc>
          <w:tcPr/>
          <w:p>
            <w:pPr>
              <w:pStyle w:val="Compact"/>
              <w:spacing w:after="20" w:before="20" w:line="240" w:lineRule="auto"/>
              <w:jc w:val="left"/>
            </w:pPr>
            <w:r>
              <w:rPr>
                <w:sz w:val="17"/>
              </w:rPr>
              <w:t xml:space="preserve">Parcelle,</w:t>
            </w:r>
            <w:r>
              <w:rPr>
                <w:sz w:val="17"/>
              </w:rPr>
              <w:t xml:space="preserve"> </w:t>
            </w:r>
            <w:r>
              <w:rPr>
                <w:sz w:val="17"/>
              </w:rPr>
              <w:t xml:space="preserve">bâtiment, rang de</w:t>
            </w:r>
            <w:r>
              <w:rPr>
                <w:sz w:val="17"/>
              </w:rPr>
              <w:t xml:space="preserve"> </w:t>
            </w:r>
            <w:r>
              <w:rPr>
                <w:sz w:val="17"/>
              </w:rPr>
              <w:t xml:space="preserve">localité, surface</w:t>
            </w:r>
          </w:p>
        </w:tc>
        <w:tc>
          <w:tcPr/>
          <w:p>
            <w:pPr>
              <w:pStyle w:val="Compact"/>
              <w:spacing w:after="20" w:before="20" w:line="240" w:lineRule="auto"/>
              <w:jc w:val="left"/>
            </w:pPr>
            <w:r>
              <w:rPr>
                <w:sz w:val="17"/>
              </w:rPr>
              <w:t xml:space="preserve">Titres fonciers, permis de</w:t>
            </w:r>
            <w:r>
              <w:rPr>
                <w:sz w:val="17"/>
              </w:rPr>
              <w:t xml:space="preserve"> </w:t>
            </w:r>
            <w:r>
              <w:rPr>
                <w:sz w:val="17"/>
              </w:rPr>
              <w:t xml:space="preserve">bâtir, raccordements</w:t>
            </w:r>
            <w:r>
              <w:rPr>
                <w:sz w:val="17"/>
              </w:rPr>
              <w:t xml:space="preserve"> </w:t>
            </w:r>
            <w:r>
              <w:rPr>
                <w:sz w:val="17"/>
              </w:rPr>
              <w:t xml:space="preserve">énergie et eau, historique</w:t>
            </w:r>
            <w:r>
              <w:rPr>
                <w:sz w:val="17"/>
              </w:rPr>
              <w:t xml:space="preserve"> </w:t>
            </w:r>
            <w:r>
              <w:rPr>
                <w:sz w:val="17"/>
              </w:rPr>
              <w:t xml:space="preserve">déclaratif</w:t>
            </w:r>
          </w:p>
        </w:tc>
        <w:tc>
          <w:tcPr/>
          <w:p>
            <w:pPr>
              <w:pStyle w:val="Compact"/>
              <w:spacing w:after="20" w:before="20" w:line="240" w:lineRule="auto"/>
              <w:jc w:val="left"/>
            </w:pPr>
            <w:r>
              <w:rPr>
                <w:sz w:val="17"/>
              </w:rPr>
              <w:t xml:space="preserve">Élevé</w:t>
            </w:r>
          </w:p>
        </w:tc>
      </w:tr>
      <w:tr>
        <w:tc>
          <w:tcPr>
            <w:shd w:val="clear" w:color="auto" w:fill="F2F9F8"/>
          </w:tcPr>
          <w:p>
            <w:pPr>
              <w:pStyle w:val="Compact"/>
              <w:spacing w:after="20" w:before="20" w:line="240" w:lineRule="auto"/>
              <w:jc w:val="left"/>
            </w:pPr>
            <w:r>
              <w:rPr>
                <w:sz w:val="17"/>
              </w:rPr>
              <w:t xml:space="preserve">Impôt sur les</w:t>
            </w:r>
            <w:r>
              <w:rPr>
                <w:sz w:val="17"/>
              </w:rPr>
              <w:t xml:space="preserve"> </w:t>
            </w:r>
            <w:r>
              <w:rPr>
                <w:sz w:val="17"/>
              </w:rPr>
              <w:t xml:space="preserve">revenus locatifs</w:t>
            </w:r>
          </w:p>
        </w:tc>
        <w:tc>
          <w:tcPr>
            <w:shd w:val="clear" w:color="auto" w:fill="F2F9F8"/>
          </w:tcPr>
          <w:p>
            <w:pPr>
              <w:pStyle w:val="Compact"/>
              <w:spacing w:after="20" w:before="20" w:line="240" w:lineRule="auto"/>
              <w:jc w:val="left"/>
            </w:pPr>
            <w:r>
              <w:rPr>
                <w:sz w:val="17"/>
              </w:rPr>
              <w:t xml:space="preserve">Unité louée,</w:t>
            </w:r>
            <w:r>
              <w:rPr>
                <w:sz w:val="17"/>
              </w:rPr>
              <w:t xml:space="preserve"> </w:t>
            </w:r>
            <w:r>
              <w:rPr>
                <w:sz w:val="17"/>
              </w:rPr>
              <w:t xml:space="preserve">bail, bailleur,</w:t>
            </w:r>
            <w:r>
              <w:rPr>
                <w:sz w:val="17"/>
              </w:rPr>
              <w:t xml:space="preserve"> </w:t>
            </w:r>
            <w:r>
              <w:rPr>
                <w:sz w:val="17"/>
              </w:rPr>
              <w:t xml:space="preserve">locataire</w:t>
            </w:r>
          </w:p>
        </w:tc>
        <w:tc>
          <w:tcPr>
            <w:shd w:val="clear" w:color="auto" w:fill="F2F9F8"/>
          </w:tcPr>
          <w:p>
            <w:pPr>
              <w:pStyle w:val="Compact"/>
              <w:spacing w:after="20" w:before="20" w:line="240" w:lineRule="auto"/>
              <w:jc w:val="left"/>
            </w:pPr>
            <w:r>
              <w:rPr>
                <w:sz w:val="17"/>
              </w:rPr>
              <w:t xml:space="preserve">Indemnités de logement en</w:t>
            </w:r>
            <w:r>
              <w:rPr>
                <w:sz w:val="17"/>
              </w:rPr>
              <w:t xml:space="preserve"> </w:t>
            </w:r>
            <w:r>
              <w:rPr>
                <w:sz w:val="17"/>
              </w:rPr>
              <w:t xml:space="preserve">paie, agences</w:t>
            </w:r>
            <w:r>
              <w:rPr>
                <w:sz w:val="17"/>
              </w:rPr>
              <w:t xml:space="preserve"> </w:t>
            </w:r>
            <w:r>
              <w:rPr>
                <w:sz w:val="17"/>
              </w:rPr>
              <w:t xml:space="preserve">immobilières, baux</w:t>
            </w:r>
            <w:r>
              <w:rPr>
                <w:sz w:val="17"/>
              </w:rPr>
              <w:t xml:space="preserve"> </w:t>
            </w:r>
            <w:r>
              <w:rPr>
                <w:sz w:val="17"/>
              </w:rPr>
              <w:t xml:space="preserve">d'entreprises, compteurs</w:t>
            </w:r>
            <w:r>
              <w:rPr>
                <w:sz w:val="17"/>
              </w:rPr>
              <w:t xml:space="preserve"> </w:t>
            </w:r>
            <w:r>
              <w:rPr>
                <w:sz w:val="17"/>
              </w:rPr>
              <w:t xml:space="preserve">multiples</w:t>
            </w:r>
          </w:p>
        </w:tc>
        <w:tc>
          <w:tcPr>
            <w:shd w:val="clear" w:color="auto" w:fill="F2F9F8"/>
          </w:tcPr>
          <w:p>
            <w:pPr>
              <w:pStyle w:val="Compact"/>
              <w:spacing w:after="20" w:before="20" w:line="240" w:lineRule="auto"/>
              <w:jc w:val="left"/>
            </w:pPr>
            <w:r>
              <w:rPr>
                <w:sz w:val="17"/>
              </w:rPr>
              <w:t xml:space="preserve">Le plus élevé</w:t>
            </w:r>
          </w:p>
        </w:tc>
      </w:tr>
      <w:tr>
        <w:tc>
          <w:tcPr/>
          <w:p>
            <w:pPr>
              <w:pStyle w:val="Compact"/>
              <w:spacing w:after="20" w:before="20" w:line="240" w:lineRule="auto"/>
              <w:jc w:val="left"/>
            </w:pPr>
            <w:r>
              <w:rPr>
                <w:sz w:val="17"/>
              </w:rPr>
              <w:t xml:space="preserve">Impôt sur les</w:t>
            </w:r>
            <w:r>
              <w:rPr>
                <w:sz w:val="17"/>
              </w:rPr>
              <w:t xml:space="preserve"> </w:t>
            </w:r>
            <w:r>
              <w:rPr>
                <w:sz w:val="17"/>
              </w:rPr>
              <w:t xml:space="preserve">véhicules</w:t>
            </w:r>
            <w:r>
              <w:rPr>
                <w:sz w:val="17"/>
              </w:rPr>
              <w:t xml:space="preserve"> </w:t>
            </w:r>
            <w:r>
              <w:rPr>
                <w:sz w:val="17"/>
              </w:rPr>
              <w:t xml:space="preserve">automoteurs</w:t>
            </w:r>
            <w:r>
              <w:rPr>
                <w:sz w:val="17"/>
              </w:rPr>
              <w:t xml:space="preserve"> </w:t>
            </w:r>
            <w:r>
              <w:rPr>
                <w:sz w:val="17"/>
              </w:rPr>
              <w:t xml:space="preserve">(vignette)</w:t>
            </w:r>
          </w:p>
        </w:tc>
        <w:tc>
          <w:tcPr/>
          <w:p>
            <w:pPr>
              <w:pStyle w:val="Compact"/>
              <w:spacing w:after="20" w:before="20" w:line="240" w:lineRule="auto"/>
              <w:jc w:val="left"/>
            </w:pPr>
            <w:r>
              <w:rPr>
                <w:sz w:val="17"/>
              </w:rPr>
              <w:t xml:space="preserve">Véhicule, plaque,</w:t>
            </w:r>
            <w:r>
              <w:rPr>
                <w:sz w:val="17"/>
              </w:rPr>
              <w:t xml:space="preserve"> </w:t>
            </w:r>
            <w:r>
              <w:rPr>
                <w:sz w:val="17"/>
              </w:rPr>
              <w:t xml:space="preserve">catégorie, usage</w:t>
            </w:r>
          </w:p>
        </w:tc>
        <w:tc>
          <w:tcPr/>
          <w:p>
            <w:pPr>
              <w:pStyle w:val="Compact"/>
              <w:spacing w:after="20" w:before="20" w:line="240" w:lineRule="auto"/>
              <w:jc w:val="left"/>
            </w:pPr>
            <w:r>
              <w:rPr>
                <w:sz w:val="17"/>
              </w:rPr>
              <w:t xml:space="preserve">Registre des</w:t>
            </w:r>
            <w:r>
              <w:rPr>
                <w:sz w:val="17"/>
              </w:rPr>
              <w:t xml:space="preserve"> </w:t>
            </w:r>
            <w:r>
              <w:rPr>
                <w:sz w:val="17"/>
              </w:rPr>
              <w:t xml:space="preserve">immatriculations, polices</w:t>
            </w:r>
            <w:r>
              <w:rPr>
                <w:sz w:val="17"/>
              </w:rPr>
              <w:t xml:space="preserve"> </w:t>
            </w:r>
            <w:r>
              <w:rPr>
                <w:sz w:val="17"/>
              </w:rPr>
              <w:t xml:space="preserve">d'assurance, mutations,</w:t>
            </w:r>
            <w:r>
              <w:rPr>
                <w:sz w:val="17"/>
              </w:rPr>
              <w:t xml:space="preserve"> </w:t>
            </w:r>
            <w:r>
              <w:rPr>
                <w:sz w:val="17"/>
              </w:rPr>
              <w:t xml:space="preserve">contrôles routiers</w:t>
            </w:r>
          </w:p>
        </w:tc>
        <w:tc>
          <w:tcPr/>
          <w:p>
            <w:pPr>
              <w:pStyle w:val="Compact"/>
              <w:spacing w:after="20" w:before="20" w:line="240" w:lineRule="auto"/>
              <w:jc w:val="left"/>
            </w:pPr>
            <w:r>
              <w:rPr>
                <w:sz w:val="17"/>
              </w:rPr>
              <w:t xml:space="preserve">Élevé</w:t>
            </w:r>
          </w:p>
        </w:tc>
      </w:tr>
      <w:tr>
        <w:tc>
          <w:tcPr>
            <w:shd w:val="clear" w:color="auto" w:fill="F2F9F8"/>
          </w:tcPr>
          <w:p>
            <w:pPr>
              <w:pStyle w:val="Compact"/>
              <w:spacing w:after="20" w:before="20" w:line="240" w:lineRule="auto"/>
              <w:jc w:val="left"/>
            </w:pPr>
            <w:r>
              <w:rPr>
                <w:sz w:val="17"/>
              </w:rPr>
              <w:t xml:space="preserve">Impôt sur la</w:t>
            </w:r>
            <w:r>
              <w:rPr>
                <w:sz w:val="17"/>
              </w:rPr>
              <w:t xml:space="preserve"> </w:t>
            </w:r>
            <w:r>
              <w:rPr>
                <w:sz w:val="17"/>
              </w:rPr>
              <w:t xml:space="preserve">superficie des</w:t>
            </w:r>
            <w:r>
              <w:rPr>
                <w:sz w:val="17"/>
              </w:rPr>
              <w:t xml:space="preserve"> </w:t>
            </w:r>
            <w:r>
              <w:rPr>
                <w:sz w:val="17"/>
              </w:rPr>
              <w:t xml:space="preserve">concessions</w:t>
            </w:r>
            <w:r>
              <w:rPr>
                <w:sz w:val="17"/>
              </w:rPr>
              <w:t xml:space="preserve"> </w:t>
            </w:r>
            <w:r>
              <w:rPr>
                <w:sz w:val="17"/>
              </w:rPr>
              <w:t xml:space="preserve">minières et</w:t>
            </w:r>
            <w:r>
              <w:rPr>
                <w:sz w:val="17"/>
              </w:rPr>
              <w:t xml:space="preserve"> </w:t>
            </w:r>
            <w:r>
              <w:rPr>
                <w:sz w:val="17"/>
              </w:rPr>
              <w:t xml:space="preserve">d'hydrocarbures</w:t>
            </w:r>
          </w:p>
        </w:tc>
        <w:tc>
          <w:tcPr>
            <w:shd w:val="clear" w:color="auto" w:fill="F2F9F8"/>
          </w:tcPr>
          <w:p>
            <w:pPr>
              <w:pStyle w:val="Compact"/>
              <w:spacing w:after="20" w:before="20" w:line="240" w:lineRule="auto"/>
              <w:jc w:val="left"/>
            </w:pPr>
            <w:r>
              <w:rPr>
                <w:sz w:val="17"/>
              </w:rPr>
              <w:t xml:space="preserve">Concession,</w:t>
            </w:r>
            <w:r>
              <w:rPr>
                <w:sz w:val="17"/>
              </w:rPr>
              <w:t xml:space="preserve"> </w:t>
            </w:r>
            <w:r>
              <w:rPr>
                <w:sz w:val="17"/>
              </w:rPr>
              <w:t xml:space="preserve">superficie,</w:t>
            </w:r>
            <w:r>
              <w:rPr>
                <w:sz w:val="17"/>
              </w:rPr>
              <w:t xml:space="preserve"> </w:t>
            </w:r>
            <w:r>
              <w:rPr>
                <w:sz w:val="17"/>
              </w:rPr>
              <w:t xml:space="preserve">titulaire</w:t>
            </w:r>
          </w:p>
        </w:tc>
        <w:tc>
          <w:tcPr>
            <w:shd w:val="clear" w:color="auto" w:fill="F2F9F8"/>
          </w:tcPr>
          <w:p>
            <w:pPr>
              <w:pStyle w:val="Compact"/>
              <w:spacing w:after="20" w:before="20" w:line="240" w:lineRule="auto"/>
              <w:jc w:val="left"/>
            </w:pPr>
            <w:r>
              <w:rPr>
                <w:sz w:val="17"/>
              </w:rPr>
              <w:t xml:space="preserve">Cadastre minier</w:t>
            </w:r>
          </w:p>
        </w:tc>
        <w:tc>
          <w:tcPr>
            <w:shd w:val="clear" w:color="auto" w:fill="F2F9F8"/>
          </w:tcPr>
          <w:p>
            <w:pPr>
              <w:pStyle w:val="Compact"/>
              <w:spacing w:after="20" w:before="20" w:line="240" w:lineRule="auto"/>
              <w:jc w:val="left"/>
            </w:pPr>
            <w:r>
              <w:rPr>
                <w:sz w:val="17"/>
              </w:rPr>
              <w:t xml:space="preserve">Faible à</w:t>
            </w:r>
            <w:r>
              <w:rPr>
                <w:sz w:val="17"/>
              </w:rPr>
              <w:t xml:space="preserve"> </w:t>
            </w:r>
            <w:r>
              <w:rPr>
                <w:sz w:val="17"/>
              </w:rPr>
              <w:t xml:space="preserve">Kinshasa</w:t>
            </w:r>
          </w:p>
        </w:tc>
      </w:tr>
    </w:tbl>
    <w:bookmarkEnd w:id="49"/>
    <w:bookmarkStart w:id="50" w:name="taxes-dintérêt-commun"/>
    <w:p>
      <w:pPr>
        <w:pStyle w:val="Heading2"/>
      </w:pPr>
      <w:r>
        <w:t xml:space="preserve">7.2 Taxes d'intérêt commun</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760"/>
        <w:gridCol w:w="1466"/>
        <w:gridCol w:w="2933"/>
        <w:gridCol w:w="1564"/>
      </w:tblGrid>
      <w:tr>
        <w:trPr>
          <w:tblHeader w:val="true"/>
          <w:tblHeader/>
        </w:trPr>
        <w:tc>
          <w:tcPr>
            <w:shd w:val="clear" w:color="auto" w:fill="1BA996"/>
          </w:tcPr>
          <w:p>
            <w:pPr>
              <w:pStyle w:val="Compact"/>
              <w:spacing w:after="20" w:before="20" w:line="240" w:lineRule="auto"/>
              <w:jc w:val="left"/>
            </w:pPr>
            <w:r>
              <w:rPr>
                <w:b/>
                <w:bCs/>
                <w:color w:val="FFFFFF"/>
                <w:sz w:val="17"/>
              </w:rPr>
              <w:t xml:space="preserve">Recette</w:t>
            </w:r>
          </w:p>
        </w:tc>
        <w:tc>
          <w:tcPr>
            <w:shd w:val="clear" w:color="auto" w:fill="1BA996"/>
          </w:tcPr>
          <w:p>
            <w:pPr>
              <w:pStyle w:val="Compact"/>
              <w:spacing w:after="20" w:before="20" w:line="240" w:lineRule="auto"/>
              <w:jc w:val="left"/>
            </w:pPr>
            <w:r>
              <w:rPr>
                <w:b/>
                <w:bCs/>
                <w:color w:val="FFFFFF"/>
                <w:sz w:val="17"/>
              </w:rPr>
              <w:t xml:space="preserve">Objet</w:t>
            </w:r>
          </w:p>
        </w:tc>
        <w:tc>
          <w:tcPr>
            <w:shd w:val="clear" w:color="auto" w:fill="1BA996"/>
          </w:tcPr>
          <w:p>
            <w:pPr>
              <w:pStyle w:val="Compact"/>
              <w:spacing w:after="20" w:before="20" w:line="240" w:lineRule="auto"/>
              <w:jc w:val="left"/>
            </w:pPr>
            <w:r>
              <w:rPr>
                <w:b/>
                <w:bCs/>
                <w:color w:val="FFFFFF"/>
                <w:sz w:val="17"/>
              </w:rPr>
              <w:t xml:space="preserve">Mécanisme de capture</w:t>
            </w:r>
          </w:p>
        </w:tc>
        <w:tc>
          <w:tcPr>
            <w:shd w:val="clear" w:color="auto" w:fill="1BA996"/>
          </w:tcPr>
          <w:p>
            <w:pPr>
              <w:pStyle w:val="Compact"/>
              <w:spacing w:after="20" w:before="20" w:line="240" w:lineRule="auto"/>
              <w:jc w:val="left"/>
            </w:pPr>
            <w:r>
              <w:rPr>
                <w:b/>
                <w:bCs/>
                <w:color w:val="FFFFFF"/>
                <w:sz w:val="17"/>
              </w:rPr>
              <w:t xml:space="preserve">Rendement</w:t>
            </w:r>
          </w:p>
        </w:tc>
      </w:tr>
      <w:tr>
        <w:tc>
          <w:tcPr/>
          <w:p>
            <w:pPr>
              <w:pStyle w:val="Compact"/>
              <w:spacing w:after="20" w:before="20" w:line="240" w:lineRule="auto"/>
              <w:jc w:val="left"/>
            </w:pPr>
            <w:r>
              <w:rPr>
                <w:sz w:val="17"/>
              </w:rPr>
              <w:t xml:space="preserve">Taxe de</w:t>
            </w:r>
            <w:r>
              <w:rPr>
                <w:sz w:val="17"/>
              </w:rPr>
              <w:t xml:space="preserve"> </w:t>
            </w:r>
            <w:r>
              <w:rPr>
                <w:sz w:val="17"/>
              </w:rPr>
              <w:t xml:space="preserve">consommation sur</w:t>
            </w:r>
            <w:r>
              <w:rPr>
                <w:sz w:val="17"/>
              </w:rPr>
              <w:t xml:space="preserve"> </w:t>
            </w:r>
            <w:r>
              <w:rPr>
                <w:sz w:val="17"/>
              </w:rPr>
              <w:t xml:space="preserve">bière, alcools,</w:t>
            </w:r>
            <w:r>
              <w:rPr>
                <w:sz w:val="17"/>
              </w:rPr>
              <w:t xml:space="preserve"> </w:t>
            </w:r>
            <w:r>
              <w:rPr>
                <w:sz w:val="17"/>
              </w:rPr>
              <w:t xml:space="preserve">spiritueux et</w:t>
            </w:r>
            <w:r>
              <w:rPr>
                <w:sz w:val="17"/>
              </w:rPr>
              <w:t xml:space="preserve"> </w:t>
            </w:r>
            <w:r>
              <w:rPr>
                <w:sz w:val="17"/>
              </w:rPr>
              <w:t xml:space="preserve">tabac</w:t>
            </w:r>
          </w:p>
        </w:tc>
        <w:tc>
          <w:tcPr/>
          <w:p>
            <w:pPr>
              <w:pStyle w:val="Compact"/>
              <w:spacing w:after="20" w:before="20" w:line="240" w:lineRule="auto"/>
              <w:jc w:val="left"/>
            </w:pPr>
            <w:r>
              <w:rPr>
                <w:sz w:val="17"/>
              </w:rPr>
              <w:t xml:space="preserve">Producteur,</w:t>
            </w:r>
            <w:r>
              <w:rPr>
                <w:sz w:val="17"/>
              </w:rPr>
              <w:t xml:space="preserve"> </w:t>
            </w:r>
            <w:r>
              <w:rPr>
                <w:sz w:val="17"/>
              </w:rPr>
              <w:t xml:space="preserve">importateur,</w:t>
            </w:r>
            <w:r>
              <w:rPr>
                <w:sz w:val="17"/>
              </w:rPr>
              <w:t xml:space="preserve"> </w:t>
            </w:r>
            <w:r>
              <w:rPr>
                <w:sz w:val="17"/>
              </w:rPr>
              <w:t xml:space="preserve">volumes</w:t>
            </w:r>
          </w:p>
        </w:tc>
        <w:tc>
          <w:tcPr/>
          <w:p>
            <w:pPr>
              <w:pStyle w:val="Compact"/>
              <w:spacing w:after="20" w:before="20" w:line="240" w:lineRule="auto"/>
              <w:jc w:val="left"/>
            </w:pPr>
            <w:r>
              <w:rPr>
                <w:sz w:val="17"/>
              </w:rPr>
              <w:t xml:space="preserve">Cellule grands contribuables</w:t>
            </w:r>
            <w:r>
              <w:rPr>
                <w:sz w:val="17"/>
              </w:rPr>
              <w:t xml:space="preserve"> </w:t>
            </w:r>
            <w:r>
              <w:rPr>
                <w:sz w:val="17"/>
              </w:rPr>
              <w:t xml:space="preserve">: déclaration mensuelle de</w:t>
            </w:r>
            <w:r>
              <w:rPr>
                <w:sz w:val="17"/>
              </w:rPr>
              <w:t xml:space="preserve"> </w:t>
            </w:r>
            <w:r>
              <w:rPr>
                <w:sz w:val="17"/>
              </w:rPr>
              <w:t xml:space="preserve">volumes rapprochée des</w:t>
            </w:r>
            <w:r>
              <w:rPr>
                <w:sz w:val="17"/>
              </w:rPr>
              <w:t xml:space="preserve"> </w:t>
            </w:r>
            <w:r>
              <w:rPr>
                <w:sz w:val="17"/>
              </w:rPr>
              <w:t xml:space="preserve">données d'accises et de</w:t>
            </w:r>
            <w:r>
              <w:rPr>
                <w:sz w:val="17"/>
              </w:rPr>
              <w:t xml:space="preserve"> </w:t>
            </w:r>
            <w:r>
              <w:rPr>
                <w:sz w:val="17"/>
              </w:rPr>
              <w:t xml:space="preserve">facturation</w:t>
            </w:r>
          </w:p>
        </w:tc>
        <w:tc>
          <w:tcPr/>
          <w:p>
            <w:pPr>
              <w:pStyle w:val="Compact"/>
              <w:spacing w:after="20" w:before="20" w:line="240" w:lineRule="auto"/>
              <w:jc w:val="left"/>
            </w:pPr>
            <w:r>
              <w:rPr>
                <w:sz w:val="17"/>
              </w:rPr>
              <w:t xml:space="preserve">Très élevé,</w:t>
            </w:r>
            <w:r>
              <w:rPr>
                <w:sz w:val="17"/>
              </w:rPr>
              <w:t xml:space="preserve"> </w:t>
            </w:r>
            <w:r>
              <w:rPr>
                <w:sz w:val="17"/>
              </w:rPr>
              <w:t xml:space="preserve">très peu de</w:t>
            </w:r>
            <w:r>
              <w:rPr>
                <w:sz w:val="17"/>
              </w:rPr>
              <w:t xml:space="preserve"> </w:t>
            </w:r>
            <w:r>
              <w:rPr>
                <w:sz w:val="17"/>
              </w:rPr>
              <w:t xml:space="preserve">redevables</w:t>
            </w:r>
          </w:p>
        </w:tc>
      </w:tr>
      <w:tr>
        <w:tc>
          <w:tcPr>
            <w:shd w:val="clear" w:color="auto" w:fill="F2F9F8"/>
          </w:tcPr>
          <w:p>
            <w:pPr>
              <w:pStyle w:val="Compact"/>
              <w:spacing w:after="20" w:before="20" w:line="240" w:lineRule="auto"/>
              <w:jc w:val="left"/>
            </w:pPr>
            <w:r>
              <w:rPr>
                <w:sz w:val="17"/>
              </w:rPr>
              <w:t xml:space="preserve">Taxe annuelle</w:t>
            </w:r>
            <w:r>
              <w:rPr>
                <w:sz w:val="17"/>
              </w:rPr>
              <w:t xml:space="preserve"> </w:t>
            </w:r>
            <w:r>
              <w:rPr>
                <w:sz w:val="17"/>
              </w:rPr>
              <w:t xml:space="preserve">pour la</w:t>
            </w:r>
            <w:r>
              <w:rPr>
                <w:sz w:val="17"/>
              </w:rPr>
              <w:t xml:space="preserve"> </w:t>
            </w:r>
            <w:r>
              <w:rPr>
                <w:sz w:val="17"/>
              </w:rPr>
              <w:t xml:space="preserve">délivrance de la</w:t>
            </w:r>
            <w:r>
              <w:rPr>
                <w:sz w:val="17"/>
              </w:rPr>
              <w:t xml:space="preserve"> </w:t>
            </w:r>
            <w:r>
              <w:rPr>
                <w:sz w:val="17"/>
              </w:rPr>
              <w:t xml:space="preserve">patente</w:t>
            </w:r>
          </w:p>
        </w:tc>
        <w:tc>
          <w:tcPr>
            <w:shd w:val="clear" w:color="auto" w:fill="F2F9F8"/>
          </w:tcPr>
          <w:p>
            <w:pPr>
              <w:pStyle w:val="Compact"/>
              <w:spacing w:after="20" w:before="20" w:line="240" w:lineRule="auto"/>
              <w:jc w:val="left"/>
            </w:pPr>
            <w:r>
              <w:rPr>
                <w:sz w:val="17"/>
              </w:rPr>
              <w:t xml:space="preserve">Commerce,</w:t>
            </w:r>
            <w:r>
              <w:rPr>
                <w:sz w:val="17"/>
              </w:rPr>
              <w:t xml:space="preserve"> </w:t>
            </w:r>
            <w:r>
              <w:rPr>
                <w:sz w:val="17"/>
              </w:rPr>
              <w:t xml:space="preserve">étal, activité</w:t>
            </w:r>
          </w:p>
        </w:tc>
        <w:tc>
          <w:tcPr>
            <w:shd w:val="clear" w:color="auto" w:fill="F2F9F8"/>
          </w:tcPr>
          <w:p>
            <w:pPr>
              <w:pStyle w:val="Compact"/>
              <w:spacing w:after="20" w:before="20" w:line="240" w:lineRule="auto"/>
              <w:jc w:val="left"/>
            </w:pPr>
            <w:r>
              <w:rPr>
                <w:sz w:val="17"/>
              </w:rPr>
              <w:t xml:space="preserve">Recensement par marché, code</w:t>
            </w:r>
            <w:r>
              <w:rPr>
                <w:sz w:val="17"/>
              </w:rPr>
              <w:t xml:space="preserve"> </w:t>
            </w:r>
            <w:r>
              <w:rPr>
                <w:sz w:val="17"/>
              </w:rPr>
              <w:t xml:space="preserve">marchand Mobile Money,</w:t>
            </w:r>
            <w:r>
              <w:rPr>
                <w:sz w:val="17"/>
              </w:rPr>
              <w:t xml:space="preserve"> </w:t>
            </w:r>
            <w:r>
              <w:rPr>
                <w:sz w:val="17"/>
              </w:rPr>
              <w:t xml:space="preserve">vignette QR sur devanture</w:t>
            </w:r>
          </w:p>
        </w:tc>
        <w:tc>
          <w:tcPr>
            <w:shd w:val="clear" w:color="auto" w:fill="F2F9F8"/>
          </w:tcPr>
          <w:p>
            <w:pPr>
              <w:pStyle w:val="Compact"/>
              <w:spacing w:after="20" w:before="20" w:line="240" w:lineRule="auto"/>
              <w:jc w:val="left"/>
            </w:pPr>
            <w:r>
              <w:rPr>
                <w:sz w:val="17"/>
              </w:rPr>
              <w:t xml:space="preserve">Volume élevé,</w:t>
            </w:r>
            <w:r>
              <w:rPr>
                <w:sz w:val="17"/>
              </w:rPr>
              <w:t xml:space="preserve"> </w:t>
            </w:r>
            <w:r>
              <w:rPr>
                <w:sz w:val="17"/>
              </w:rPr>
              <w:t xml:space="preserve">ticket faible</w:t>
            </w:r>
          </w:p>
        </w:tc>
      </w:tr>
      <w:tr>
        <w:tc>
          <w:tcPr/>
          <w:p>
            <w:pPr>
              <w:pStyle w:val="Compact"/>
              <w:spacing w:after="20" w:before="20" w:line="240" w:lineRule="auto"/>
              <w:jc w:val="left"/>
            </w:pPr>
            <w:r>
              <w:rPr>
                <w:sz w:val="17"/>
              </w:rPr>
              <w:t xml:space="preserve">Taxe spéciale de</w:t>
            </w:r>
            <w:r>
              <w:rPr>
                <w:sz w:val="17"/>
              </w:rPr>
              <w:t xml:space="preserve"> </w:t>
            </w:r>
            <w:r>
              <w:rPr>
                <w:sz w:val="17"/>
              </w:rPr>
              <w:t xml:space="preserve">circulation</w:t>
            </w:r>
            <w:r>
              <w:rPr>
                <w:sz w:val="17"/>
              </w:rPr>
              <w:t xml:space="preserve"> </w:t>
            </w:r>
            <w:r>
              <w:rPr>
                <w:sz w:val="17"/>
              </w:rPr>
              <w:t xml:space="preserve">routière</w:t>
            </w:r>
          </w:p>
        </w:tc>
        <w:tc>
          <w:tcPr/>
          <w:p>
            <w:pPr>
              <w:pStyle w:val="Compact"/>
              <w:spacing w:after="20" w:before="20" w:line="240" w:lineRule="auto"/>
              <w:jc w:val="left"/>
            </w:pPr>
            <w:r>
              <w:rPr>
                <w:sz w:val="17"/>
              </w:rPr>
              <w:t xml:space="preserve">Véhicule</w:t>
            </w:r>
          </w:p>
        </w:tc>
        <w:tc>
          <w:tcPr/>
          <w:p>
            <w:pPr>
              <w:pStyle w:val="Compact"/>
              <w:spacing w:after="20" w:before="20" w:line="240" w:lineRule="auto"/>
              <w:jc w:val="left"/>
            </w:pPr>
            <w:r>
              <w:rPr>
                <w:sz w:val="17"/>
              </w:rPr>
              <w:t xml:space="preserve">Même objet véhicule et même</w:t>
            </w:r>
            <w:r>
              <w:rPr>
                <w:sz w:val="17"/>
              </w:rPr>
              <w:t xml:space="preserve"> </w:t>
            </w:r>
            <w:r>
              <w:rPr>
                <w:sz w:val="17"/>
              </w:rPr>
              <w:t xml:space="preserve">scan de contrôle que la</w:t>
            </w:r>
            <w:r>
              <w:rPr>
                <w:sz w:val="17"/>
              </w:rPr>
              <w:t xml:space="preserve"> </w:t>
            </w:r>
            <w:r>
              <w:rPr>
                <w:sz w:val="17"/>
              </w:rPr>
              <w:t xml:space="preserve">vignette</w:t>
            </w:r>
          </w:p>
        </w:tc>
        <w:tc>
          <w:tcPr/>
          <w:p>
            <w:pPr>
              <w:pStyle w:val="Compact"/>
              <w:spacing w:after="20" w:before="20" w:line="240" w:lineRule="auto"/>
              <w:jc w:val="left"/>
            </w:pPr>
            <w:r>
              <w:rPr>
                <w:sz w:val="17"/>
              </w:rPr>
              <w:t xml:space="preserve">Moyen à élevé</w:t>
            </w:r>
          </w:p>
        </w:tc>
      </w:tr>
      <w:tr>
        <w:tc>
          <w:tcPr>
            <w:shd w:val="clear" w:color="auto" w:fill="F2F9F8"/>
          </w:tcPr>
          <w:p>
            <w:pPr>
              <w:pStyle w:val="Compact"/>
              <w:spacing w:after="20" w:before="20" w:line="240" w:lineRule="auto"/>
              <w:jc w:val="left"/>
            </w:pPr>
            <w:r>
              <w:rPr>
                <w:sz w:val="17"/>
              </w:rPr>
              <w:t xml:space="preserve">Taxe de</w:t>
            </w:r>
            <w:r>
              <w:rPr>
                <w:sz w:val="17"/>
              </w:rPr>
              <w:t xml:space="preserve"> </w:t>
            </w:r>
            <w:r>
              <w:rPr>
                <w:sz w:val="17"/>
              </w:rPr>
              <w:t xml:space="preserve">superficie sur</w:t>
            </w:r>
            <w:r>
              <w:rPr>
                <w:sz w:val="17"/>
              </w:rPr>
              <w:t xml:space="preserve"> </w:t>
            </w:r>
            <w:r>
              <w:rPr>
                <w:sz w:val="17"/>
              </w:rPr>
              <w:t xml:space="preserve">les concessions</w:t>
            </w:r>
            <w:r>
              <w:rPr>
                <w:sz w:val="17"/>
              </w:rPr>
              <w:t xml:space="preserve"> </w:t>
            </w:r>
            <w:r>
              <w:rPr>
                <w:sz w:val="17"/>
              </w:rPr>
              <w:t xml:space="preserve">forestières et</w:t>
            </w:r>
            <w:r>
              <w:rPr>
                <w:sz w:val="17"/>
              </w:rPr>
              <w:t xml:space="preserve"> </w:t>
            </w:r>
            <w:r>
              <w:rPr>
                <w:sz w:val="17"/>
              </w:rPr>
              <w:t xml:space="preserve">minières</w:t>
            </w:r>
          </w:p>
        </w:tc>
        <w:tc>
          <w:tcPr>
            <w:shd w:val="clear" w:color="auto" w:fill="F2F9F8"/>
          </w:tcPr>
          <w:p>
            <w:pPr>
              <w:pStyle w:val="Compact"/>
              <w:spacing w:after="20" w:before="20" w:line="240" w:lineRule="auto"/>
              <w:jc w:val="left"/>
            </w:pPr>
            <w:r>
              <w:rPr>
                <w:sz w:val="17"/>
              </w:rPr>
              <w:t xml:space="preserve">Concession</w:t>
            </w:r>
          </w:p>
        </w:tc>
        <w:tc>
          <w:tcPr>
            <w:shd w:val="clear" w:color="auto" w:fill="F2F9F8"/>
          </w:tcPr>
          <w:p>
            <w:pPr>
              <w:pStyle w:val="Compact"/>
              <w:spacing w:after="20" w:before="20" w:line="240" w:lineRule="auto"/>
              <w:jc w:val="left"/>
            </w:pPr>
            <w:r>
              <w:rPr>
                <w:sz w:val="17"/>
              </w:rPr>
              <w:t xml:space="preserve">Liquidation automatique sur</w:t>
            </w:r>
            <w:r>
              <w:rPr>
                <w:sz w:val="17"/>
              </w:rPr>
              <w:t xml:space="preserve"> </w:t>
            </w:r>
            <w:r>
              <w:rPr>
                <w:sz w:val="17"/>
              </w:rPr>
              <w:t xml:space="preserve">la superficie du titre</w:t>
            </w:r>
          </w:p>
        </w:tc>
        <w:tc>
          <w:tcPr>
            <w:shd w:val="clear" w:color="auto" w:fill="F2F9F8"/>
          </w:tcPr>
          <w:p>
            <w:pPr>
              <w:pStyle w:val="Compact"/>
              <w:spacing w:after="20" w:before="20" w:line="240" w:lineRule="auto"/>
              <w:jc w:val="left"/>
            </w:pPr>
            <w:r>
              <w:rPr>
                <w:sz w:val="17"/>
              </w:rPr>
              <w:t xml:space="preserve">Faible à</w:t>
            </w:r>
            <w:r>
              <w:rPr>
                <w:sz w:val="17"/>
              </w:rPr>
              <w:t xml:space="preserve"> </w:t>
            </w:r>
            <w:r>
              <w:rPr>
                <w:sz w:val="17"/>
              </w:rPr>
              <w:t xml:space="preserve">Kinshasa</w:t>
            </w:r>
          </w:p>
        </w:tc>
      </w:tr>
      <w:tr>
        <w:tc>
          <w:tcPr/>
          <w:p>
            <w:pPr>
              <w:pStyle w:val="Compact"/>
              <w:spacing w:after="20" w:before="20" w:line="240" w:lineRule="auto"/>
              <w:jc w:val="left"/>
            </w:pPr>
            <w:r>
              <w:rPr>
                <w:sz w:val="17"/>
              </w:rPr>
              <w:t xml:space="preserve">Taxe sur les</w:t>
            </w:r>
            <w:r>
              <w:rPr>
                <w:sz w:val="17"/>
              </w:rPr>
              <w:t xml:space="preserve"> </w:t>
            </w:r>
            <w:r>
              <w:rPr>
                <w:sz w:val="17"/>
              </w:rPr>
              <w:t xml:space="preserve">ventes de</w:t>
            </w:r>
            <w:r>
              <w:rPr>
                <w:sz w:val="17"/>
              </w:rPr>
              <w:t xml:space="preserve"> </w:t>
            </w:r>
            <w:r>
              <w:rPr>
                <w:sz w:val="17"/>
              </w:rPr>
              <w:t xml:space="preserve">matières</w:t>
            </w:r>
            <w:r>
              <w:rPr>
                <w:sz w:val="17"/>
              </w:rPr>
              <w:t xml:space="preserve"> </w:t>
            </w:r>
            <w:r>
              <w:rPr>
                <w:sz w:val="17"/>
              </w:rPr>
              <w:t xml:space="preserve">précieuses</w:t>
            </w:r>
            <w:r>
              <w:rPr>
                <w:sz w:val="17"/>
              </w:rPr>
              <w:t xml:space="preserve"> </w:t>
            </w:r>
            <w:r>
              <w:rPr>
                <w:sz w:val="17"/>
              </w:rPr>
              <w:t xml:space="preserve">artisanales</w:t>
            </w:r>
          </w:p>
        </w:tc>
        <w:tc>
          <w:tcPr/>
          <w:p>
            <w:pPr>
              <w:pStyle w:val="Compact"/>
              <w:spacing w:after="20" w:before="20" w:line="240" w:lineRule="auto"/>
              <w:jc w:val="left"/>
            </w:pPr>
            <w:r>
              <w:rPr>
                <w:sz w:val="17"/>
              </w:rPr>
              <w:t xml:space="preserve">Comptoir,</w:t>
            </w:r>
            <w:r>
              <w:rPr>
                <w:sz w:val="17"/>
              </w:rPr>
              <w:t xml:space="preserve"> </w:t>
            </w:r>
            <w:r>
              <w:rPr>
                <w:sz w:val="17"/>
              </w:rPr>
              <w:t xml:space="preserve">négociant,</w:t>
            </w:r>
            <w:r>
              <w:rPr>
                <w:sz w:val="17"/>
              </w:rPr>
              <w:t xml:space="preserve"> </w:t>
            </w:r>
            <w:r>
              <w:rPr>
                <w:sz w:val="17"/>
              </w:rPr>
              <w:t xml:space="preserve">transaction</w:t>
            </w:r>
          </w:p>
        </w:tc>
        <w:tc>
          <w:tcPr/>
          <w:p>
            <w:pPr>
              <w:pStyle w:val="Compact"/>
              <w:spacing w:after="20" w:before="20" w:line="240" w:lineRule="auto"/>
              <w:jc w:val="left"/>
            </w:pPr>
            <w:r>
              <w:rPr>
                <w:sz w:val="17"/>
              </w:rPr>
              <w:t xml:space="preserve">Déclaration par transaction</w:t>
            </w:r>
            <w:r>
              <w:rPr>
                <w:sz w:val="17"/>
              </w:rPr>
              <w:t xml:space="preserve"> </w:t>
            </w:r>
            <w:r>
              <w:rPr>
                <w:sz w:val="17"/>
              </w:rPr>
              <w:t xml:space="preserve">des comptoirs agréés</w:t>
            </w:r>
          </w:p>
        </w:tc>
        <w:tc>
          <w:tcPr/>
          <w:p>
            <w:pPr>
              <w:pStyle w:val="Compact"/>
              <w:spacing w:after="20" w:before="20" w:line="240" w:lineRule="auto"/>
              <w:jc w:val="left"/>
            </w:pPr>
            <w:r>
              <w:rPr>
                <w:sz w:val="17"/>
              </w:rPr>
              <w:t xml:space="preserve">Faible à</w:t>
            </w:r>
            <w:r>
              <w:rPr>
                <w:sz w:val="17"/>
              </w:rPr>
              <w:t xml:space="preserve"> </w:t>
            </w:r>
            <w:r>
              <w:rPr>
                <w:sz w:val="17"/>
              </w:rPr>
              <w:t xml:space="preserve">Kinshasa</w:t>
            </w:r>
          </w:p>
        </w:tc>
      </w:tr>
    </w:tbl>
    <w:bookmarkEnd w:id="50"/>
    <w:bookmarkStart w:id="51" w:name="Xde3a8309605e9b4f045abe9f490fca29e06bc65"/>
    <w:p>
      <w:pPr>
        <w:pStyle w:val="Heading2"/>
      </w:pPr>
      <w:r>
        <w:t xml:space="preserve">7.3 Taxes, droits et redevances spécifiques à Kinshasa</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697"/>
        <w:gridCol w:w="1697"/>
        <w:gridCol w:w="2828"/>
        <w:gridCol w:w="1508"/>
      </w:tblGrid>
      <w:tr>
        <w:trPr>
          <w:tblHeader w:val="true"/>
          <w:tblHeader/>
        </w:trPr>
        <w:tc>
          <w:tcPr>
            <w:shd w:val="clear" w:color="auto" w:fill="1BA996"/>
          </w:tcPr>
          <w:p>
            <w:pPr>
              <w:pStyle w:val="Compact"/>
              <w:spacing w:after="20" w:before="20" w:line="240" w:lineRule="auto"/>
              <w:jc w:val="left"/>
            </w:pPr>
            <w:r>
              <w:rPr>
                <w:b/>
                <w:bCs/>
                <w:color w:val="FFFFFF"/>
                <w:sz w:val="17"/>
              </w:rPr>
              <w:t xml:space="preserve">Recette</w:t>
            </w:r>
          </w:p>
        </w:tc>
        <w:tc>
          <w:tcPr>
            <w:shd w:val="clear" w:color="auto" w:fill="1BA996"/>
          </w:tcPr>
          <w:p>
            <w:pPr>
              <w:pStyle w:val="Compact"/>
              <w:spacing w:after="20" w:before="20" w:line="240" w:lineRule="auto"/>
              <w:jc w:val="left"/>
            </w:pPr>
            <w:r>
              <w:rPr>
                <w:b/>
                <w:bCs/>
                <w:color w:val="FFFFFF"/>
                <w:sz w:val="17"/>
              </w:rPr>
              <w:t xml:space="preserve">Objet</w:t>
            </w:r>
          </w:p>
        </w:tc>
        <w:tc>
          <w:tcPr>
            <w:shd w:val="clear" w:color="auto" w:fill="1BA996"/>
          </w:tcPr>
          <w:p>
            <w:pPr>
              <w:pStyle w:val="Compact"/>
              <w:spacing w:after="20" w:before="20" w:line="240" w:lineRule="auto"/>
              <w:jc w:val="left"/>
            </w:pPr>
            <w:r>
              <w:rPr>
                <w:b/>
                <w:bCs/>
                <w:color w:val="FFFFFF"/>
                <w:sz w:val="17"/>
              </w:rPr>
              <w:t xml:space="preserve">Mécanisme de capture</w:t>
            </w:r>
          </w:p>
        </w:tc>
        <w:tc>
          <w:tcPr>
            <w:shd w:val="clear" w:color="auto" w:fill="1BA996"/>
          </w:tcPr>
          <w:p>
            <w:pPr>
              <w:pStyle w:val="Compact"/>
              <w:spacing w:after="20" w:before="20" w:line="240" w:lineRule="auto"/>
              <w:jc w:val="left"/>
            </w:pPr>
            <w:r>
              <w:rPr>
                <w:b/>
                <w:bCs/>
                <w:color w:val="FFFFFF"/>
                <w:sz w:val="17"/>
              </w:rPr>
              <w:t xml:space="preserve">Rendement</w:t>
            </w:r>
          </w:p>
        </w:tc>
      </w:tr>
      <w:tr>
        <w:tc>
          <w:tcPr/>
          <w:p>
            <w:pPr>
              <w:pStyle w:val="Compact"/>
              <w:spacing w:after="20" w:before="20" w:line="240" w:lineRule="auto"/>
              <w:jc w:val="left"/>
            </w:pPr>
            <w:r>
              <w:rPr>
                <w:sz w:val="17"/>
              </w:rPr>
              <w:t xml:space="preserve">Autorisation</w:t>
            </w:r>
            <w:r>
              <w:rPr>
                <w:sz w:val="17"/>
              </w:rPr>
              <w:t xml:space="preserve"> </w:t>
            </w:r>
            <w:r>
              <w:rPr>
                <w:sz w:val="17"/>
              </w:rPr>
              <w:t xml:space="preserve">d'exploitation</w:t>
            </w:r>
            <w:r>
              <w:rPr>
                <w:sz w:val="17"/>
              </w:rPr>
              <w:t xml:space="preserve"> </w:t>
            </w:r>
            <w:r>
              <w:rPr>
                <w:sz w:val="17"/>
              </w:rPr>
              <w:t xml:space="preserve">d'un débit de</w:t>
            </w:r>
            <w:r>
              <w:rPr>
                <w:sz w:val="17"/>
              </w:rPr>
              <w:t xml:space="preserve"> </w:t>
            </w:r>
            <w:r>
              <w:rPr>
                <w:sz w:val="17"/>
              </w:rPr>
              <w:t xml:space="preserve">boissons</w:t>
            </w:r>
          </w:p>
        </w:tc>
        <w:tc>
          <w:tcPr/>
          <w:p>
            <w:pPr>
              <w:pStyle w:val="Compact"/>
              <w:spacing w:after="20" w:before="20" w:line="240" w:lineRule="auto"/>
              <w:jc w:val="left"/>
            </w:pPr>
            <w:r>
              <w:rPr>
                <w:sz w:val="17"/>
              </w:rPr>
              <w:t xml:space="preserve">Établissement,</w:t>
            </w:r>
            <w:r>
              <w:rPr>
                <w:sz w:val="17"/>
              </w:rPr>
              <w:t xml:space="preserve"> </w:t>
            </w:r>
            <w:r>
              <w:rPr>
                <w:sz w:val="17"/>
              </w:rPr>
              <w:t xml:space="preserve">catégorie</w:t>
            </w:r>
          </w:p>
        </w:tc>
        <w:tc>
          <w:tcPr/>
          <w:p>
            <w:pPr>
              <w:pStyle w:val="Compact"/>
              <w:spacing w:after="20" w:before="20" w:line="240" w:lineRule="auto"/>
              <w:jc w:val="left"/>
            </w:pPr>
            <w:r>
              <w:rPr>
                <w:sz w:val="17"/>
              </w:rPr>
              <w:t xml:space="preserve">Recoupement avec les points</w:t>
            </w:r>
            <w:r>
              <w:rPr>
                <w:sz w:val="17"/>
              </w:rPr>
              <w:t xml:space="preserve"> </w:t>
            </w:r>
            <w:r>
              <w:rPr>
                <w:sz w:val="17"/>
              </w:rPr>
              <w:t xml:space="preserve">de livraison des dépôts</w:t>
            </w:r>
            <w:r>
              <w:rPr>
                <w:sz w:val="17"/>
              </w:rPr>
              <w:t xml:space="preserve"> </w:t>
            </w:r>
            <w:r>
              <w:rPr>
                <w:sz w:val="17"/>
              </w:rPr>
              <w:t xml:space="preserve">brassicoles : chaque point</w:t>
            </w:r>
            <w:r>
              <w:rPr>
                <w:sz w:val="17"/>
              </w:rPr>
              <w:t xml:space="preserve"> </w:t>
            </w:r>
            <w:r>
              <w:rPr>
                <w:sz w:val="17"/>
              </w:rPr>
              <w:t xml:space="preserve">livré est un débit potentiel</w:t>
            </w:r>
          </w:p>
        </w:tc>
        <w:tc>
          <w:tcPr/>
          <w:p>
            <w:pPr>
              <w:pStyle w:val="Compact"/>
              <w:spacing w:after="20" w:before="20" w:line="240" w:lineRule="auto"/>
              <w:jc w:val="left"/>
            </w:pPr>
            <w:r>
              <w:rPr>
                <w:sz w:val="17"/>
              </w:rPr>
              <w:t xml:space="preserve">Élevé</w:t>
            </w:r>
          </w:p>
        </w:tc>
      </w:tr>
      <w:tr>
        <w:tc>
          <w:tcPr>
            <w:shd w:val="clear" w:color="auto" w:fill="F2F9F8"/>
          </w:tcPr>
          <w:p>
            <w:pPr>
              <w:pStyle w:val="Compact"/>
              <w:spacing w:after="20" w:before="20" w:line="240" w:lineRule="auto"/>
              <w:jc w:val="left"/>
            </w:pPr>
            <w:r>
              <w:rPr>
                <w:sz w:val="17"/>
              </w:rPr>
              <w:t xml:space="preserve">Publicité</w:t>
            </w:r>
            <w:r>
              <w:rPr>
                <w:sz w:val="17"/>
              </w:rPr>
              <w:t xml:space="preserve"> </w:t>
            </w:r>
            <w:r>
              <w:rPr>
                <w:sz w:val="17"/>
              </w:rPr>
              <w:t xml:space="preserve">extérieure</w:t>
            </w:r>
          </w:p>
        </w:tc>
        <w:tc>
          <w:tcPr>
            <w:shd w:val="clear" w:color="auto" w:fill="F2F9F8"/>
          </w:tcPr>
          <w:p>
            <w:pPr>
              <w:pStyle w:val="Compact"/>
              <w:spacing w:after="20" w:before="20" w:line="240" w:lineRule="auto"/>
              <w:jc w:val="left"/>
            </w:pPr>
            <w:r>
              <w:rPr>
                <w:sz w:val="17"/>
              </w:rPr>
              <w:t xml:space="preserve">Panneau, face,</w:t>
            </w:r>
            <w:r>
              <w:rPr>
                <w:sz w:val="17"/>
              </w:rPr>
              <w:t xml:space="preserve"> </w:t>
            </w:r>
            <w:r>
              <w:rPr>
                <w:sz w:val="17"/>
              </w:rPr>
              <w:t xml:space="preserve">surface,</w:t>
            </w:r>
            <w:r>
              <w:rPr>
                <w:sz w:val="17"/>
              </w:rPr>
              <w:t xml:space="preserve"> </w:t>
            </w:r>
            <w:r>
              <w:rPr>
                <w:sz w:val="17"/>
              </w:rPr>
              <w:t xml:space="preserve">emplacement</w:t>
            </w:r>
          </w:p>
        </w:tc>
        <w:tc>
          <w:tcPr>
            <w:shd w:val="clear" w:color="auto" w:fill="F2F9F8"/>
          </w:tcPr>
          <w:p>
            <w:pPr>
              <w:pStyle w:val="Compact"/>
              <w:spacing w:after="20" w:before="20" w:line="240" w:lineRule="auto"/>
              <w:jc w:val="left"/>
            </w:pPr>
            <w:r>
              <w:rPr>
                <w:sz w:val="17"/>
              </w:rPr>
              <w:t xml:space="preserve">Identifiant géographique et</w:t>
            </w:r>
            <w:r>
              <w:rPr>
                <w:sz w:val="17"/>
              </w:rPr>
              <w:t xml:space="preserve"> </w:t>
            </w:r>
            <w:r>
              <w:rPr>
                <w:sz w:val="17"/>
              </w:rPr>
              <w:t xml:space="preserve">plaque QR par panneau ; tout</w:t>
            </w:r>
            <w:r>
              <w:rPr>
                <w:sz w:val="17"/>
              </w:rPr>
              <w:t xml:space="preserve"> </w:t>
            </w:r>
            <w:r>
              <w:rPr>
                <w:sz w:val="17"/>
              </w:rPr>
              <w:t xml:space="preserve">panneau sans plaque est non</w:t>
            </w:r>
            <w:r>
              <w:rPr>
                <w:sz w:val="17"/>
              </w:rPr>
              <w:t xml:space="preserve"> </w:t>
            </w:r>
            <w:r>
              <w:rPr>
                <w:sz w:val="17"/>
              </w:rPr>
              <w:t xml:space="preserve">enregistré</w:t>
            </w:r>
          </w:p>
        </w:tc>
        <w:tc>
          <w:tcPr>
            <w:shd w:val="clear" w:color="auto" w:fill="F2F9F8"/>
          </w:tcPr>
          <w:p>
            <w:pPr>
              <w:pStyle w:val="Compact"/>
              <w:spacing w:after="20" w:before="20" w:line="240" w:lineRule="auto"/>
              <w:jc w:val="left"/>
            </w:pPr>
            <w:r>
              <w:rPr>
                <w:sz w:val="17"/>
              </w:rPr>
              <w:t xml:space="preserve">Élevé</w:t>
            </w:r>
          </w:p>
        </w:tc>
      </w:tr>
      <w:tr>
        <w:tc>
          <w:tcPr/>
          <w:p>
            <w:pPr>
              <w:pStyle w:val="Compact"/>
              <w:spacing w:after="20" w:before="20" w:line="240" w:lineRule="auto"/>
              <w:jc w:val="left"/>
            </w:pPr>
            <w:r>
              <w:rPr>
                <w:sz w:val="17"/>
              </w:rPr>
              <w:t xml:space="preserve">Taxe sur les</w:t>
            </w:r>
            <w:r>
              <w:rPr>
                <w:sz w:val="17"/>
              </w:rPr>
              <w:t xml:space="preserve"> </w:t>
            </w:r>
            <w:r>
              <w:rPr>
                <w:sz w:val="17"/>
              </w:rPr>
              <w:t xml:space="preserve">antennes</w:t>
            </w:r>
          </w:p>
        </w:tc>
        <w:tc>
          <w:tcPr/>
          <w:p>
            <w:pPr>
              <w:pStyle w:val="Compact"/>
              <w:spacing w:after="20" w:before="20" w:line="240" w:lineRule="auto"/>
              <w:jc w:val="left"/>
            </w:pPr>
            <w:r>
              <w:rPr>
                <w:sz w:val="17"/>
              </w:rPr>
              <w:t xml:space="preserve">Site, pylône,</w:t>
            </w:r>
            <w:r>
              <w:rPr>
                <w:sz w:val="17"/>
              </w:rPr>
              <w:t xml:space="preserve"> </w:t>
            </w:r>
            <w:r>
              <w:rPr>
                <w:sz w:val="17"/>
              </w:rPr>
              <w:t xml:space="preserve">opérateur</w:t>
            </w:r>
          </w:p>
        </w:tc>
        <w:tc>
          <w:tcPr/>
          <w:p>
            <w:pPr>
              <w:pStyle w:val="Compact"/>
              <w:spacing w:after="20" w:before="20" w:line="240" w:lineRule="auto"/>
              <w:jc w:val="left"/>
            </w:pPr>
            <w:r>
              <w:rPr>
                <w:sz w:val="17"/>
              </w:rPr>
              <w:t xml:space="preserve">Liste des sites des</w:t>
            </w:r>
            <w:r>
              <w:rPr>
                <w:sz w:val="17"/>
              </w:rPr>
              <w:t xml:space="preserve"> </w:t>
            </w:r>
            <w:r>
              <w:rPr>
                <w:sz w:val="17"/>
              </w:rPr>
              <w:t xml:space="preserve">opérateurs ; très peu de</w:t>
            </w:r>
            <w:r>
              <w:rPr>
                <w:sz w:val="17"/>
              </w:rPr>
              <w:t xml:space="preserve"> </w:t>
            </w:r>
            <w:r>
              <w:rPr>
                <w:sz w:val="17"/>
              </w:rPr>
              <w:t xml:space="preserve">redevables, liquidation</w:t>
            </w:r>
            <w:r>
              <w:rPr>
                <w:sz w:val="17"/>
              </w:rPr>
              <w:t xml:space="preserve"> </w:t>
            </w:r>
            <w:r>
              <w:rPr>
                <w:sz w:val="17"/>
              </w:rPr>
              <w:t xml:space="preserve">annuelle automatique</w:t>
            </w:r>
          </w:p>
        </w:tc>
        <w:tc>
          <w:tcPr/>
          <w:p>
            <w:pPr>
              <w:pStyle w:val="Compact"/>
              <w:spacing w:after="20" w:before="20" w:line="240" w:lineRule="auto"/>
              <w:jc w:val="left"/>
            </w:pPr>
            <w:r>
              <w:rPr>
                <w:sz w:val="17"/>
              </w:rPr>
              <w:t xml:space="preserve">Élevé</w:t>
            </w:r>
          </w:p>
        </w:tc>
      </w:tr>
      <w:tr>
        <w:tc>
          <w:tcPr>
            <w:shd w:val="clear" w:color="auto" w:fill="F2F9F8"/>
          </w:tcPr>
          <w:p>
            <w:pPr>
              <w:pStyle w:val="Compact"/>
              <w:spacing w:after="20" w:before="20" w:line="240" w:lineRule="auto"/>
              <w:jc w:val="left"/>
            </w:pPr>
            <w:r>
              <w:rPr>
                <w:sz w:val="17"/>
              </w:rPr>
              <w:t xml:space="preserve">Autorisation de</w:t>
            </w:r>
            <w:r>
              <w:rPr>
                <w:sz w:val="17"/>
              </w:rPr>
              <w:t xml:space="preserve"> </w:t>
            </w:r>
            <w:r>
              <w:rPr>
                <w:sz w:val="17"/>
              </w:rPr>
              <w:t xml:space="preserve">transport ;</w:t>
            </w:r>
            <w:r>
              <w:rPr>
                <w:sz w:val="17"/>
              </w:rPr>
              <w:t xml:space="preserve"> </w:t>
            </w:r>
            <w:r>
              <w:rPr>
                <w:sz w:val="17"/>
              </w:rPr>
              <w:t xml:space="preserve">embarquement et</w:t>
            </w:r>
            <w:r>
              <w:rPr>
                <w:sz w:val="17"/>
              </w:rPr>
              <w:t xml:space="preserve"> </w:t>
            </w:r>
            <w:r>
              <w:rPr>
                <w:sz w:val="17"/>
              </w:rPr>
              <w:t xml:space="preserve">débarquement</w:t>
            </w:r>
          </w:p>
        </w:tc>
        <w:tc>
          <w:tcPr>
            <w:shd w:val="clear" w:color="auto" w:fill="F2F9F8"/>
          </w:tcPr>
          <w:p>
            <w:pPr>
              <w:pStyle w:val="Compact"/>
              <w:spacing w:after="20" w:before="20" w:line="240" w:lineRule="auto"/>
              <w:jc w:val="left"/>
            </w:pPr>
            <w:r>
              <w:rPr>
                <w:sz w:val="17"/>
              </w:rPr>
              <w:t xml:space="preserve">Véhicule de</w:t>
            </w:r>
            <w:r>
              <w:rPr>
                <w:sz w:val="17"/>
              </w:rPr>
              <w:t xml:space="preserve"> </w:t>
            </w:r>
            <w:r>
              <w:rPr>
                <w:sz w:val="17"/>
              </w:rPr>
              <w:t xml:space="preserve">transport,</w:t>
            </w:r>
            <w:r>
              <w:rPr>
                <w:sz w:val="17"/>
              </w:rPr>
              <w:t xml:space="preserve"> </w:t>
            </w:r>
            <w:r>
              <w:rPr>
                <w:sz w:val="17"/>
              </w:rPr>
              <w:t xml:space="preserve">embarcation,</w:t>
            </w:r>
            <w:r>
              <w:rPr>
                <w:sz w:val="17"/>
              </w:rPr>
              <w:t xml:space="preserve"> </w:t>
            </w:r>
            <w:r>
              <w:rPr>
                <w:sz w:val="17"/>
              </w:rPr>
              <w:t xml:space="preserve">point</w:t>
            </w:r>
            <w:r>
              <w:rPr>
                <w:sz w:val="17"/>
              </w:rPr>
              <w:t xml:space="preserve"> </w:t>
            </w:r>
            <w:r>
              <w:rPr>
                <w:sz w:val="17"/>
              </w:rPr>
              <w:t xml:space="preserve">d'embarquement</w:t>
            </w:r>
          </w:p>
        </w:tc>
        <w:tc>
          <w:tcPr>
            <w:shd w:val="clear" w:color="auto" w:fill="F2F9F8"/>
          </w:tcPr>
          <w:p>
            <w:pPr>
              <w:pStyle w:val="Compact"/>
              <w:spacing w:after="20" w:before="20" w:line="240" w:lineRule="auto"/>
              <w:jc w:val="left"/>
            </w:pPr>
            <w:r>
              <w:rPr>
                <w:sz w:val="17"/>
              </w:rPr>
              <w:t xml:space="preserve">Autorisation rattachée à</w:t>
            </w:r>
            <w:r>
              <w:rPr>
                <w:sz w:val="17"/>
              </w:rPr>
              <w:t xml:space="preserve"> </w:t>
            </w:r>
            <w:r>
              <w:rPr>
                <w:sz w:val="17"/>
              </w:rPr>
              <w:t xml:space="preserve">l'objet ; perception par</w:t>
            </w:r>
            <w:r>
              <w:rPr>
                <w:sz w:val="17"/>
              </w:rPr>
              <w:t xml:space="preserve"> </w:t>
            </w:r>
            <w:r>
              <w:rPr>
                <w:sz w:val="17"/>
              </w:rPr>
              <w:t xml:space="preserve">voie mobile au point de</w:t>
            </w:r>
            <w:r>
              <w:rPr>
                <w:sz w:val="17"/>
              </w:rPr>
              <w:t xml:space="preserve"> </w:t>
            </w:r>
            <w:r>
              <w:rPr>
                <w:sz w:val="17"/>
              </w:rPr>
              <w:t xml:space="preserve">départ</w:t>
            </w:r>
          </w:p>
        </w:tc>
        <w:tc>
          <w:tcPr>
            <w:shd w:val="clear" w:color="auto" w:fill="F2F9F8"/>
          </w:tcPr>
          <w:p>
            <w:pPr>
              <w:pStyle w:val="Compact"/>
              <w:spacing w:after="20" w:before="20" w:line="240" w:lineRule="auto"/>
              <w:jc w:val="left"/>
            </w:pPr>
            <w:r>
              <w:rPr>
                <w:sz w:val="17"/>
              </w:rPr>
              <w:t xml:space="preserve">Moyen</w:t>
            </w:r>
          </w:p>
        </w:tc>
      </w:tr>
      <w:tr>
        <w:tc>
          <w:tcPr/>
          <w:p>
            <w:pPr>
              <w:pStyle w:val="Compact"/>
              <w:spacing w:after="20" w:before="20" w:line="240" w:lineRule="auto"/>
              <w:jc w:val="left"/>
            </w:pPr>
            <w:r>
              <w:rPr>
                <w:sz w:val="17"/>
              </w:rPr>
              <w:t xml:space="preserve">Taxe sur les</w:t>
            </w:r>
            <w:r>
              <w:rPr>
                <w:sz w:val="17"/>
              </w:rPr>
              <w:t xml:space="preserve"> </w:t>
            </w:r>
            <w:r>
              <w:rPr>
                <w:sz w:val="17"/>
              </w:rPr>
              <w:t xml:space="preserve">spectacles</w:t>
            </w:r>
          </w:p>
        </w:tc>
        <w:tc>
          <w:tcPr/>
          <w:p>
            <w:pPr>
              <w:pStyle w:val="Compact"/>
              <w:spacing w:after="20" w:before="20" w:line="240" w:lineRule="auto"/>
              <w:jc w:val="left"/>
            </w:pPr>
            <w:r>
              <w:rPr>
                <w:sz w:val="17"/>
              </w:rPr>
              <w:t xml:space="preserve">Événement, salle,</w:t>
            </w:r>
            <w:r>
              <w:rPr>
                <w:sz w:val="17"/>
              </w:rPr>
              <w:t xml:space="preserve"> </w:t>
            </w:r>
            <w:r>
              <w:rPr>
                <w:sz w:val="17"/>
              </w:rPr>
              <w:t xml:space="preserve">organisateur</w:t>
            </w:r>
          </w:p>
        </w:tc>
        <w:tc>
          <w:tcPr/>
          <w:p>
            <w:pPr>
              <w:pStyle w:val="Compact"/>
              <w:spacing w:after="20" w:before="20" w:line="240" w:lineRule="auto"/>
              <w:jc w:val="left"/>
            </w:pPr>
            <w:r>
              <w:rPr>
                <w:sz w:val="17"/>
              </w:rPr>
              <w:t xml:space="preserve">Autorisation d'événement</w:t>
            </w:r>
            <w:r>
              <w:rPr>
                <w:sz w:val="17"/>
              </w:rPr>
              <w:t xml:space="preserve"> </w:t>
            </w:r>
            <w:r>
              <w:rPr>
                <w:sz w:val="17"/>
              </w:rPr>
              <w:t xml:space="preserve">conditionnée à</w:t>
            </w:r>
            <w:r>
              <w:rPr>
                <w:sz w:val="17"/>
              </w:rPr>
              <w:t xml:space="preserve"> </w:t>
            </w:r>
            <w:r>
              <w:rPr>
                <w:sz w:val="17"/>
              </w:rPr>
              <w:t xml:space="preserve">l'enregistrement ; assiette</w:t>
            </w:r>
            <w:r>
              <w:rPr>
                <w:sz w:val="17"/>
              </w:rPr>
              <w:t xml:space="preserve"> </w:t>
            </w:r>
            <w:r>
              <w:rPr>
                <w:sz w:val="17"/>
              </w:rPr>
              <w:t xml:space="preserve">sur la billetterie déclarée</w:t>
            </w:r>
          </w:p>
        </w:tc>
        <w:tc>
          <w:tcPr/>
          <w:p>
            <w:pPr>
              <w:pStyle w:val="Compact"/>
              <w:spacing w:after="20" w:before="20" w:line="240" w:lineRule="auto"/>
              <w:jc w:val="left"/>
            </w:pPr>
            <w:r>
              <w:rPr>
                <w:sz w:val="17"/>
              </w:rPr>
              <w:t xml:space="preserve">Moyen</w:t>
            </w:r>
          </w:p>
        </w:tc>
      </w:tr>
      <w:tr>
        <w:tc>
          <w:tcPr>
            <w:shd w:val="clear" w:color="auto" w:fill="F2F9F8"/>
          </w:tcPr>
          <w:p>
            <w:pPr>
              <w:pStyle w:val="Compact"/>
              <w:spacing w:after="20" w:before="20" w:line="240" w:lineRule="auto"/>
              <w:jc w:val="left"/>
            </w:pPr>
            <w:r>
              <w:rPr>
                <w:sz w:val="17"/>
              </w:rPr>
              <w:t xml:space="preserve">Carrières à ciel</w:t>
            </w:r>
            <w:r>
              <w:rPr>
                <w:sz w:val="17"/>
              </w:rPr>
              <w:t xml:space="preserve"> </w:t>
            </w:r>
            <w:r>
              <w:rPr>
                <w:sz w:val="17"/>
              </w:rPr>
              <w:t xml:space="preserve">ouvert</w:t>
            </w:r>
          </w:p>
        </w:tc>
        <w:tc>
          <w:tcPr>
            <w:shd w:val="clear" w:color="auto" w:fill="F2F9F8"/>
          </w:tcPr>
          <w:p>
            <w:pPr>
              <w:pStyle w:val="Compact"/>
              <w:spacing w:after="20" w:before="20" w:line="240" w:lineRule="auto"/>
              <w:jc w:val="left"/>
            </w:pPr>
            <w:r>
              <w:rPr>
                <w:sz w:val="17"/>
              </w:rPr>
              <w:t xml:space="preserve">Site</w:t>
            </w:r>
            <w:r>
              <w:rPr>
                <w:sz w:val="17"/>
              </w:rPr>
              <w:t xml:space="preserve"> </w:t>
            </w:r>
            <w:r>
              <w:rPr>
                <w:sz w:val="17"/>
              </w:rPr>
              <w:t xml:space="preserve">d'extraction,</w:t>
            </w:r>
            <w:r>
              <w:rPr>
                <w:sz w:val="17"/>
              </w:rPr>
              <w:t xml:space="preserve"> </w:t>
            </w:r>
            <w:r>
              <w:rPr>
                <w:sz w:val="17"/>
              </w:rPr>
              <w:t xml:space="preserve">exploitant</w:t>
            </w:r>
          </w:p>
        </w:tc>
        <w:tc>
          <w:tcPr>
            <w:shd w:val="clear" w:color="auto" w:fill="F2F9F8"/>
          </w:tcPr>
          <w:p>
            <w:pPr>
              <w:pStyle w:val="Compact"/>
              <w:spacing w:after="20" w:before="20" w:line="240" w:lineRule="auto"/>
              <w:jc w:val="left"/>
            </w:pPr>
            <w:r>
              <w:rPr>
                <w:sz w:val="17"/>
              </w:rPr>
              <w:t xml:space="preserve">Sites géoréférencés, comptage</w:t>
            </w:r>
            <w:r>
              <w:rPr>
                <w:sz w:val="17"/>
              </w:rPr>
              <w:t xml:space="preserve"> </w:t>
            </w:r>
            <w:r>
              <w:rPr>
                <w:sz w:val="17"/>
              </w:rPr>
              <w:t xml:space="preserve">des sorties de camions</w:t>
            </w:r>
            <w:r>
              <w:rPr>
                <w:sz w:val="17"/>
              </w:rPr>
              <w:t xml:space="preserve"> </w:t>
            </w:r>
            <w:r>
              <w:rPr>
                <w:sz w:val="17"/>
              </w:rPr>
              <w:t xml:space="preserve">rapproché des déclarations</w:t>
            </w:r>
          </w:p>
        </w:tc>
        <w:tc>
          <w:tcPr>
            <w:shd w:val="clear" w:color="auto" w:fill="F2F9F8"/>
          </w:tcPr>
          <w:p>
            <w:pPr>
              <w:pStyle w:val="Compact"/>
              <w:spacing w:after="20" w:before="20" w:line="240" w:lineRule="auto"/>
              <w:jc w:val="left"/>
            </w:pPr>
            <w:r>
              <w:rPr>
                <w:sz w:val="17"/>
              </w:rPr>
              <w:t xml:space="preserve">Moyen</w:t>
            </w:r>
          </w:p>
        </w:tc>
      </w:tr>
      <w:tr>
        <w:tc>
          <w:tcPr/>
          <w:p>
            <w:pPr>
              <w:pStyle w:val="Compact"/>
              <w:spacing w:after="20" w:before="20" w:line="240" w:lineRule="auto"/>
              <w:jc w:val="left"/>
            </w:pPr>
            <w:r>
              <w:rPr>
                <w:sz w:val="17"/>
              </w:rPr>
              <w:t xml:space="preserve">Voirie, drainage,</w:t>
            </w:r>
            <w:r>
              <w:rPr>
                <w:sz w:val="17"/>
              </w:rPr>
              <w:t xml:space="preserve"> </w:t>
            </w:r>
            <w:r>
              <w:rPr>
                <w:sz w:val="17"/>
              </w:rPr>
              <w:t xml:space="preserve">assainissement</w:t>
            </w:r>
          </w:p>
        </w:tc>
        <w:tc>
          <w:tcPr/>
          <w:p>
            <w:pPr>
              <w:pStyle w:val="Compact"/>
              <w:spacing w:after="20" w:before="20" w:line="240" w:lineRule="auto"/>
              <w:jc w:val="left"/>
            </w:pPr>
            <w:r>
              <w:rPr>
                <w:sz w:val="17"/>
              </w:rPr>
              <w:t xml:space="preserve">Parcelle,</w:t>
            </w:r>
            <w:r>
              <w:rPr>
                <w:sz w:val="17"/>
              </w:rPr>
              <w:t xml:space="preserve"> </w:t>
            </w:r>
            <w:r>
              <w:rPr>
                <w:sz w:val="17"/>
              </w:rPr>
              <w:t xml:space="preserve">activité</w:t>
            </w:r>
          </w:p>
        </w:tc>
        <w:tc>
          <w:tcPr/>
          <w:p>
            <w:pPr>
              <w:pStyle w:val="Compact"/>
              <w:spacing w:after="20" w:before="20" w:line="240" w:lineRule="auto"/>
              <w:jc w:val="left"/>
            </w:pPr>
            <w:r>
              <w:rPr>
                <w:sz w:val="17"/>
              </w:rPr>
              <w:t xml:space="preserve">Adossé aux objets existants,</w:t>
            </w:r>
            <w:r>
              <w:rPr>
                <w:sz w:val="17"/>
              </w:rPr>
              <w:t xml:space="preserve"> </w:t>
            </w:r>
            <w:r>
              <w:rPr>
                <w:sz w:val="17"/>
              </w:rPr>
              <w:t xml:space="preserve">sans recensement</w:t>
            </w:r>
            <w:r>
              <w:rPr>
                <w:sz w:val="17"/>
              </w:rPr>
              <w:t xml:space="preserve"> </w:t>
            </w:r>
            <w:r>
              <w:rPr>
                <w:sz w:val="17"/>
              </w:rPr>
              <w:t xml:space="preserve">supplémentaire</w:t>
            </w:r>
          </w:p>
        </w:tc>
        <w:tc>
          <w:tcPr/>
          <w:p>
            <w:pPr>
              <w:pStyle w:val="Compact"/>
              <w:spacing w:after="20" w:before="20" w:line="240" w:lineRule="auto"/>
              <w:jc w:val="left"/>
            </w:pPr>
            <w:r>
              <w:rPr>
                <w:sz w:val="17"/>
              </w:rPr>
              <w:t xml:space="preserve">Moyen</w:t>
            </w:r>
          </w:p>
        </w:tc>
      </w:tr>
      <w:tr>
        <w:tc>
          <w:tcPr>
            <w:shd w:val="clear" w:color="auto" w:fill="F2F9F8"/>
          </w:tcPr>
          <w:p>
            <w:pPr>
              <w:pStyle w:val="Compact"/>
              <w:spacing w:after="20" w:before="20" w:line="240" w:lineRule="auto"/>
              <w:jc w:val="left"/>
            </w:pPr>
            <w:r>
              <w:rPr>
                <w:sz w:val="17"/>
              </w:rPr>
              <w:t xml:space="preserve">Occupation du</w:t>
            </w:r>
            <w:r>
              <w:rPr>
                <w:sz w:val="17"/>
              </w:rPr>
              <w:t xml:space="preserve"> </w:t>
            </w:r>
            <w:r>
              <w:rPr>
                <w:sz w:val="17"/>
              </w:rPr>
              <w:t xml:space="preserve">domaine public,</w:t>
            </w:r>
            <w:r>
              <w:rPr>
                <w:sz w:val="17"/>
              </w:rPr>
              <w:t xml:space="preserve"> </w:t>
            </w:r>
            <w:r>
              <w:rPr>
                <w:sz w:val="17"/>
              </w:rPr>
              <w:t xml:space="preserve">marchés, parkings</w:t>
            </w:r>
          </w:p>
        </w:tc>
        <w:tc>
          <w:tcPr>
            <w:shd w:val="clear" w:color="auto" w:fill="F2F9F8"/>
          </w:tcPr>
          <w:p>
            <w:pPr>
              <w:pStyle w:val="Compact"/>
              <w:spacing w:after="20" w:before="20" w:line="240" w:lineRule="auto"/>
              <w:jc w:val="left"/>
            </w:pPr>
            <w:r>
              <w:rPr>
                <w:sz w:val="17"/>
              </w:rPr>
              <w:t xml:space="preserve">Emprise, étal,</w:t>
            </w:r>
            <w:r>
              <w:rPr>
                <w:sz w:val="17"/>
              </w:rPr>
              <w:t xml:space="preserve"> </w:t>
            </w:r>
            <w:r>
              <w:rPr>
                <w:sz w:val="17"/>
              </w:rPr>
              <w:t xml:space="preserve">place</w:t>
            </w:r>
          </w:p>
        </w:tc>
        <w:tc>
          <w:tcPr>
            <w:shd w:val="clear" w:color="auto" w:fill="F2F9F8"/>
          </w:tcPr>
          <w:p>
            <w:pPr>
              <w:pStyle w:val="Compact"/>
              <w:spacing w:after="20" w:before="20" w:line="240" w:lineRule="auto"/>
              <w:jc w:val="left"/>
            </w:pPr>
            <w:r>
              <w:rPr>
                <w:sz w:val="17"/>
              </w:rPr>
              <w:t xml:space="preserve">Plan géoréférencé des</w:t>
            </w:r>
            <w:r>
              <w:rPr>
                <w:sz w:val="17"/>
              </w:rPr>
              <w:t xml:space="preserve"> </w:t>
            </w:r>
            <w:r>
              <w:rPr>
                <w:sz w:val="17"/>
              </w:rPr>
              <w:t xml:space="preserve">emprises et des places ;</w:t>
            </w:r>
            <w:r>
              <w:rPr>
                <w:sz w:val="17"/>
              </w:rPr>
              <w:t xml:space="preserve"> </w:t>
            </w:r>
            <w:r>
              <w:rPr>
                <w:sz w:val="17"/>
              </w:rPr>
              <w:t xml:space="preserve">redevance périodique par voie</w:t>
            </w:r>
            <w:r>
              <w:rPr>
                <w:sz w:val="17"/>
              </w:rPr>
              <w:t xml:space="preserve"> </w:t>
            </w:r>
            <w:r>
              <w:rPr>
                <w:sz w:val="17"/>
              </w:rPr>
              <w:t xml:space="preserve">mobile</w:t>
            </w:r>
          </w:p>
        </w:tc>
        <w:tc>
          <w:tcPr>
            <w:shd w:val="clear" w:color="auto" w:fill="F2F9F8"/>
          </w:tcPr>
          <w:p>
            <w:pPr>
              <w:pStyle w:val="Compact"/>
              <w:spacing w:after="20" w:before="20" w:line="240" w:lineRule="auto"/>
              <w:jc w:val="left"/>
            </w:pPr>
            <w:r>
              <w:rPr>
                <w:sz w:val="17"/>
              </w:rPr>
              <w:t xml:space="preserve">Moyen à élevé</w:t>
            </w:r>
          </w:p>
        </w:tc>
      </w:tr>
      <w:tr>
        <w:tc>
          <w:tcPr/>
          <w:p>
            <w:pPr>
              <w:pStyle w:val="Compact"/>
              <w:spacing w:after="20" w:before="20" w:line="240" w:lineRule="auto"/>
              <w:jc w:val="left"/>
            </w:pPr>
            <w:r>
              <w:rPr>
                <w:sz w:val="17"/>
              </w:rPr>
              <w:t xml:space="preserve">Péage provincial,</w:t>
            </w:r>
            <w:r>
              <w:rPr>
                <w:sz w:val="17"/>
              </w:rPr>
              <w:t xml:space="preserve"> </w:t>
            </w:r>
            <w:r>
              <w:rPr>
                <w:sz w:val="17"/>
              </w:rPr>
              <w:t xml:space="preserve">accostage en</w:t>
            </w:r>
            <w:r>
              <w:rPr>
                <w:sz w:val="17"/>
              </w:rPr>
              <w:t xml:space="preserve"> </w:t>
            </w:r>
            <w:r>
              <w:rPr>
                <w:sz w:val="17"/>
              </w:rPr>
              <w:t xml:space="preserve">ports privés</w:t>
            </w:r>
          </w:p>
        </w:tc>
        <w:tc>
          <w:tcPr/>
          <w:p>
            <w:pPr>
              <w:pStyle w:val="Compact"/>
              <w:spacing w:after="20" w:before="20" w:line="240" w:lineRule="auto"/>
              <w:jc w:val="left"/>
            </w:pPr>
            <w:r>
              <w:rPr>
                <w:sz w:val="17"/>
              </w:rPr>
              <w:t xml:space="preserve">Axe, quai,</w:t>
            </w:r>
            <w:r>
              <w:rPr>
                <w:sz w:val="17"/>
              </w:rPr>
              <w:t xml:space="preserve"> </w:t>
            </w:r>
            <w:r>
              <w:rPr>
                <w:sz w:val="17"/>
              </w:rPr>
              <w:t xml:space="preserve">embarcation</w:t>
            </w:r>
          </w:p>
        </w:tc>
        <w:tc>
          <w:tcPr/>
          <w:p>
            <w:pPr>
              <w:pStyle w:val="Compact"/>
              <w:spacing w:after="20" w:before="20" w:line="240" w:lineRule="auto"/>
              <w:jc w:val="left"/>
            </w:pPr>
            <w:r>
              <w:rPr>
                <w:sz w:val="17"/>
              </w:rPr>
              <w:t xml:space="preserve">Reçu électronique lié à la</w:t>
            </w:r>
            <w:r>
              <w:rPr>
                <w:sz w:val="17"/>
              </w:rPr>
              <w:t xml:space="preserve"> </w:t>
            </w:r>
            <w:r>
              <w:rPr>
                <w:sz w:val="17"/>
              </w:rPr>
              <w:t xml:space="preserve">plaque ou à l'embarcation</w:t>
            </w:r>
          </w:p>
        </w:tc>
        <w:tc>
          <w:tcPr/>
          <w:p>
            <w:pPr>
              <w:pStyle w:val="Compact"/>
              <w:spacing w:after="20" w:before="20" w:line="240" w:lineRule="auto"/>
              <w:jc w:val="left"/>
            </w:pPr>
            <w:r>
              <w:rPr>
                <w:sz w:val="17"/>
              </w:rPr>
              <w:t xml:space="preserve">Moyen</w:t>
            </w:r>
          </w:p>
        </w:tc>
      </w:tr>
      <w:tr>
        <w:tc>
          <w:tcPr>
            <w:shd w:val="clear" w:color="auto" w:fill="F2F9F8"/>
          </w:tcPr>
          <w:p>
            <w:pPr>
              <w:pStyle w:val="Compact"/>
              <w:spacing w:after="20" w:before="20" w:line="240" w:lineRule="auto"/>
              <w:jc w:val="left"/>
            </w:pPr>
            <w:r>
              <w:rPr>
                <w:sz w:val="17"/>
              </w:rPr>
              <w:t xml:space="preserve">Produits</w:t>
            </w:r>
            <w:r>
              <w:rPr>
                <w:sz w:val="17"/>
              </w:rPr>
              <w:t xml:space="preserve"> </w:t>
            </w:r>
            <w:r>
              <w:rPr>
                <w:sz w:val="17"/>
              </w:rPr>
              <w:t xml:space="preserve">forestiers non</w:t>
            </w:r>
            <w:r>
              <w:rPr>
                <w:sz w:val="17"/>
              </w:rPr>
              <w:t xml:space="preserve"> </w:t>
            </w:r>
            <w:r>
              <w:rPr>
                <w:sz w:val="17"/>
              </w:rPr>
              <w:t xml:space="preserve">ligneux</w:t>
            </w:r>
          </w:p>
        </w:tc>
        <w:tc>
          <w:tcPr>
            <w:shd w:val="clear" w:color="auto" w:fill="F2F9F8"/>
          </w:tcPr>
          <w:p>
            <w:pPr>
              <w:pStyle w:val="Compact"/>
              <w:spacing w:after="20" w:before="20" w:line="240" w:lineRule="auto"/>
              <w:jc w:val="left"/>
            </w:pPr>
            <w:r>
              <w:rPr>
                <w:sz w:val="17"/>
              </w:rPr>
              <w:t xml:space="preserve">Point de vente,</w:t>
            </w:r>
            <w:r>
              <w:rPr>
                <w:sz w:val="17"/>
              </w:rPr>
              <w:t xml:space="preserve"> </w:t>
            </w:r>
            <w:r>
              <w:rPr>
                <w:sz w:val="17"/>
              </w:rPr>
              <w:t xml:space="preserve">quantité</w:t>
            </w:r>
          </w:p>
        </w:tc>
        <w:tc>
          <w:tcPr>
            <w:shd w:val="clear" w:color="auto" w:fill="F2F9F8"/>
          </w:tcPr>
          <w:p>
            <w:pPr>
              <w:pStyle w:val="Compact"/>
              <w:spacing w:after="20" w:before="20" w:line="240" w:lineRule="auto"/>
              <w:jc w:val="left"/>
            </w:pPr>
            <w:r>
              <w:rPr>
                <w:sz w:val="17"/>
              </w:rPr>
              <w:t xml:space="preserve">Déclaration aux points de</w:t>
            </w:r>
            <w:r>
              <w:rPr>
                <w:sz w:val="17"/>
              </w:rPr>
              <w:t xml:space="preserve"> </w:t>
            </w:r>
            <w:r>
              <w:rPr>
                <w:sz w:val="17"/>
              </w:rPr>
              <w:t xml:space="preserve">contrôle</w:t>
            </w:r>
          </w:p>
        </w:tc>
        <w:tc>
          <w:tcPr>
            <w:shd w:val="clear" w:color="auto" w:fill="F2F9F8"/>
          </w:tcPr>
          <w:p>
            <w:pPr>
              <w:pStyle w:val="Compact"/>
              <w:spacing w:after="20" w:before="20" w:line="240" w:lineRule="auto"/>
              <w:jc w:val="left"/>
            </w:pPr>
            <w:r>
              <w:rPr>
                <w:sz w:val="17"/>
              </w:rPr>
              <w:t xml:space="preserve">Faible</w:t>
            </w:r>
          </w:p>
        </w:tc>
      </w:tr>
    </w:tbl>
    <w:bookmarkEnd w:id="51"/>
    <w:bookmarkStart w:id="52" w:name="X5e230de1722ba1cff4eca2c1d33ad01841058ad"/>
    <w:p>
      <w:pPr>
        <w:pStyle w:val="Heading2"/>
      </w:pPr>
      <w:r>
        <w:t xml:space="preserve">7.4 Cartographie actuelle des recettes (inventaire de référence)</w:t>
      </w:r>
    </w:p>
    <w:p>
      <w:pPr>
        <w:pStyle w:val="FirstParagraph"/>
      </w:pPr>
      <w:r>
        <w:t xml:space="preserve">Le programme construit l’inventaire exhaustif des impôts, droits, taxes, redevances, recettes administratives, domaniales, patrimoniales et autres recettes légalement mobilisables. Le catalogue couvre les recettes provinciales et locales légalement applicables — foncier, véhicules, revenus locatifs et autres catégories autorisées — ainsi que les droits, taxes, redevances et recettes non fiscales validés. Pour chaque ligne, l’inventaire renseigne :</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Attribut</w:t>
            </w:r>
          </w:p>
        </w:tc>
        <w:tc>
          <w:tcPr>
            <w:shd w:val="clear" w:color="auto" w:fill="1BA996"/>
          </w:tcPr>
          <w:p>
            <w:pPr>
              <w:pStyle w:val="Compact"/>
              <w:spacing w:after="20" w:before="20" w:line="240" w:lineRule="auto"/>
              <w:jc w:val="left"/>
            </w:pPr>
            <w:r>
              <w:rPr>
                <w:b/>
                <w:color w:val="FFFFFF"/>
                <w:sz w:val="17"/>
              </w:rPr>
              <w:t xml:space="preserve">Contenu attendu</w:t>
            </w:r>
          </w:p>
        </w:tc>
      </w:tr>
      <w:tr>
        <w:tc>
          <w:tcPr/>
          <w:p>
            <w:pPr>
              <w:pStyle w:val="Compact"/>
              <w:spacing w:after="20" w:before="20" w:line="240" w:lineRule="auto"/>
              <w:jc w:val="left"/>
            </w:pPr>
            <w:r>
              <w:rPr>
                <w:sz w:val="17"/>
              </w:rPr>
              <w:t xml:space="preserve">Administration</w:t>
            </w:r>
          </w:p>
        </w:tc>
        <w:tc>
          <w:tcPr/>
          <w:p>
            <w:pPr>
              <w:pStyle w:val="Compact"/>
              <w:spacing w:after="20" w:before="20" w:line="240" w:lineRule="auto"/>
              <w:jc w:val="left"/>
            </w:pPr>
            <w:r>
              <w:rPr>
                <w:sz w:val="17"/>
              </w:rPr>
              <w:t xml:space="preserve">Régie ou service légalement responsable</w:t>
            </w:r>
          </w:p>
        </w:tc>
      </w:tr>
      <w:tr>
        <w:tc>
          <w:tcPr>
            <w:shd w:val="clear" w:color="auto" w:fill="F2F9F8"/>
          </w:tcPr>
          <w:p>
            <w:pPr>
              <w:pStyle w:val="Compact"/>
              <w:spacing w:after="20" w:before="20" w:line="240" w:lineRule="auto"/>
              <w:jc w:val="left"/>
            </w:pPr>
            <w:r>
              <w:rPr>
                <w:sz w:val="17"/>
              </w:rPr>
              <w:t xml:space="preserve">Base légale</w:t>
            </w:r>
          </w:p>
        </w:tc>
        <w:tc>
          <w:tcPr>
            <w:shd w:val="clear" w:color="auto" w:fill="F2F9F8"/>
          </w:tcPr>
          <w:p>
            <w:pPr>
              <w:pStyle w:val="Compact"/>
              <w:spacing w:after="20" w:before="20" w:line="240" w:lineRule="auto"/>
              <w:jc w:val="left"/>
            </w:pPr>
            <w:r>
              <w:rPr>
                <w:sz w:val="17"/>
              </w:rPr>
              <w:t xml:space="preserve">Texte, article, statut de validation</w:t>
            </w:r>
          </w:p>
        </w:tc>
      </w:tr>
      <w:tr>
        <w:tc>
          <w:tcPr/>
          <w:p>
            <w:pPr>
              <w:pStyle w:val="Compact"/>
              <w:spacing w:after="20" w:before="20" w:line="240" w:lineRule="auto"/>
              <w:jc w:val="left"/>
            </w:pPr>
            <w:r>
              <w:rPr>
                <w:sz w:val="17"/>
              </w:rPr>
              <w:t xml:space="preserve">Mode actuel de perception</w:t>
            </w:r>
          </w:p>
        </w:tc>
        <w:tc>
          <w:tcPr/>
          <w:p>
            <w:pPr>
              <w:pStyle w:val="Compact"/>
              <w:spacing w:after="20" w:before="20" w:line="240" w:lineRule="auto"/>
              <w:jc w:val="left"/>
            </w:pPr>
            <w:r>
              <w:rPr>
                <w:sz w:val="17"/>
              </w:rPr>
              <w:t xml:space="preserve">Déclaratif, liquidation d’office, perception au point de service, etc.</w:t>
            </w:r>
          </w:p>
        </w:tc>
      </w:tr>
      <w:tr>
        <w:tc>
          <w:tcPr>
            <w:shd w:val="clear" w:color="auto" w:fill="F2F9F8"/>
          </w:tcPr>
          <w:p>
            <w:pPr>
              <w:pStyle w:val="Compact"/>
              <w:spacing w:after="20" w:before="20" w:line="240" w:lineRule="auto"/>
              <w:jc w:val="left"/>
            </w:pPr>
            <w:r>
              <w:rPr>
                <w:sz w:val="17"/>
              </w:rPr>
              <w:t xml:space="preserve">Canal</w:t>
            </w:r>
          </w:p>
        </w:tc>
        <w:tc>
          <w:tcPr>
            <w:shd w:val="clear" w:color="auto" w:fill="F2F9F8"/>
          </w:tcPr>
          <w:p>
            <w:pPr>
              <w:pStyle w:val="Compact"/>
              <w:spacing w:after="20" w:before="20" w:line="240" w:lineRule="auto"/>
              <w:jc w:val="left"/>
            </w:pPr>
            <w:r>
              <w:rPr>
                <w:sz w:val="17"/>
              </w:rPr>
              <w:t xml:space="preserve">Guichet, banque, Mobile Money, agent, autre</w:t>
            </w:r>
          </w:p>
        </w:tc>
      </w:tr>
      <w:tr>
        <w:tc>
          <w:tcPr/>
          <w:p>
            <w:pPr>
              <w:pStyle w:val="Compact"/>
              <w:spacing w:after="20" w:before="20" w:line="240" w:lineRule="auto"/>
              <w:jc w:val="left"/>
            </w:pPr>
            <w:r>
              <w:rPr>
                <w:sz w:val="17"/>
              </w:rPr>
              <w:t xml:space="preserve">Compte</w:t>
            </w:r>
          </w:p>
        </w:tc>
        <w:tc>
          <w:tcPr/>
          <w:p>
            <w:pPr>
              <w:pStyle w:val="Compact"/>
              <w:spacing w:after="20" w:before="20" w:line="240" w:lineRule="auto"/>
              <w:jc w:val="left"/>
            </w:pPr>
            <w:r>
              <w:rPr>
                <w:sz w:val="17"/>
              </w:rPr>
              <w:t xml:space="preserve">Compte public de destination actuel</w:t>
            </w:r>
          </w:p>
        </w:tc>
      </w:tr>
      <w:tr>
        <w:tc>
          <w:tcPr>
            <w:shd w:val="clear" w:color="auto" w:fill="F2F9F8"/>
          </w:tcPr>
          <w:p>
            <w:pPr>
              <w:pStyle w:val="Compact"/>
              <w:spacing w:after="20" w:before="20" w:line="240" w:lineRule="auto"/>
              <w:jc w:val="left"/>
            </w:pPr>
            <w:r>
              <w:rPr>
                <w:sz w:val="17"/>
              </w:rPr>
              <w:t xml:space="preserve">Volumétrie</w:t>
            </w:r>
          </w:p>
        </w:tc>
        <w:tc>
          <w:tcPr>
            <w:shd w:val="clear" w:color="auto" w:fill="F2F9F8"/>
          </w:tcPr>
          <w:p>
            <w:pPr>
              <w:pStyle w:val="Compact"/>
              <w:spacing w:after="20" w:before="20" w:line="240" w:lineRule="auto"/>
              <w:jc w:val="left"/>
            </w:pPr>
            <w:r>
              <w:rPr>
                <w:sz w:val="17"/>
              </w:rPr>
              <w:t xml:space="preserve">Nombre d’assujettis et d’opérations par période</w:t>
            </w:r>
          </w:p>
        </w:tc>
      </w:tr>
      <w:tr>
        <w:tc>
          <w:tcPr/>
          <w:p>
            <w:pPr>
              <w:pStyle w:val="Compact"/>
              <w:spacing w:after="20" w:before="20" w:line="240" w:lineRule="auto"/>
              <w:jc w:val="left"/>
            </w:pPr>
            <w:r>
              <w:rPr>
                <w:sz w:val="17"/>
              </w:rPr>
              <w:t xml:space="preserve">Coût</w:t>
            </w:r>
          </w:p>
        </w:tc>
        <w:tc>
          <w:tcPr/>
          <w:p>
            <w:pPr>
              <w:pStyle w:val="Compact"/>
              <w:spacing w:after="20" w:before="20" w:line="240" w:lineRule="auto"/>
              <w:jc w:val="left"/>
            </w:pPr>
            <w:r>
              <w:rPr>
                <w:sz w:val="17"/>
              </w:rPr>
              <w:t xml:space="preserve">Coût de collecte observé</w:t>
            </w:r>
          </w:p>
        </w:tc>
      </w:tr>
      <w:tr>
        <w:tc>
          <w:tcPr>
            <w:shd w:val="clear" w:color="auto" w:fill="F2F9F8"/>
          </w:tcPr>
          <w:p>
            <w:pPr>
              <w:pStyle w:val="Compact"/>
              <w:spacing w:after="20" w:before="20" w:line="240" w:lineRule="auto"/>
              <w:jc w:val="left"/>
            </w:pPr>
            <w:r>
              <w:rPr>
                <w:sz w:val="17"/>
              </w:rPr>
              <w:t xml:space="preserve">Déperdition estimée (leakage)</w:t>
            </w:r>
          </w:p>
        </w:tc>
        <w:tc>
          <w:tcPr>
            <w:shd w:val="clear" w:color="auto" w:fill="F2F9F8"/>
          </w:tcPr>
          <w:p>
            <w:pPr>
              <w:pStyle w:val="Compact"/>
              <w:spacing w:after="20" w:before="20" w:line="240" w:lineRule="auto"/>
              <w:jc w:val="left"/>
            </w:pPr>
            <w:r>
              <w:rPr>
                <w:sz w:val="17"/>
              </w:rPr>
              <w:t xml:space="preserve">Écart estimé entre dû et rapproché</w:t>
            </w:r>
          </w:p>
        </w:tc>
      </w:tr>
      <w:tr>
        <w:tc>
          <w:tcPr/>
          <w:p>
            <w:pPr>
              <w:pStyle w:val="Compact"/>
              <w:spacing w:after="20" w:before="20" w:line="240" w:lineRule="auto"/>
              <w:jc w:val="left"/>
            </w:pPr>
            <w:r>
              <w:rPr>
                <w:sz w:val="17"/>
              </w:rPr>
              <w:t xml:space="preserve">Données disponibles</w:t>
            </w:r>
          </w:p>
        </w:tc>
        <w:tc>
          <w:tcPr/>
          <w:p>
            <w:pPr>
              <w:pStyle w:val="Compact"/>
              <w:spacing w:after="20" w:before="20" w:line="240" w:lineRule="auto"/>
              <w:jc w:val="left"/>
            </w:pPr>
            <w:r>
              <w:rPr>
                <w:sz w:val="17"/>
              </w:rPr>
              <w:t xml:space="preserve">Sources, qualité, format, fraîcheur</w:t>
            </w:r>
          </w:p>
        </w:tc>
      </w:tr>
      <w:tr>
        <w:tc>
          <w:tcPr>
            <w:shd w:val="clear" w:color="auto" w:fill="F2F9F8"/>
          </w:tcPr>
          <w:p>
            <w:pPr>
              <w:pStyle w:val="Compact"/>
              <w:spacing w:after="20" w:before="20" w:line="240" w:lineRule="auto"/>
              <w:jc w:val="left"/>
            </w:pPr>
            <w:r>
              <w:rPr>
                <w:sz w:val="17"/>
              </w:rPr>
              <w:t xml:space="preserve">Dépendances</w:t>
            </w:r>
          </w:p>
        </w:tc>
        <w:tc>
          <w:tcPr>
            <w:shd w:val="clear" w:color="auto" w:fill="F2F9F8"/>
          </w:tcPr>
          <w:p>
            <w:pPr>
              <w:pStyle w:val="Compact"/>
              <w:spacing w:after="20" w:before="20" w:line="240" w:lineRule="auto"/>
              <w:jc w:val="left"/>
            </w:pPr>
            <w:r>
              <w:rPr>
                <w:sz w:val="17"/>
              </w:rPr>
              <w:t xml:space="preserve">Partenaires, textes, systèmes dont dépend la recette</w:t>
            </w:r>
          </w:p>
        </w:tc>
      </w:tr>
    </w:tbl>
    <w:p>
      <w:pPr>
        <w:pStyle w:val="BodyText"/>
      </w:pPr>
      <w:r>
        <w:t xml:space="preserve">Cet inventaire alimente la base de référence du § 38.1. Les anciennes références ou les taux non confirmés restent désactivés jusqu’à validation.</w:t>
      </w:r>
    </w:p>
    <w:bookmarkEnd w:id="52"/>
    <w:bookmarkStart w:id="53" w:name="recettes-administratives"/>
    <w:p>
      <w:pPr>
        <w:pStyle w:val="Heading2"/>
      </w:pPr>
      <w:r>
        <w:t xml:space="preserve">7.5 Recettes administratives</w:t>
      </w:r>
    </w:p>
    <w:p>
      <w:pPr>
        <w:pStyle w:val="FirstParagraph"/>
      </w:pPr>
      <w:r>
        <w:t xml:space="preserve">Le portefeuille intègre également, après validation, les</w:t>
      </w:r>
      <w:r>
        <w:t xml:space="preserve"> </w:t>
      </w:r>
      <w:r>
        <w:rPr>
          <w:b/>
          <w:bCs/>
        </w:rPr>
        <w:t xml:space="preserve">recettes administratives</w:t>
      </w:r>
      <w:r>
        <w:t xml:space="preserve"> </w:t>
      </w:r>
      <w:r>
        <w:t xml:space="preserve">: actes, permis, duplicatas, services et autres droits légalement prévus, rattachés à une demande, un acte ou une prestation. Le portail de la DGRK expose déjà des services en ligne (e-DGRK, télédéclaration, patente, embarquement, statistiques, authentification documentaire) : MOSOLO reprend les comptes et l’historique d’e-DGRK dès le premier jour et ne crée pas de système parallèle.</w:t>
      </w:r>
    </w:p>
    <w:bookmarkEnd w:id="53"/>
    <w:bookmarkEnd w:id="54"/>
    <w:bookmarkStart w:id="62" w:name="nouvelles-opportunités-de-recettes"/>
    <w:p>
      <w:pPr>
        <w:pStyle w:val="Heading1"/>
      </w:pPr>
      <w:r>
        <w:t xml:space="preserve">8. Nouvelles opportunités de recettes</w:t>
      </w:r>
    </w:p>
    <w:p>
      <w:pPr>
        <w:pStyle w:val="FirstParagraph"/>
      </w:pPr>
      <w:r>
        <w:t xml:space="preserve">Cette section identifie des gisements licites, classés par faisabilité.</w:t>
      </w:r>
      <w:r>
        <w:t xml:space="preserve"> </w:t>
      </w:r>
      <w:r>
        <w:t xml:space="preserve">Aucune de ces pistes ne peut être activée sans base légale. Lorsqu'un</w:t>
      </w:r>
      <w:r>
        <w:t xml:space="preserve"> </w:t>
      </w:r>
      <w:r>
        <w:t xml:space="preserve">acte nouveau est nécessaire, la voie juridique est indiquée. Les</w:t>
      </w:r>
      <w:r>
        <w:t xml:space="preserve"> </w:t>
      </w:r>
      <w:r>
        <w:t xml:space="preserve">estimations de potentiel restent des ordres de grandeur à confirmer par</w:t>
      </w:r>
      <w:r>
        <w:t xml:space="preserve"> </w:t>
      </w:r>
      <w:r>
        <w:t xml:space="preserve">le recensement pilote.</w:t>
      </w:r>
    </w:p>
    <w:bookmarkStart w:id="55" w:name="Xa4f30f93f06a6d15f93b0df1115c4377b232a35"/>
    <w:p>
      <w:pPr>
        <w:pStyle w:val="Heading2"/>
      </w:pPr>
      <w:r>
        <w:t xml:space="preserve">8.1 Gisements sans texte nouveau, activables immédiatement</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151"/>
        <w:gridCol w:w="1857"/>
        <w:gridCol w:w="2248"/>
        <w:gridCol w:w="1466"/>
      </w:tblGrid>
      <w:tr>
        <w:trPr>
          <w:tblHeader w:val="true"/>
          <w:tblHeader/>
        </w:trPr>
        <w:tc>
          <w:tcPr>
            <w:shd w:val="clear" w:color="auto" w:fill="1BA996"/>
          </w:tcPr>
          <w:p>
            <w:pPr>
              <w:pStyle w:val="Compact"/>
              <w:spacing w:after="20" w:before="20" w:line="240" w:lineRule="auto"/>
              <w:jc w:val="left"/>
            </w:pPr>
            <w:r>
              <w:rPr>
                <w:b/>
                <w:bCs/>
                <w:color w:val="FFFFFF"/>
                <w:sz w:val="17"/>
              </w:rPr>
              <w:t xml:space="preserve">Piste</w:t>
            </w:r>
          </w:p>
        </w:tc>
        <w:tc>
          <w:tcPr>
            <w:shd w:val="clear" w:color="auto" w:fill="1BA996"/>
          </w:tcPr>
          <w:p>
            <w:pPr>
              <w:pStyle w:val="Compact"/>
              <w:spacing w:after="20" w:before="20" w:line="240" w:lineRule="auto"/>
              <w:jc w:val="left"/>
            </w:pPr>
            <w:r>
              <w:rPr>
                <w:b/>
                <w:bCs/>
                <w:color w:val="FFFFFF"/>
                <w:sz w:val="17"/>
              </w:rPr>
              <w:t xml:space="preserve">Nature</w:t>
            </w:r>
          </w:p>
        </w:tc>
        <w:tc>
          <w:tcPr>
            <w:shd w:val="clear" w:color="auto" w:fill="1BA996"/>
          </w:tcPr>
          <w:p>
            <w:pPr>
              <w:pStyle w:val="Compact"/>
              <w:spacing w:after="20" w:before="20" w:line="240" w:lineRule="auto"/>
              <w:jc w:val="left"/>
            </w:pPr>
            <w:r>
              <w:rPr>
                <w:b/>
                <w:bCs/>
                <w:color w:val="FFFFFF"/>
                <w:sz w:val="17"/>
              </w:rPr>
              <w:t xml:space="preserve">Condition</w:t>
            </w:r>
          </w:p>
        </w:tc>
        <w:tc>
          <w:tcPr>
            <w:shd w:val="clear" w:color="auto" w:fill="1BA996"/>
          </w:tcPr>
          <w:p>
            <w:pPr>
              <w:pStyle w:val="Compact"/>
              <w:spacing w:after="20" w:before="20" w:line="240" w:lineRule="auto"/>
              <w:jc w:val="left"/>
            </w:pPr>
            <w:r>
              <w:rPr>
                <w:b/>
                <w:bCs/>
                <w:color w:val="FFFFFF"/>
                <w:sz w:val="17"/>
              </w:rPr>
              <w:t xml:space="preserve">Priorité</w:t>
            </w:r>
          </w:p>
        </w:tc>
      </w:tr>
      <w:tr>
        <w:tc>
          <w:tcPr/>
          <w:p>
            <w:pPr>
              <w:pStyle w:val="Compact"/>
              <w:spacing w:after="20" w:before="20" w:line="240" w:lineRule="auto"/>
              <w:jc w:val="left"/>
            </w:pPr>
            <w:r>
              <w:rPr>
                <w:sz w:val="17"/>
              </w:rPr>
              <w:t xml:space="preserve">Recensement locatif</w:t>
            </w:r>
            <w:r>
              <w:rPr>
                <w:sz w:val="17"/>
              </w:rPr>
              <w:t xml:space="preserve"> </w:t>
            </w:r>
            <w:r>
              <w:rPr>
                <w:sz w:val="17"/>
              </w:rPr>
              <w:t xml:space="preserve">systématique</w:t>
            </w:r>
          </w:p>
        </w:tc>
        <w:tc>
          <w:tcPr/>
          <w:p>
            <w:pPr>
              <w:pStyle w:val="Compact"/>
              <w:spacing w:after="20" w:before="20" w:line="240" w:lineRule="auto"/>
              <w:jc w:val="left"/>
            </w:pPr>
            <w:r>
              <w:rPr>
                <w:sz w:val="17"/>
              </w:rPr>
              <w:t xml:space="preserve">Élargissement</w:t>
            </w:r>
            <w:r>
              <w:rPr>
                <w:sz w:val="17"/>
              </w:rPr>
              <w:t xml:space="preserve"> </w:t>
            </w:r>
            <w:r>
              <w:rPr>
                <w:sz w:val="17"/>
              </w:rPr>
              <w:t xml:space="preserve">d'assiette IRL à</w:t>
            </w:r>
            <w:r>
              <w:rPr>
                <w:sz w:val="17"/>
              </w:rPr>
              <w:t xml:space="preserve"> </w:t>
            </w:r>
            <w:r>
              <w:rPr>
                <w:sz w:val="17"/>
              </w:rPr>
              <w:t xml:space="preserve">droit constant</w:t>
            </w:r>
          </w:p>
        </w:tc>
        <w:tc>
          <w:tcPr/>
          <w:p>
            <w:pPr>
              <w:pStyle w:val="Compact"/>
              <w:spacing w:after="20" w:before="20" w:line="240" w:lineRule="auto"/>
              <w:jc w:val="left"/>
            </w:pPr>
            <w:r>
              <w:rPr>
                <w:sz w:val="17"/>
              </w:rPr>
              <w:t xml:space="preserve">Protocoles de données,</w:t>
            </w:r>
            <w:r>
              <w:rPr>
                <w:sz w:val="17"/>
              </w:rPr>
              <w:t xml:space="preserve"> </w:t>
            </w:r>
            <w:r>
              <w:rPr>
                <w:sz w:val="17"/>
              </w:rPr>
              <w:t xml:space="preserve">recensement terrain</w:t>
            </w:r>
          </w:p>
        </w:tc>
        <w:tc>
          <w:tcPr/>
          <w:p>
            <w:pPr>
              <w:pStyle w:val="Compact"/>
              <w:spacing w:after="20" w:before="20" w:line="240" w:lineRule="auto"/>
              <w:jc w:val="left"/>
            </w:pPr>
            <w:r>
              <w:rPr>
                <w:sz w:val="17"/>
              </w:rPr>
              <w:t xml:space="preserve">1</w:t>
            </w:r>
          </w:p>
        </w:tc>
      </w:tr>
      <w:tr>
        <w:tc>
          <w:tcPr>
            <w:shd w:val="clear" w:color="auto" w:fill="F2F9F8"/>
          </w:tcPr>
          <w:p>
            <w:pPr>
              <w:pStyle w:val="Compact"/>
              <w:spacing w:after="20" w:before="20" w:line="240" w:lineRule="auto"/>
              <w:jc w:val="left"/>
            </w:pPr>
            <w:r>
              <w:rPr>
                <w:sz w:val="17"/>
              </w:rPr>
              <w:t xml:space="preserve">Généralisation du</w:t>
            </w:r>
            <w:r>
              <w:rPr>
                <w:sz w:val="17"/>
              </w:rPr>
              <w:t xml:space="preserve"> </w:t>
            </w:r>
            <w:r>
              <w:rPr>
                <w:sz w:val="17"/>
              </w:rPr>
              <w:t xml:space="preserve">quitus fiscal</w:t>
            </w:r>
            <w:r>
              <w:rPr>
                <w:sz w:val="17"/>
              </w:rPr>
              <w:t xml:space="preserve"> </w:t>
            </w:r>
            <w:r>
              <w:rPr>
                <w:sz w:val="17"/>
              </w:rPr>
              <w:t xml:space="preserve">numérique</w:t>
            </w:r>
          </w:p>
        </w:tc>
        <w:tc>
          <w:tcPr>
            <w:shd w:val="clear" w:color="auto" w:fill="F2F9F8"/>
          </w:tcPr>
          <w:p>
            <w:pPr>
              <w:pStyle w:val="Compact"/>
              <w:spacing w:after="20" w:before="20" w:line="240" w:lineRule="auto"/>
              <w:jc w:val="left"/>
            </w:pPr>
            <w:r>
              <w:rPr>
                <w:sz w:val="17"/>
              </w:rPr>
              <w:t xml:space="preserve">Conditionnalité</w:t>
            </w:r>
            <w:r>
              <w:rPr>
                <w:sz w:val="17"/>
              </w:rPr>
              <w:t xml:space="preserve"> </w:t>
            </w:r>
            <w:r>
              <w:rPr>
                <w:sz w:val="17"/>
              </w:rPr>
              <w:t xml:space="preserve">d'accès aux</w:t>
            </w:r>
            <w:r>
              <w:rPr>
                <w:sz w:val="17"/>
              </w:rPr>
              <w:t xml:space="preserve"> </w:t>
            </w:r>
            <w:r>
              <w:rPr>
                <w:sz w:val="17"/>
              </w:rPr>
              <w:t xml:space="preserve">services publics</w:t>
            </w:r>
            <w:r>
              <w:rPr>
                <w:sz w:val="17"/>
              </w:rPr>
              <w:t xml:space="preserve"> </w:t>
            </w:r>
            <w:r>
              <w:rPr>
                <w:sz w:val="17"/>
              </w:rPr>
              <w:t xml:space="preserve">provinciaux</w:t>
            </w:r>
          </w:p>
        </w:tc>
        <w:tc>
          <w:tcPr>
            <w:shd w:val="clear" w:color="auto" w:fill="F2F9F8"/>
          </w:tcPr>
          <w:p>
            <w:pPr>
              <w:pStyle w:val="Compact"/>
              <w:spacing w:after="20" w:before="20" w:line="240" w:lineRule="auto"/>
              <w:jc w:val="left"/>
            </w:pPr>
            <w:r>
              <w:rPr>
                <w:sz w:val="17"/>
              </w:rPr>
              <w:t xml:space="preserve">Extension par arrêté</w:t>
            </w:r>
            <w:r>
              <w:rPr>
                <w:sz w:val="17"/>
              </w:rPr>
              <w:t xml:space="preserve"> </w:t>
            </w:r>
            <w:r>
              <w:rPr>
                <w:sz w:val="17"/>
              </w:rPr>
              <w:t xml:space="preserve">aux permis de bâtir,</w:t>
            </w:r>
            <w:r>
              <w:rPr>
                <w:sz w:val="17"/>
              </w:rPr>
              <w:t xml:space="preserve"> </w:t>
            </w:r>
            <w:r>
              <w:rPr>
                <w:sz w:val="17"/>
              </w:rPr>
              <w:t xml:space="preserve">mutations et mutations</w:t>
            </w:r>
            <w:r>
              <w:rPr>
                <w:sz w:val="17"/>
              </w:rPr>
              <w:t xml:space="preserve"> </w:t>
            </w:r>
            <w:r>
              <w:rPr>
                <w:sz w:val="17"/>
              </w:rPr>
              <w:t xml:space="preserve">de véhicules</w:t>
            </w:r>
          </w:p>
        </w:tc>
        <w:tc>
          <w:tcPr>
            <w:shd w:val="clear" w:color="auto" w:fill="F2F9F8"/>
          </w:tcPr>
          <w:p>
            <w:pPr>
              <w:pStyle w:val="Compact"/>
              <w:spacing w:after="20" w:before="20" w:line="240" w:lineRule="auto"/>
              <w:jc w:val="left"/>
            </w:pPr>
            <w:r>
              <w:rPr>
                <w:sz w:val="17"/>
              </w:rPr>
              <w:t xml:space="preserve">1</w:t>
            </w:r>
          </w:p>
        </w:tc>
      </w:tr>
      <w:tr>
        <w:tc>
          <w:tcPr/>
          <w:p>
            <w:pPr>
              <w:pStyle w:val="Compact"/>
              <w:spacing w:after="20" w:before="20" w:line="240" w:lineRule="auto"/>
              <w:jc w:val="left"/>
            </w:pPr>
            <w:r>
              <w:rPr>
                <w:sz w:val="17"/>
              </w:rPr>
              <w:t xml:space="preserve">Cellule grands</w:t>
            </w:r>
            <w:r>
              <w:rPr>
                <w:sz w:val="17"/>
              </w:rPr>
              <w:t xml:space="preserve"> </w:t>
            </w:r>
            <w:r>
              <w:rPr>
                <w:sz w:val="17"/>
              </w:rPr>
              <w:t xml:space="preserve">redevables</w:t>
            </w:r>
            <w:r>
              <w:rPr>
                <w:sz w:val="17"/>
              </w:rPr>
              <w:t xml:space="preserve"> </w:t>
            </w:r>
            <w:r>
              <w:rPr>
                <w:sz w:val="17"/>
              </w:rPr>
              <w:t xml:space="preserve">(brasseries, tabac,</w:t>
            </w:r>
            <w:r>
              <w:rPr>
                <w:sz w:val="17"/>
              </w:rPr>
              <w:t xml:space="preserve"> </w:t>
            </w:r>
            <w:r>
              <w:rPr>
                <w:sz w:val="17"/>
              </w:rPr>
              <w:t xml:space="preserve">antennes, carrières)</w:t>
            </w:r>
          </w:p>
        </w:tc>
        <w:tc>
          <w:tcPr/>
          <w:p>
            <w:pPr>
              <w:pStyle w:val="Compact"/>
              <w:spacing w:after="20" w:before="20" w:line="240" w:lineRule="auto"/>
              <w:jc w:val="left"/>
            </w:pPr>
            <w:r>
              <w:rPr>
                <w:sz w:val="17"/>
              </w:rPr>
              <w:t xml:space="preserve">Fiabilisation de</w:t>
            </w:r>
            <w:r>
              <w:rPr>
                <w:sz w:val="17"/>
              </w:rPr>
              <w:t xml:space="preserve"> </w:t>
            </w:r>
            <w:r>
              <w:rPr>
                <w:sz w:val="17"/>
              </w:rPr>
              <w:t xml:space="preserve">recettes</w:t>
            </w:r>
            <w:r>
              <w:rPr>
                <w:sz w:val="17"/>
              </w:rPr>
              <w:t xml:space="preserve"> </w:t>
            </w:r>
            <w:r>
              <w:rPr>
                <w:sz w:val="17"/>
              </w:rPr>
              <w:t xml:space="preserve">existantes</w:t>
            </w:r>
          </w:p>
        </w:tc>
        <w:tc>
          <w:tcPr/>
          <w:p>
            <w:pPr>
              <w:pStyle w:val="Compact"/>
              <w:spacing w:after="20" w:before="20" w:line="240" w:lineRule="auto"/>
              <w:jc w:val="left"/>
            </w:pPr>
            <w:r>
              <w:rPr>
                <w:sz w:val="17"/>
              </w:rPr>
              <w:t xml:space="preserve">Conventions de</w:t>
            </w:r>
            <w:r>
              <w:rPr>
                <w:sz w:val="17"/>
              </w:rPr>
              <w:t xml:space="preserve"> </w:t>
            </w:r>
            <w:r>
              <w:rPr>
                <w:sz w:val="17"/>
              </w:rPr>
              <w:t xml:space="preserve">déclaration et de</w:t>
            </w:r>
            <w:r>
              <w:rPr>
                <w:sz w:val="17"/>
              </w:rPr>
              <w:t xml:space="preserve"> </w:t>
            </w:r>
            <w:r>
              <w:rPr>
                <w:sz w:val="17"/>
              </w:rPr>
              <w:t xml:space="preserve">rapprochement</w:t>
            </w:r>
          </w:p>
        </w:tc>
        <w:tc>
          <w:tcPr/>
          <w:p>
            <w:pPr>
              <w:pStyle w:val="Compact"/>
              <w:spacing w:after="20" w:before="20" w:line="240" w:lineRule="auto"/>
              <w:jc w:val="left"/>
            </w:pPr>
            <w:r>
              <w:rPr>
                <w:sz w:val="17"/>
              </w:rPr>
              <w:t xml:space="preserve">1</w:t>
            </w:r>
          </w:p>
        </w:tc>
      </w:tr>
      <w:tr>
        <w:tc>
          <w:tcPr>
            <w:shd w:val="clear" w:color="auto" w:fill="F2F9F8"/>
          </w:tcPr>
          <w:p>
            <w:pPr>
              <w:pStyle w:val="Compact"/>
              <w:spacing w:after="20" w:before="20" w:line="240" w:lineRule="auto"/>
              <w:jc w:val="left"/>
            </w:pPr>
            <w:r>
              <w:rPr>
                <w:sz w:val="17"/>
              </w:rPr>
              <w:t xml:space="preserve">Recouvrement des</w:t>
            </w:r>
            <w:r>
              <w:rPr>
                <w:sz w:val="17"/>
              </w:rPr>
              <w:t xml:space="preserve"> </w:t>
            </w:r>
            <w:r>
              <w:rPr>
                <w:sz w:val="17"/>
              </w:rPr>
              <w:t xml:space="preserve">arriérés et</w:t>
            </w:r>
            <w:r>
              <w:rPr>
                <w:sz w:val="17"/>
              </w:rPr>
              <w:t xml:space="preserve"> </w:t>
            </w:r>
            <w:r>
              <w:rPr>
                <w:sz w:val="17"/>
              </w:rPr>
              <w:t xml:space="preserve">régularisation</w:t>
            </w:r>
            <w:r>
              <w:rPr>
                <w:sz w:val="17"/>
              </w:rPr>
              <w:t xml:space="preserve"> </w:t>
            </w:r>
            <w:r>
              <w:rPr>
                <w:sz w:val="17"/>
              </w:rPr>
              <w:t xml:space="preserve">volontaire</w:t>
            </w:r>
          </w:p>
        </w:tc>
        <w:tc>
          <w:tcPr>
            <w:shd w:val="clear" w:color="auto" w:fill="F2F9F8"/>
          </w:tcPr>
          <w:p>
            <w:pPr>
              <w:pStyle w:val="Compact"/>
              <w:spacing w:after="20" w:before="20" w:line="240" w:lineRule="auto"/>
              <w:jc w:val="left"/>
            </w:pPr>
            <w:r>
              <w:rPr>
                <w:sz w:val="17"/>
              </w:rPr>
              <w:t xml:space="preserve">Recettes</w:t>
            </w:r>
            <w:r>
              <w:rPr>
                <w:sz w:val="17"/>
              </w:rPr>
              <w:t xml:space="preserve"> </w:t>
            </w:r>
            <w:r>
              <w:rPr>
                <w:sz w:val="17"/>
              </w:rPr>
              <w:t xml:space="preserve">historiques</w:t>
            </w:r>
          </w:p>
        </w:tc>
        <w:tc>
          <w:tcPr>
            <w:shd w:val="clear" w:color="auto" w:fill="F2F9F8"/>
          </w:tcPr>
          <w:p>
            <w:pPr>
              <w:pStyle w:val="Compact"/>
              <w:spacing w:after="20" w:before="20" w:line="240" w:lineRule="auto"/>
              <w:jc w:val="left"/>
            </w:pPr>
            <w:r>
              <w:rPr>
                <w:sz w:val="17"/>
              </w:rPr>
              <w:t xml:space="preserve">Campagne encadrée,</w:t>
            </w:r>
            <w:r>
              <w:rPr>
                <w:sz w:val="17"/>
              </w:rPr>
              <w:t xml:space="preserve"> </w:t>
            </w:r>
            <w:r>
              <w:rPr>
                <w:sz w:val="17"/>
              </w:rPr>
              <w:t xml:space="preserve">échéanciers, abandon</w:t>
            </w:r>
            <w:r>
              <w:rPr>
                <w:sz w:val="17"/>
              </w:rPr>
              <w:t xml:space="preserve"> </w:t>
            </w:r>
            <w:r>
              <w:rPr>
                <w:sz w:val="17"/>
              </w:rPr>
              <w:t xml:space="preserve">de pénalités si la loi</w:t>
            </w:r>
            <w:r>
              <w:rPr>
                <w:sz w:val="17"/>
              </w:rPr>
              <w:t xml:space="preserve"> </w:t>
            </w:r>
            <w:r>
              <w:rPr>
                <w:sz w:val="17"/>
              </w:rPr>
              <w:t xml:space="preserve">le permet</w:t>
            </w:r>
          </w:p>
        </w:tc>
        <w:tc>
          <w:tcPr>
            <w:shd w:val="clear" w:color="auto" w:fill="F2F9F8"/>
          </w:tcPr>
          <w:p>
            <w:pPr>
              <w:pStyle w:val="Compact"/>
              <w:spacing w:after="20" w:before="20" w:line="240" w:lineRule="auto"/>
              <w:jc w:val="left"/>
            </w:pPr>
            <w:r>
              <w:rPr>
                <w:sz w:val="17"/>
              </w:rPr>
              <w:t xml:space="preserve">2</w:t>
            </w:r>
          </w:p>
        </w:tc>
      </w:tr>
      <w:tr>
        <w:tc>
          <w:tcPr/>
          <w:p>
            <w:pPr>
              <w:pStyle w:val="Compact"/>
              <w:spacing w:after="20" w:before="20" w:line="240" w:lineRule="auto"/>
              <w:jc w:val="left"/>
            </w:pPr>
            <w:r>
              <w:rPr>
                <w:sz w:val="17"/>
              </w:rPr>
              <w:t xml:space="preserve">Panneaux</w:t>
            </w:r>
            <w:r>
              <w:rPr>
                <w:sz w:val="17"/>
              </w:rPr>
              <w:t xml:space="preserve"> </w:t>
            </w:r>
            <w:r>
              <w:rPr>
                <w:sz w:val="17"/>
              </w:rPr>
              <w:t xml:space="preserve">publicitaires non</w:t>
            </w:r>
            <w:r>
              <w:rPr>
                <w:sz w:val="17"/>
              </w:rPr>
              <w:t xml:space="preserve"> </w:t>
            </w:r>
            <w:r>
              <w:rPr>
                <w:sz w:val="17"/>
              </w:rPr>
              <w:t xml:space="preserve">déclarés</w:t>
            </w:r>
          </w:p>
        </w:tc>
        <w:tc>
          <w:tcPr/>
          <w:p>
            <w:pPr>
              <w:pStyle w:val="Compact"/>
              <w:spacing w:after="20" w:before="20" w:line="240" w:lineRule="auto"/>
              <w:jc w:val="left"/>
            </w:pPr>
            <w:r>
              <w:rPr>
                <w:sz w:val="17"/>
              </w:rPr>
              <w:t xml:space="preserve">Assiette existante</w:t>
            </w:r>
            <w:r>
              <w:rPr>
                <w:sz w:val="17"/>
              </w:rPr>
              <w:t xml:space="preserve"> </w:t>
            </w:r>
            <w:r>
              <w:rPr>
                <w:sz w:val="17"/>
              </w:rPr>
              <w:t xml:space="preserve">non captée</w:t>
            </w:r>
          </w:p>
        </w:tc>
        <w:tc>
          <w:tcPr/>
          <w:p>
            <w:pPr>
              <w:pStyle w:val="Compact"/>
              <w:spacing w:after="20" w:before="20" w:line="240" w:lineRule="auto"/>
              <w:jc w:val="left"/>
            </w:pPr>
            <w:r>
              <w:rPr>
                <w:sz w:val="17"/>
              </w:rPr>
              <w:t xml:space="preserve">Inventaire</w:t>
            </w:r>
            <w:r>
              <w:rPr>
                <w:sz w:val="17"/>
              </w:rPr>
              <w:t xml:space="preserve"> </w:t>
            </w:r>
            <w:r>
              <w:rPr>
                <w:sz w:val="17"/>
              </w:rPr>
              <w:t xml:space="preserve">géoréférencé et</w:t>
            </w:r>
            <w:r>
              <w:rPr>
                <w:sz w:val="17"/>
              </w:rPr>
              <w:t xml:space="preserve"> </w:t>
            </w:r>
            <w:r>
              <w:rPr>
                <w:sz w:val="17"/>
              </w:rPr>
              <w:t xml:space="preserve">plaques QR</w:t>
            </w:r>
          </w:p>
        </w:tc>
        <w:tc>
          <w:tcPr/>
          <w:p>
            <w:pPr>
              <w:pStyle w:val="Compact"/>
              <w:spacing w:after="20" w:before="20" w:line="240" w:lineRule="auto"/>
              <w:jc w:val="left"/>
            </w:pPr>
            <w:r>
              <w:rPr>
                <w:sz w:val="17"/>
              </w:rPr>
              <w:t xml:space="preserve">2</w:t>
            </w:r>
          </w:p>
        </w:tc>
      </w:tr>
      <w:tr>
        <w:tc>
          <w:tcPr>
            <w:shd w:val="clear" w:color="auto" w:fill="F2F9F8"/>
          </w:tcPr>
          <w:p>
            <w:pPr>
              <w:pStyle w:val="Compact"/>
              <w:spacing w:after="20" w:before="20" w:line="240" w:lineRule="auto"/>
              <w:jc w:val="left"/>
            </w:pPr>
            <w:r>
              <w:rPr>
                <w:sz w:val="17"/>
              </w:rPr>
              <w:t xml:space="preserve">Occupation du domaine</w:t>
            </w:r>
            <w:r>
              <w:rPr>
                <w:sz w:val="17"/>
              </w:rPr>
              <w:t xml:space="preserve"> </w:t>
            </w:r>
            <w:r>
              <w:rPr>
                <w:sz w:val="17"/>
              </w:rPr>
              <w:t xml:space="preserve">public et parkings</w:t>
            </w:r>
          </w:p>
        </w:tc>
        <w:tc>
          <w:tcPr>
            <w:shd w:val="clear" w:color="auto" w:fill="F2F9F8"/>
          </w:tcPr>
          <w:p>
            <w:pPr>
              <w:pStyle w:val="Compact"/>
              <w:spacing w:after="20" w:before="20" w:line="240" w:lineRule="auto"/>
              <w:jc w:val="left"/>
            </w:pPr>
            <w:r>
              <w:rPr>
                <w:sz w:val="17"/>
              </w:rPr>
              <w:t xml:space="preserve">Redevances</w:t>
            </w:r>
            <w:r>
              <w:rPr>
                <w:sz w:val="17"/>
              </w:rPr>
              <w:t xml:space="preserve"> </w:t>
            </w:r>
            <w:r>
              <w:rPr>
                <w:sz w:val="17"/>
              </w:rPr>
              <w:t xml:space="preserve">existantes mal</w:t>
            </w:r>
            <w:r>
              <w:rPr>
                <w:sz w:val="17"/>
              </w:rPr>
              <w:t xml:space="preserve"> </w:t>
            </w:r>
            <w:r>
              <w:rPr>
                <w:sz w:val="17"/>
              </w:rPr>
              <w:t xml:space="preserve">suivies</w:t>
            </w:r>
          </w:p>
        </w:tc>
        <w:tc>
          <w:tcPr>
            <w:shd w:val="clear" w:color="auto" w:fill="F2F9F8"/>
          </w:tcPr>
          <w:p>
            <w:pPr>
              <w:pStyle w:val="Compact"/>
              <w:spacing w:after="20" w:before="20" w:line="240" w:lineRule="auto"/>
              <w:jc w:val="left"/>
            </w:pPr>
            <w:r>
              <w:rPr>
                <w:sz w:val="17"/>
              </w:rPr>
              <w:t xml:space="preserve">Plan des emprises,</w:t>
            </w:r>
            <w:r>
              <w:rPr>
                <w:sz w:val="17"/>
              </w:rPr>
              <w:t xml:space="preserve"> </w:t>
            </w:r>
            <w:r>
              <w:rPr>
                <w:sz w:val="17"/>
              </w:rPr>
              <w:t xml:space="preserve">redevance mobile</w:t>
            </w:r>
          </w:p>
        </w:tc>
        <w:tc>
          <w:tcPr>
            <w:shd w:val="clear" w:color="auto" w:fill="F2F9F8"/>
          </w:tcPr>
          <w:p>
            <w:pPr>
              <w:pStyle w:val="Compact"/>
              <w:spacing w:after="20" w:before="20" w:line="240" w:lineRule="auto"/>
              <w:jc w:val="left"/>
            </w:pPr>
            <w:r>
              <w:rPr>
                <w:sz w:val="17"/>
              </w:rPr>
              <w:t xml:space="preserve">2</w:t>
            </w:r>
          </w:p>
        </w:tc>
      </w:tr>
      <w:tr>
        <w:tc>
          <w:tcPr/>
          <w:p>
            <w:pPr>
              <w:pStyle w:val="Compact"/>
              <w:spacing w:after="20" w:before="20" w:line="240" w:lineRule="auto"/>
              <w:jc w:val="left"/>
            </w:pPr>
            <w:r>
              <w:rPr>
                <w:sz w:val="17"/>
              </w:rPr>
              <w:t xml:space="preserve">Réduction des</w:t>
            </w:r>
            <w:r>
              <w:rPr>
                <w:sz w:val="17"/>
              </w:rPr>
              <w:t xml:space="preserve"> </w:t>
            </w:r>
            <w:r>
              <w:rPr>
                <w:sz w:val="17"/>
              </w:rPr>
              <w:t xml:space="preserve">exonérations et</w:t>
            </w:r>
            <w:r>
              <w:rPr>
                <w:sz w:val="17"/>
              </w:rPr>
              <w:t xml:space="preserve"> </w:t>
            </w:r>
            <w:r>
              <w:rPr>
                <w:sz w:val="17"/>
              </w:rPr>
              <w:t xml:space="preserve">annulations</w:t>
            </w:r>
            <w:r>
              <w:rPr>
                <w:sz w:val="17"/>
              </w:rPr>
              <w:t xml:space="preserve"> </w:t>
            </w:r>
            <w:r>
              <w:rPr>
                <w:sz w:val="17"/>
              </w:rPr>
              <w:t xml:space="preserve">irrégulières</w:t>
            </w:r>
          </w:p>
        </w:tc>
        <w:tc>
          <w:tcPr/>
          <w:p>
            <w:pPr>
              <w:pStyle w:val="Compact"/>
              <w:spacing w:after="20" w:before="20" w:line="240" w:lineRule="auto"/>
              <w:jc w:val="left"/>
            </w:pPr>
            <w:r>
              <w:rPr>
                <w:sz w:val="17"/>
              </w:rPr>
              <w:t xml:space="preserve">Récupération de</w:t>
            </w:r>
            <w:r>
              <w:rPr>
                <w:sz w:val="17"/>
              </w:rPr>
              <w:t xml:space="preserve"> </w:t>
            </w:r>
            <w:r>
              <w:rPr>
                <w:sz w:val="17"/>
              </w:rPr>
              <w:t xml:space="preserve">base</w:t>
            </w:r>
          </w:p>
        </w:tc>
        <w:tc>
          <w:tcPr/>
          <w:p>
            <w:pPr>
              <w:pStyle w:val="Compact"/>
              <w:spacing w:after="20" w:before="20" w:line="240" w:lineRule="auto"/>
              <w:jc w:val="left"/>
            </w:pPr>
            <w:r>
              <w:rPr>
                <w:sz w:val="17"/>
              </w:rPr>
              <w:t xml:space="preserve">Registre des</w:t>
            </w:r>
            <w:r>
              <w:rPr>
                <w:sz w:val="17"/>
              </w:rPr>
              <w:t xml:space="preserve"> </w:t>
            </w:r>
            <w:r>
              <w:rPr>
                <w:sz w:val="17"/>
              </w:rPr>
              <w:t xml:space="preserve">exonérations avec</w:t>
            </w:r>
            <w:r>
              <w:rPr>
                <w:sz w:val="17"/>
              </w:rPr>
              <w:t xml:space="preserve"> </w:t>
            </w:r>
            <w:r>
              <w:rPr>
                <w:sz w:val="17"/>
              </w:rPr>
              <w:t xml:space="preserve">preuve et double</w:t>
            </w:r>
            <w:r>
              <w:rPr>
                <w:sz w:val="17"/>
              </w:rPr>
              <w:t xml:space="preserve"> </w:t>
            </w:r>
            <w:r>
              <w:rPr>
                <w:sz w:val="17"/>
              </w:rPr>
              <w:t xml:space="preserve">validation</w:t>
            </w:r>
          </w:p>
        </w:tc>
        <w:tc>
          <w:tcPr/>
          <w:p>
            <w:pPr>
              <w:pStyle w:val="Compact"/>
              <w:spacing w:after="20" w:before="20" w:line="240" w:lineRule="auto"/>
              <w:jc w:val="left"/>
            </w:pPr>
            <w:r>
              <w:rPr>
                <w:sz w:val="17"/>
              </w:rPr>
              <w:t xml:space="preserve">2</w:t>
            </w:r>
          </w:p>
        </w:tc>
      </w:tr>
    </w:tbl>
    <w:bookmarkEnd w:id="55"/>
    <w:bookmarkStart w:id="56" w:name="gisements-exigeant-un-acte-provincial"/>
    <w:p>
      <w:pPr>
        <w:pStyle w:val="Heading2"/>
      </w:pPr>
      <w:r>
        <w:t xml:space="preserve">8.2 Gisements exigeant un acte provincial</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835"/>
        <w:gridCol w:w="1931"/>
        <w:gridCol w:w="1931"/>
        <w:gridCol w:w="2028"/>
      </w:tblGrid>
      <w:tr>
        <w:trPr>
          <w:tblHeader w:val="true"/>
          <w:tblHeader/>
        </w:trPr>
        <w:tc>
          <w:tcPr>
            <w:shd w:val="clear" w:color="auto" w:fill="1BA996"/>
          </w:tcPr>
          <w:p>
            <w:pPr>
              <w:pStyle w:val="Compact"/>
              <w:spacing w:after="20" w:before="20" w:line="240" w:lineRule="auto"/>
              <w:jc w:val="left"/>
            </w:pPr>
            <w:r>
              <w:rPr>
                <w:b/>
                <w:bCs/>
                <w:color w:val="FFFFFF"/>
                <w:sz w:val="17"/>
              </w:rPr>
              <w:t xml:space="preserve">Piste</w:t>
            </w:r>
          </w:p>
        </w:tc>
        <w:tc>
          <w:tcPr>
            <w:shd w:val="clear" w:color="auto" w:fill="1BA996"/>
          </w:tcPr>
          <w:p>
            <w:pPr>
              <w:pStyle w:val="Compact"/>
              <w:spacing w:after="20" w:before="20" w:line="240" w:lineRule="auto"/>
              <w:jc w:val="left"/>
            </w:pPr>
            <w:r>
              <w:rPr>
                <w:b/>
                <w:bCs/>
                <w:color w:val="FFFFFF"/>
                <w:sz w:val="17"/>
              </w:rPr>
              <w:t xml:space="preserve">Objectif de</w:t>
            </w:r>
            <w:r>
              <w:rPr>
                <w:b/>
                <w:bCs/>
                <w:color w:val="FFFFFF"/>
                <w:sz w:val="17"/>
              </w:rPr>
              <w:t xml:space="preserve"> </w:t>
            </w:r>
            <w:r>
              <w:rPr>
                <w:b/>
                <w:bCs/>
                <w:color w:val="FFFFFF"/>
                <w:sz w:val="17"/>
              </w:rPr>
              <w:t xml:space="preserve">politique</w:t>
            </w:r>
            <w:r>
              <w:rPr>
                <w:b/>
                <w:bCs/>
                <w:color w:val="FFFFFF"/>
                <w:sz w:val="17"/>
              </w:rPr>
              <w:t xml:space="preserve"> </w:t>
            </w:r>
            <w:r>
              <w:rPr>
                <w:b/>
                <w:bCs/>
                <w:color w:val="FFFFFF"/>
                <w:sz w:val="17"/>
              </w:rPr>
              <w:t xml:space="preserve">publique</w:t>
            </w:r>
          </w:p>
        </w:tc>
        <w:tc>
          <w:tcPr>
            <w:shd w:val="clear" w:color="auto" w:fill="1BA996"/>
          </w:tcPr>
          <w:p>
            <w:pPr>
              <w:pStyle w:val="Compact"/>
              <w:spacing w:after="20" w:before="20" w:line="240" w:lineRule="auto"/>
              <w:jc w:val="left"/>
            </w:pPr>
            <w:r>
              <w:rPr>
                <w:b/>
                <w:bCs/>
                <w:color w:val="FFFFFF"/>
                <w:sz w:val="17"/>
              </w:rPr>
              <w:t xml:space="preserve">Voie juridique</w:t>
            </w:r>
          </w:p>
        </w:tc>
        <w:tc>
          <w:tcPr>
            <w:shd w:val="clear" w:color="auto" w:fill="1BA996"/>
          </w:tcPr>
          <w:p>
            <w:pPr>
              <w:pStyle w:val="Compact"/>
              <w:spacing w:after="20" w:before="20" w:line="240" w:lineRule="auto"/>
              <w:jc w:val="left"/>
            </w:pPr>
            <w:r>
              <w:rPr>
                <w:b/>
                <w:bCs/>
                <w:color w:val="FFFFFF"/>
                <w:sz w:val="17"/>
              </w:rPr>
              <w:t xml:space="preserve">Risques à</w:t>
            </w:r>
            <w:r>
              <w:rPr>
                <w:b/>
                <w:bCs/>
                <w:color w:val="FFFFFF"/>
                <w:sz w:val="17"/>
              </w:rPr>
              <w:t xml:space="preserve"> </w:t>
            </w:r>
            <w:r>
              <w:rPr>
                <w:b/>
                <w:bCs/>
                <w:color w:val="FFFFFF"/>
                <w:sz w:val="17"/>
              </w:rPr>
              <w:t xml:space="preserve">maîtriser</w:t>
            </w:r>
          </w:p>
        </w:tc>
      </w:tr>
      <w:tr>
        <w:tc>
          <w:tcPr/>
          <w:p>
            <w:pPr>
              <w:pStyle w:val="Compact"/>
              <w:spacing w:after="20" w:before="20" w:line="240" w:lineRule="auto"/>
              <w:jc w:val="left"/>
            </w:pPr>
            <w:r>
              <w:rPr>
                <w:sz w:val="17"/>
              </w:rPr>
              <w:t xml:space="preserve">Contribution</w:t>
            </w:r>
            <w:r>
              <w:rPr>
                <w:sz w:val="17"/>
              </w:rPr>
              <w:t xml:space="preserve"> </w:t>
            </w:r>
            <w:r>
              <w:rPr>
                <w:sz w:val="17"/>
              </w:rPr>
              <w:t xml:space="preserve">environnementale</w:t>
            </w:r>
            <w:r>
              <w:rPr>
                <w:sz w:val="17"/>
              </w:rPr>
              <w:t xml:space="preserve"> </w:t>
            </w:r>
            <w:r>
              <w:rPr>
                <w:sz w:val="17"/>
              </w:rPr>
              <w:t xml:space="preserve">sur les plastiques</w:t>
            </w:r>
          </w:p>
        </w:tc>
        <w:tc>
          <w:tcPr/>
          <w:p>
            <w:pPr>
              <w:pStyle w:val="Compact"/>
              <w:spacing w:after="20" w:before="20" w:line="240" w:lineRule="auto"/>
              <w:jc w:val="left"/>
            </w:pPr>
            <w:r>
              <w:rPr>
                <w:sz w:val="17"/>
              </w:rPr>
              <w:t xml:space="preserve">Réduction des</w:t>
            </w:r>
            <w:r>
              <w:rPr>
                <w:sz w:val="17"/>
              </w:rPr>
              <w:t xml:space="preserve"> </w:t>
            </w:r>
            <w:r>
              <w:rPr>
                <w:sz w:val="17"/>
              </w:rPr>
              <w:t xml:space="preserve">déchets plastiques</w:t>
            </w:r>
            <w:r>
              <w:rPr>
                <w:sz w:val="17"/>
              </w:rPr>
              <w:t xml:space="preserve"> </w:t>
            </w:r>
            <w:r>
              <w:rPr>
                <w:sz w:val="17"/>
              </w:rPr>
              <w:t xml:space="preserve">et financement de</w:t>
            </w:r>
            <w:r>
              <w:rPr>
                <w:sz w:val="17"/>
              </w:rPr>
              <w:t xml:space="preserve"> </w:t>
            </w:r>
            <w:r>
              <w:rPr>
                <w:sz w:val="17"/>
              </w:rPr>
              <w:t xml:space="preserve">l'assainissement</w:t>
            </w:r>
          </w:p>
        </w:tc>
        <w:tc>
          <w:tcPr/>
          <w:p>
            <w:pPr>
              <w:pStyle w:val="Compact"/>
              <w:spacing w:after="20" w:before="20" w:line="240" w:lineRule="auto"/>
              <w:jc w:val="left"/>
            </w:pPr>
            <w:r>
              <w:rPr>
                <w:sz w:val="17"/>
              </w:rPr>
              <w:t xml:space="preserve">Édit provincial,</w:t>
            </w:r>
            <w:r>
              <w:rPr>
                <w:sz w:val="17"/>
              </w:rPr>
              <w:t xml:space="preserve"> </w:t>
            </w:r>
            <w:r>
              <w:rPr>
                <w:sz w:val="17"/>
              </w:rPr>
              <w:t xml:space="preserve">après étude</w:t>
            </w:r>
            <w:r>
              <w:rPr>
                <w:sz w:val="17"/>
              </w:rPr>
              <w:t xml:space="preserve"> </w:t>
            </w:r>
            <w:r>
              <w:rPr>
                <w:sz w:val="17"/>
              </w:rPr>
              <w:t xml:space="preserve">d'impact et</w:t>
            </w:r>
            <w:r>
              <w:rPr>
                <w:sz w:val="17"/>
              </w:rPr>
              <w:t xml:space="preserve"> </w:t>
            </w:r>
            <w:r>
              <w:rPr>
                <w:sz w:val="17"/>
              </w:rPr>
              <w:t xml:space="preserve">consultation ;</w:t>
            </w:r>
            <w:r>
              <w:rPr>
                <w:sz w:val="17"/>
              </w:rPr>
              <w:t xml:space="preserve"> </w:t>
            </w:r>
            <w:r>
              <w:rPr>
                <w:sz w:val="17"/>
              </w:rPr>
              <w:t xml:space="preserve">vérifier</w:t>
            </w:r>
            <w:r>
              <w:rPr>
                <w:sz w:val="17"/>
              </w:rPr>
              <w:t xml:space="preserve"> </w:t>
            </w:r>
            <w:r>
              <w:rPr>
                <w:sz w:val="17"/>
              </w:rPr>
              <w:t xml:space="preserve">l'articulation</w:t>
            </w:r>
            <w:r>
              <w:rPr>
                <w:sz w:val="17"/>
              </w:rPr>
              <w:t xml:space="preserve"> </w:t>
            </w:r>
            <w:r>
              <w:rPr>
                <w:sz w:val="17"/>
              </w:rPr>
              <w:t xml:space="preserve">avec la fiscalité</w:t>
            </w:r>
            <w:r>
              <w:rPr>
                <w:sz w:val="17"/>
              </w:rPr>
              <w:t xml:space="preserve"> </w:t>
            </w:r>
            <w:r>
              <w:rPr>
                <w:sz w:val="17"/>
              </w:rPr>
              <w:t xml:space="preserve">centrale</w:t>
            </w:r>
          </w:p>
        </w:tc>
        <w:tc>
          <w:tcPr/>
          <w:p>
            <w:pPr>
              <w:pStyle w:val="Compact"/>
              <w:spacing w:after="20" w:before="20" w:line="240" w:lineRule="auto"/>
              <w:jc w:val="left"/>
            </w:pPr>
            <w:r>
              <w:rPr>
                <w:sz w:val="17"/>
              </w:rPr>
              <w:t xml:space="preserve">Double imposition,</w:t>
            </w:r>
            <w:r>
              <w:rPr>
                <w:sz w:val="17"/>
              </w:rPr>
              <w:t xml:space="preserve"> </w:t>
            </w:r>
            <w:r>
              <w:rPr>
                <w:sz w:val="17"/>
              </w:rPr>
              <w:t xml:space="preserve">report de charge sur</w:t>
            </w:r>
            <w:r>
              <w:rPr>
                <w:sz w:val="17"/>
              </w:rPr>
              <w:t xml:space="preserve"> </w:t>
            </w:r>
            <w:r>
              <w:rPr>
                <w:sz w:val="17"/>
              </w:rPr>
              <w:t xml:space="preserve">le consommateur,</w:t>
            </w:r>
            <w:r>
              <w:rPr>
                <w:sz w:val="17"/>
              </w:rPr>
              <w:t xml:space="preserve"> </w:t>
            </w:r>
            <w:r>
              <w:rPr>
                <w:sz w:val="17"/>
              </w:rPr>
              <w:t xml:space="preserve">contrebande</w:t>
            </w:r>
            <w:r>
              <w:rPr>
                <w:sz w:val="17"/>
              </w:rPr>
              <w:t xml:space="preserve"> </w:t>
            </w:r>
            <w:r>
              <w:rPr>
                <w:sz w:val="17"/>
              </w:rPr>
              <w:t xml:space="preserve">interprovinciale</w:t>
            </w:r>
          </w:p>
        </w:tc>
      </w:tr>
      <w:tr>
        <w:tc>
          <w:tcPr>
            <w:shd w:val="clear" w:color="auto" w:fill="F2F9F8"/>
          </w:tcPr>
          <w:p>
            <w:pPr>
              <w:pStyle w:val="Compact"/>
              <w:spacing w:after="20" w:before="20" w:line="240" w:lineRule="auto"/>
              <w:jc w:val="left"/>
            </w:pPr>
            <w:r>
              <w:rPr>
                <w:sz w:val="17"/>
              </w:rPr>
              <w:t xml:space="preserve">Redevance d'accès</w:t>
            </w:r>
            <w:r>
              <w:rPr>
                <w:sz w:val="17"/>
              </w:rPr>
              <w:t xml:space="preserve"> </w:t>
            </w:r>
            <w:r>
              <w:rPr>
                <w:sz w:val="17"/>
              </w:rPr>
              <w:t xml:space="preserve">logistique urbain</w:t>
            </w:r>
            <w:r>
              <w:rPr>
                <w:sz w:val="17"/>
              </w:rPr>
              <w:t xml:space="preserve"> </w:t>
            </w:r>
            <w:r>
              <w:rPr>
                <w:sz w:val="17"/>
              </w:rPr>
              <w:t xml:space="preserve">pour poids lourds</w:t>
            </w:r>
          </w:p>
        </w:tc>
        <w:tc>
          <w:tcPr>
            <w:shd w:val="clear" w:color="auto" w:fill="F2F9F8"/>
          </w:tcPr>
          <w:p>
            <w:pPr>
              <w:pStyle w:val="Compact"/>
              <w:spacing w:after="20" w:before="20" w:line="240" w:lineRule="auto"/>
              <w:jc w:val="left"/>
            </w:pPr>
            <w:r>
              <w:rPr>
                <w:sz w:val="17"/>
              </w:rPr>
              <w:t xml:space="preserve">Protection de la</w:t>
            </w:r>
            <w:r>
              <w:rPr>
                <w:sz w:val="17"/>
              </w:rPr>
              <w:t xml:space="preserve"> </w:t>
            </w:r>
            <w:r>
              <w:rPr>
                <w:sz w:val="17"/>
              </w:rPr>
              <w:t xml:space="preserve">voirie et</w:t>
            </w:r>
            <w:r>
              <w:rPr>
                <w:sz w:val="17"/>
              </w:rPr>
              <w:t xml:space="preserve"> </w:t>
            </w:r>
            <w:r>
              <w:rPr>
                <w:sz w:val="17"/>
              </w:rPr>
              <w:t xml:space="preserve">régulation des flux</w:t>
            </w:r>
          </w:p>
        </w:tc>
        <w:tc>
          <w:tcPr>
            <w:shd w:val="clear" w:color="auto" w:fill="F2F9F8"/>
          </w:tcPr>
          <w:p>
            <w:pPr>
              <w:pStyle w:val="Compact"/>
              <w:spacing w:after="20" w:before="20" w:line="240" w:lineRule="auto"/>
              <w:jc w:val="left"/>
            </w:pPr>
            <w:r>
              <w:rPr>
                <w:sz w:val="17"/>
              </w:rPr>
              <w:t xml:space="preserve">Édit, avec horaires</w:t>
            </w:r>
            <w:r>
              <w:rPr>
                <w:sz w:val="17"/>
              </w:rPr>
              <w:t xml:space="preserve"> </w:t>
            </w:r>
            <w:r>
              <w:rPr>
                <w:sz w:val="17"/>
              </w:rPr>
              <w:t xml:space="preserve">et corridors</w:t>
            </w:r>
            <w:r>
              <w:rPr>
                <w:sz w:val="17"/>
              </w:rPr>
              <w:t xml:space="preserve"> </w:t>
            </w:r>
            <w:r>
              <w:rPr>
                <w:sz w:val="17"/>
              </w:rPr>
              <w:t xml:space="preserve">définis</w:t>
            </w:r>
          </w:p>
        </w:tc>
        <w:tc>
          <w:tcPr>
            <w:shd w:val="clear" w:color="auto" w:fill="F2F9F8"/>
          </w:tcPr>
          <w:p>
            <w:pPr>
              <w:pStyle w:val="Compact"/>
              <w:spacing w:after="20" w:before="20" w:line="240" w:lineRule="auto"/>
              <w:jc w:val="left"/>
            </w:pPr>
            <w:r>
              <w:rPr>
                <w:sz w:val="17"/>
              </w:rPr>
              <w:t xml:space="preserve">Effet inflationniste</w:t>
            </w:r>
            <w:r>
              <w:rPr>
                <w:sz w:val="17"/>
              </w:rPr>
              <w:t xml:space="preserve"> </w:t>
            </w:r>
            <w:r>
              <w:rPr>
                <w:sz w:val="17"/>
              </w:rPr>
              <w:t xml:space="preserve">sur les biens,</w:t>
            </w:r>
            <w:r>
              <w:rPr>
                <w:sz w:val="17"/>
              </w:rPr>
              <w:t xml:space="preserve"> </w:t>
            </w:r>
            <w:r>
              <w:rPr>
                <w:sz w:val="17"/>
              </w:rPr>
              <w:t xml:space="preserve">contournement</w:t>
            </w:r>
          </w:p>
        </w:tc>
      </w:tr>
      <w:tr>
        <w:tc>
          <w:tcPr/>
          <w:p>
            <w:pPr>
              <w:pStyle w:val="Compact"/>
              <w:spacing w:after="20" w:before="20" w:line="240" w:lineRule="auto"/>
              <w:jc w:val="left"/>
            </w:pPr>
            <w:r>
              <w:rPr>
                <w:sz w:val="17"/>
              </w:rPr>
              <w:t xml:space="preserve">Droits de voirie</w:t>
            </w:r>
            <w:r>
              <w:rPr>
                <w:sz w:val="17"/>
              </w:rPr>
              <w:t xml:space="preserve"> </w:t>
            </w:r>
            <w:r>
              <w:rPr>
                <w:sz w:val="17"/>
              </w:rPr>
              <w:t xml:space="preserve">liés aux chantiers</w:t>
            </w:r>
            <w:r>
              <w:rPr>
                <w:sz w:val="17"/>
              </w:rPr>
              <w:t xml:space="preserve"> </w:t>
            </w:r>
            <w:r>
              <w:rPr>
                <w:sz w:val="17"/>
              </w:rPr>
              <w:t xml:space="preserve">et aux permis de</w:t>
            </w:r>
            <w:r>
              <w:rPr>
                <w:sz w:val="17"/>
              </w:rPr>
              <w:t xml:space="preserve"> </w:t>
            </w:r>
            <w:r>
              <w:rPr>
                <w:sz w:val="17"/>
              </w:rPr>
              <w:t xml:space="preserve">bâtir</w:t>
            </w:r>
          </w:p>
        </w:tc>
        <w:tc>
          <w:tcPr/>
          <w:p>
            <w:pPr>
              <w:pStyle w:val="Compact"/>
              <w:spacing w:after="20" w:before="20" w:line="240" w:lineRule="auto"/>
              <w:jc w:val="left"/>
            </w:pPr>
            <w:r>
              <w:rPr>
                <w:sz w:val="17"/>
              </w:rPr>
              <w:t xml:space="preserve">Financement de la</w:t>
            </w:r>
            <w:r>
              <w:rPr>
                <w:sz w:val="17"/>
              </w:rPr>
              <w:t xml:space="preserve"> </w:t>
            </w:r>
            <w:r>
              <w:rPr>
                <w:sz w:val="17"/>
              </w:rPr>
              <w:t xml:space="preserve">réfection après</w:t>
            </w:r>
            <w:r>
              <w:rPr>
                <w:sz w:val="17"/>
              </w:rPr>
              <w:t xml:space="preserve"> </w:t>
            </w:r>
            <w:r>
              <w:rPr>
                <w:sz w:val="17"/>
              </w:rPr>
              <w:t xml:space="preserve">travaux</w:t>
            </w:r>
          </w:p>
        </w:tc>
        <w:tc>
          <w:tcPr/>
          <w:p>
            <w:pPr>
              <w:pStyle w:val="Compact"/>
              <w:spacing w:after="20" w:before="20" w:line="240" w:lineRule="auto"/>
              <w:jc w:val="left"/>
            </w:pPr>
            <w:r>
              <w:rPr>
                <w:sz w:val="17"/>
              </w:rPr>
              <w:t xml:space="preserve">Arrêté et barème</w:t>
            </w:r>
          </w:p>
        </w:tc>
        <w:tc>
          <w:tcPr/>
          <w:p>
            <w:pPr>
              <w:pStyle w:val="Compact"/>
              <w:spacing w:after="20" w:before="20" w:line="240" w:lineRule="auto"/>
              <w:jc w:val="left"/>
            </w:pPr>
            <w:r>
              <w:rPr>
                <w:sz w:val="17"/>
              </w:rPr>
              <w:t xml:space="preserve">Blocage de</w:t>
            </w:r>
            <w:r>
              <w:rPr>
                <w:sz w:val="17"/>
              </w:rPr>
              <w:t xml:space="preserve"> </w:t>
            </w:r>
            <w:r>
              <w:rPr>
                <w:sz w:val="17"/>
              </w:rPr>
              <w:t xml:space="preserve">l'investissement si</w:t>
            </w:r>
            <w:r>
              <w:rPr>
                <w:sz w:val="17"/>
              </w:rPr>
              <w:t xml:space="preserve"> </w:t>
            </w:r>
            <w:r>
              <w:rPr>
                <w:sz w:val="17"/>
              </w:rPr>
              <w:t xml:space="preserve">mal calibré</w:t>
            </w:r>
          </w:p>
        </w:tc>
      </w:tr>
      <w:tr>
        <w:tc>
          <w:tcPr>
            <w:shd w:val="clear" w:color="auto" w:fill="F2F9F8"/>
          </w:tcPr>
          <w:p>
            <w:pPr>
              <w:pStyle w:val="Compact"/>
              <w:spacing w:after="20" w:before="20" w:line="240" w:lineRule="auto"/>
              <w:jc w:val="left"/>
            </w:pPr>
            <w:r>
              <w:rPr>
                <w:sz w:val="17"/>
              </w:rPr>
              <w:t xml:space="preserve">Captation de</w:t>
            </w:r>
            <w:r>
              <w:rPr>
                <w:sz w:val="17"/>
              </w:rPr>
              <w:t xml:space="preserve"> </w:t>
            </w:r>
            <w:r>
              <w:rPr>
                <w:sz w:val="17"/>
              </w:rPr>
              <w:t xml:space="preserve">plus-value</w:t>
            </w:r>
            <w:r>
              <w:rPr>
                <w:sz w:val="17"/>
              </w:rPr>
              <w:t xml:space="preserve"> </w:t>
            </w:r>
            <w:r>
              <w:rPr>
                <w:sz w:val="17"/>
              </w:rPr>
              <w:t xml:space="preserve">foncière liée aux</w:t>
            </w:r>
            <w:r>
              <w:rPr>
                <w:sz w:val="17"/>
              </w:rPr>
              <w:t xml:space="preserve"> </w:t>
            </w:r>
            <w:r>
              <w:rPr>
                <w:sz w:val="17"/>
              </w:rPr>
              <w:t xml:space="preserve">infrastructures</w:t>
            </w:r>
          </w:p>
        </w:tc>
        <w:tc>
          <w:tcPr>
            <w:shd w:val="clear" w:color="auto" w:fill="F2F9F8"/>
          </w:tcPr>
          <w:p>
            <w:pPr>
              <w:pStyle w:val="Compact"/>
              <w:spacing w:after="20" w:before="20" w:line="240" w:lineRule="auto"/>
              <w:jc w:val="left"/>
            </w:pPr>
            <w:r>
              <w:rPr>
                <w:sz w:val="17"/>
              </w:rPr>
              <w:t xml:space="preserve">Financement des</w:t>
            </w:r>
            <w:r>
              <w:rPr>
                <w:sz w:val="17"/>
              </w:rPr>
              <w:t xml:space="preserve"> </w:t>
            </w:r>
            <w:r>
              <w:rPr>
                <w:sz w:val="17"/>
              </w:rPr>
              <w:t xml:space="preserve">équipements par la</w:t>
            </w:r>
            <w:r>
              <w:rPr>
                <w:sz w:val="17"/>
              </w:rPr>
              <w:t xml:space="preserve"> </w:t>
            </w:r>
            <w:r>
              <w:rPr>
                <w:sz w:val="17"/>
              </w:rPr>
              <w:t xml:space="preserve">valorisation</w:t>
            </w:r>
            <w:r>
              <w:rPr>
                <w:sz w:val="17"/>
              </w:rPr>
              <w:t xml:space="preserve"> </w:t>
            </w:r>
            <w:r>
              <w:rPr>
                <w:sz w:val="17"/>
              </w:rPr>
              <w:t xml:space="preserve">induite</w:t>
            </w:r>
          </w:p>
        </w:tc>
        <w:tc>
          <w:tcPr>
            <w:shd w:val="clear" w:color="auto" w:fill="F2F9F8"/>
          </w:tcPr>
          <w:p>
            <w:pPr>
              <w:pStyle w:val="Compact"/>
              <w:spacing w:after="20" w:before="20" w:line="240" w:lineRule="auto"/>
              <w:jc w:val="left"/>
            </w:pPr>
            <w:r>
              <w:rPr>
                <w:sz w:val="17"/>
              </w:rPr>
              <w:t xml:space="preserve">Édit et méthode</w:t>
            </w:r>
            <w:r>
              <w:rPr>
                <w:sz w:val="17"/>
              </w:rPr>
              <w:t xml:space="preserve"> </w:t>
            </w:r>
            <w:r>
              <w:rPr>
                <w:sz w:val="17"/>
              </w:rPr>
              <w:t xml:space="preserve">d'évaluation</w:t>
            </w:r>
            <w:r>
              <w:rPr>
                <w:sz w:val="17"/>
              </w:rPr>
              <w:t xml:space="preserve"> </w:t>
            </w:r>
            <w:r>
              <w:rPr>
                <w:sz w:val="17"/>
              </w:rPr>
              <w:t xml:space="preserve">certifiée</w:t>
            </w:r>
          </w:p>
        </w:tc>
        <w:tc>
          <w:tcPr>
            <w:shd w:val="clear" w:color="auto" w:fill="F2F9F8"/>
          </w:tcPr>
          <w:p>
            <w:pPr>
              <w:pStyle w:val="Compact"/>
              <w:spacing w:after="20" w:before="20" w:line="240" w:lineRule="auto"/>
              <w:jc w:val="left"/>
            </w:pPr>
            <w:r>
              <w:rPr>
                <w:sz w:val="17"/>
              </w:rPr>
              <w:t xml:space="preserve">Contentieux</w:t>
            </w:r>
            <w:r>
              <w:rPr>
                <w:sz w:val="17"/>
              </w:rPr>
              <w:t xml:space="preserve"> </w:t>
            </w:r>
            <w:r>
              <w:rPr>
                <w:sz w:val="17"/>
              </w:rPr>
              <w:t xml:space="preserve">d'évaluation,</w:t>
            </w:r>
            <w:r>
              <w:rPr>
                <w:sz w:val="17"/>
              </w:rPr>
              <w:t xml:space="preserve"> </w:t>
            </w:r>
            <w:r>
              <w:rPr>
                <w:sz w:val="17"/>
              </w:rPr>
              <w:t xml:space="preserve">acceptabilité</w:t>
            </w:r>
          </w:p>
        </w:tc>
      </w:tr>
      <w:tr>
        <w:tc>
          <w:tcPr/>
          <w:p>
            <w:pPr>
              <w:pStyle w:val="Compact"/>
              <w:spacing w:after="20" w:before="20" w:line="240" w:lineRule="auto"/>
              <w:jc w:val="left"/>
            </w:pPr>
            <w:r>
              <w:rPr>
                <w:sz w:val="17"/>
              </w:rPr>
              <w:t xml:space="preserve">Droits de</w:t>
            </w:r>
            <w:r>
              <w:rPr>
                <w:sz w:val="17"/>
              </w:rPr>
              <w:t xml:space="preserve"> </w:t>
            </w:r>
            <w:r>
              <w:rPr>
                <w:sz w:val="17"/>
              </w:rPr>
              <w:t xml:space="preserve">dénomination et</w:t>
            </w:r>
            <w:r>
              <w:rPr>
                <w:sz w:val="17"/>
              </w:rPr>
              <w:t xml:space="preserve"> </w:t>
            </w:r>
            <w:r>
              <w:rPr>
                <w:sz w:val="17"/>
              </w:rPr>
              <w:t xml:space="preserve">d'usage</w:t>
            </w:r>
            <w:r>
              <w:rPr>
                <w:sz w:val="17"/>
              </w:rPr>
              <w:t xml:space="preserve"> </w:t>
            </w:r>
            <w:r>
              <w:rPr>
                <w:sz w:val="17"/>
              </w:rPr>
              <w:t xml:space="preserve">commercial</w:t>
            </w:r>
            <w:r>
              <w:rPr>
                <w:sz w:val="17"/>
              </w:rPr>
              <w:t xml:space="preserve"> </w:t>
            </w:r>
            <w:r>
              <w:rPr>
                <w:sz w:val="17"/>
              </w:rPr>
              <w:t xml:space="preserve">d'actifs publics</w:t>
            </w:r>
          </w:p>
        </w:tc>
        <w:tc>
          <w:tcPr/>
          <w:p>
            <w:pPr>
              <w:pStyle w:val="Compact"/>
              <w:spacing w:after="20" w:before="20" w:line="240" w:lineRule="auto"/>
              <w:jc w:val="left"/>
            </w:pPr>
            <w:r>
              <w:rPr>
                <w:sz w:val="17"/>
              </w:rPr>
              <w:t xml:space="preserve">Valorisation</w:t>
            </w:r>
            <w:r>
              <w:rPr>
                <w:sz w:val="17"/>
              </w:rPr>
              <w:t xml:space="preserve"> </w:t>
            </w:r>
            <w:r>
              <w:rPr>
                <w:sz w:val="17"/>
              </w:rPr>
              <w:t xml:space="preserve">d'actifs existants</w:t>
            </w:r>
          </w:p>
        </w:tc>
        <w:tc>
          <w:tcPr/>
          <w:p>
            <w:pPr>
              <w:pStyle w:val="Compact"/>
              <w:spacing w:after="20" w:before="20" w:line="240" w:lineRule="auto"/>
              <w:jc w:val="left"/>
            </w:pPr>
            <w:r>
              <w:rPr>
                <w:sz w:val="17"/>
              </w:rPr>
              <w:t xml:space="preserve">Délibération et</w:t>
            </w:r>
            <w:r>
              <w:rPr>
                <w:sz w:val="17"/>
              </w:rPr>
              <w:t xml:space="preserve"> </w:t>
            </w:r>
            <w:r>
              <w:rPr>
                <w:sz w:val="17"/>
              </w:rPr>
              <w:t xml:space="preserve">mise en concurrence</w:t>
            </w:r>
          </w:p>
        </w:tc>
        <w:tc>
          <w:tcPr/>
          <w:p>
            <w:pPr>
              <w:pStyle w:val="Compact"/>
              <w:spacing w:after="20" w:before="20" w:line="240" w:lineRule="auto"/>
              <w:jc w:val="left"/>
            </w:pPr>
            <w:r>
              <w:rPr>
                <w:sz w:val="17"/>
              </w:rPr>
              <w:t xml:space="preserve">Opacité si</w:t>
            </w:r>
            <w:r>
              <w:rPr>
                <w:sz w:val="17"/>
              </w:rPr>
              <w:t xml:space="preserve"> </w:t>
            </w:r>
            <w:r>
              <w:rPr>
                <w:sz w:val="17"/>
              </w:rPr>
              <w:t xml:space="preserve">attribution de gré à</w:t>
            </w:r>
            <w:r>
              <w:rPr>
                <w:sz w:val="17"/>
              </w:rPr>
              <w:t xml:space="preserve"> </w:t>
            </w:r>
            <w:r>
              <w:rPr>
                <w:sz w:val="17"/>
              </w:rPr>
              <w:t xml:space="preserve">gré</w:t>
            </w:r>
          </w:p>
        </w:tc>
      </w:tr>
      <w:tr>
        <w:tc>
          <w:tcPr>
            <w:shd w:val="clear" w:color="auto" w:fill="F2F9F8"/>
          </w:tcPr>
          <w:p>
            <w:pPr>
              <w:pStyle w:val="Compact"/>
              <w:spacing w:after="20" w:before="20" w:line="240" w:lineRule="auto"/>
              <w:jc w:val="left"/>
            </w:pPr>
            <w:r>
              <w:rPr>
                <w:sz w:val="17"/>
              </w:rPr>
              <w:t xml:space="preserve">Location et mise</w:t>
            </w:r>
            <w:r>
              <w:rPr>
                <w:sz w:val="17"/>
              </w:rPr>
              <w:t xml:space="preserve"> </w:t>
            </w:r>
            <w:r>
              <w:rPr>
                <w:sz w:val="17"/>
              </w:rPr>
              <w:t xml:space="preserve">en valeur du</w:t>
            </w:r>
            <w:r>
              <w:rPr>
                <w:sz w:val="17"/>
              </w:rPr>
              <w:t xml:space="preserve"> </w:t>
            </w:r>
            <w:r>
              <w:rPr>
                <w:sz w:val="17"/>
              </w:rPr>
              <w:t xml:space="preserve">patrimoine</w:t>
            </w:r>
            <w:r>
              <w:rPr>
                <w:sz w:val="17"/>
              </w:rPr>
              <w:t xml:space="preserve"> </w:t>
            </w:r>
            <w:r>
              <w:rPr>
                <w:sz w:val="17"/>
              </w:rPr>
              <w:t xml:space="preserve">provincial</w:t>
            </w:r>
            <w:r>
              <w:rPr>
                <w:sz w:val="17"/>
              </w:rPr>
              <w:t xml:space="preserve"> </w:t>
            </w:r>
            <w:r>
              <w:rPr>
                <w:sz w:val="17"/>
              </w:rPr>
              <w:t xml:space="preserve">sous-utilisé</w:t>
            </w:r>
          </w:p>
        </w:tc>
        <w:tc>
          <w:tcPr>
            <w:shd w:val="clear" w:color="auto" w:fill="F2F9F8"/>
          </w:tcPr>
          <w:p>
            <w:pPr>
              <w:pStyle w:val="Compact"/>
              <w:spacing w:after="20" w:before="20" w:line="240" w:lineRule="auto"/>
              <w:jc w:val="left"/>
            </w:pPr>
            <w:r>
              <w:rPr>
                <w:sz w:val="17"/>
              </w:rPr>
              <w:t xml:space="preserve">Revenu domanial</w:t>
            </w:r>
            <w:r>
              <w:rPr>
                <w:sz w:val="17"/>
              </w:rPr>
              <w:t xml:space="preserve"> </w:t>
            </w:r>
            <w:r>
              <w:rPr>
                <w:sz w:val="17"/>
              </w:rPr>
              <w:t xml:space="preserve">récurrent</w:t>
            </w:r>
          </w:p>
        </w:tc>
        <w:tc>
          <w:tcPr>
            <w:shd w:val="clear" w:color="auto" w:fill="F2F9F8"/>
          </w:tcPr>
          <w:p>
            <w:pPr>
              <w:pStyle w:val="Compact"/>
              <w:spacing w:after="20" w:before="20" w:line="240" w:lineRule="auto"/>
              <w:jc w:val="left"/>
            </w:pPr>
            <w:r>
              <w:rPr>
                <w:sz w:val="17"/>
              </w:rPr>
              <w:t xml:space="preserve">Inventaire,</w:t>
            </w:r>
            <w:r>
              <w:rPr>
                <w:sz w:val="17"/>
              </w:rPr>
              <w:t xml:space="preserve"> </w:t>
            </w:r>
            <w:r>
              <w:rPr>
                <w:sz w:val="17"/>
              </w:rPr>
              <w:t xml:space="preserve">évaluation, appel</w:t>
            </w:r>
            <w:r>
              <w:rPr>
                <w:sz w:val="17"/>
              </w:rPr>
              <w:t xml:space="preserve"> </w:t>
            </w:r>
            <w:r>
              <w:rPr>
                <w:sz w:val="17"/>
              </w:rPr>
              <w:t xml:space="preserve">public</w:t>
            </w:r>
          </w:p>
        </w:tc>
        <w:tc>
          <w:tcPr>
            <w:shd w:val="clear" w:color="auto" w:fill="F2F9F8"/>
          </w:tcPr>
          <w:p>
            <w:pPr>
              <w:pStyle w:val="Compact"/>
              <w:spacing w:after="20" w:before="20" w:line="240" w:lineRule="auto"/>
              <w:jc w:val="left"/>
            </w:pPr>
            <w:r>
              <w:rPr>
                <w:sz w:val="17"/>
              </w:rPr>
              <w:t xml:space="preserve">Bradage, conflits</w:t>
            </w:r>
            <w:r>
              <w:rPr>
                <w:sz w:val="17"/>
              </w:rPr>
              <w:t xml:space="preserve"> </w:t>
            </w:r>
            <w:r>
              <w:rPr>
                <w:sz w:val="17"/>
              </w:rPr>
              <w:t xml:space="preserve">d'intérêts</w:t>
            </w:r>
          </w:p>
        </w:tc>
      </w:tr>
      <w:tr>
        <w:tc>
          <w:tcPr/>
          <w:p>
            <w:pPr>
              <w:pStyle w:val="Compact"/>
              <w:spacing w:after="20" w:before="20" w:line="240" w:lineRule="auto"/>
              <w:jc w:val="left"/>
            </w:pPr>
            <w:r>
              <w:rPr>
                <w:sz w:val="17"/>
              </w:rPr>
              <w:t xml:space="preserve">Services</w:t>
            </w:r>
            <w:r>
              <w:rPr>
                <w:sz w:val="17"/>
              </w:rPr>
              <w:t xml:space="preserve"> </w:t>
            </w:r>
            <w:r>
              <w:rPr>
                <w:sz w:val="17"/>
              </w:rPr>
              <w:t xml:space="preserve">administratifs</w:t>
            </w:r>
            <w:r>
              <w:rPr>
                <w:sz w:val="17"/>
              </w:rPr>
              <w:t xml:space="preserve"> </w:t>
            </w:r>
            <w:r>
              <w:rPr>
                <w:sz w:val="17"/>
              </w:rPr>
              <w:t xml:space="preserve">numériques premium</w:t>
            </w:r>
            <w:r>
              <w:rPr>
                <w:sz w:val="17"/>
              </w:rPr>
              <w:t xml:space="preserve"> </w:t>
            </w:r>
            <w:r>
              <w:rPr>
                <w:sz w:val="17"/>
              </w:rPr>
              <w:t xml:space="preserve">(délais garantis)</w:t>
            </w:r>
          </w:p>
        </w:tc>
        <w:tc>
          <w:tcPr/>
          <w:p>
            <w:pPr>
              <w:pStyle w:val="Compact"/>
              <w:spacing w:after="20" w:before="20" w:line="240" w:lineRule="auto"/>
              <w:jc w:val="left"/>
            </w:pPr>
            <w:r>
              <w:rPr>
                <w:sz w:val="17"/>
              </w:rPr>
              <w:t xml:space="preserve">Qualité de service</w:t>
            </w:r>
            <w:r>
              <w:rPr>
                <w:sz w:val="17"/>
              </w:rPr>
              <w:t xml:space="preserve"> </w:t>
            </w:r>
            <w:r>
              <w:rPr>
                <w:sz w:val="17"/>
              </w:rPr>
              <w:t xml:space="preserve">financée</w:t>
            </w:r>
          </w:p>
        </w:tc>
        <w:tc>
          <w:tcPr/>
          <w:p>
            <w:pPr>
              <w:pStyle w:val="Compact"/>
              <w:spacing w:after="20" w:before="20" w:line="240" w:lineRule="auto"/>
              <w:jc w:val="left"/>
            </w:pPr>
            <w:r>
              <w:rPr>
                <w:sz w:val="17"/>
              </w:rPr>
              <w:t xml:space="preserve">Arrêté tarifaire</w:t>
            </w:r>
          </w:p>
        </w:tc>
        <w:tc>
          <w:tcPr/>
          <w:p>
            <w:pPr>
              <w:pStyle w:val="Compact"/>
              <w:spacing w:after="20" w:before="20" w:line="240" w:lineRule="auto"/>
              <w:jc w:val="left"/>
            </w:pPr>
            <w:r>
              <w:rPr>
                <w:sz w:val="17"/>
              </w:rPr>
              <w:t xml:space="preserve">Création d'un</w:t>
            </w:r>
            <w:r>
              <w:rPr>
                <w:sz w:val="17"/>
              </w:rPr>
              <w:t xml:space="preserve"> </w:t>
            </w:r>
            <w:r>
              <w:rPr>
                <w:sz w:val="17"/>
              </w:rPr>
              <w:t xml:space="preserve">service à deux</w:t>
            </w:r>
            <w:r>
              <w:rPr>
                <w:sz w:val="17"/>
              </w:rPr>
              <w:t xml:space="preserve"> </w:t>
            </w:r>
            <w:r>
              <w:rPr>
                <w:sz w:val="17"/>
              </w:rPr>
              <w:t xml:space="preserve">vitesses</w:t>
            </w:r>
          </w:p>
        </w:tc>
      </w:tr>
      <w:tr>
        <w:tc>
          <w:tcPr>
            <w:shd w:val="clear" w:color="auto" w:fill="F2F9F8"/>
          </w:tcPr>
          <w:p>
            <w:pPr>
              <w:pStyle w:val="Compact"/>
              <w:spacing w:after="20" w:before="20" w:line="240" w:lineRule="auto"/>
              <w:jc w:val="left"/>
            </w:pPr>
            <w:r>
              <w:rPr>
                <w:sz w:val="17"/>
              </w:rPr>
              <w:t xml:space="preserve">Produits de</w:t>
            </w:r>
            <w:r>
              <w:rPr>
                <w:sz w:val="17"/>
              </w:rPr>
              <w:t xml:space="preserve"> </w:t>
            </w:r>
            <w:r>
              <w:rPr>
                <w:sz w:val="17"/>
              </w:rPr>
              <w:t xml:space="preserve">données urbaines</w:t>
            </w:r>
            <w:r>
              <w:rPr>
                <w:sz w:val="17"/>
              </w:rPr>
              <w:t xml:space="preserve"> </w:t>
            </w:r>
            <w:r>
              <w:rPr>
                <w:sz w:val="17"/>
              </w:rPr>
              <w:t xml:space="preserve">anonymisées</w:t>
            </w:r>
          </w:p>
        </w:tc>
        <w:tc>
          <w:tcPr>
            <w:shd w:val="clear" w:color="auto" w:fill="F2F9F8"/>
          </w:tcPr>
          <w:p>
            <w:pPr>
              <w:pStyle w:val="Compact"/>
              <w:spacing w:after="20" w:before="20" w:line="240" w:lineRule="auto"/>
              <w:jc w:val="left"/>
            </w:pPr>
            <w:r>
              <w:rPr>
                <w:sz w:val="17"/>
              </w:rPr>
              <w:t xml:space="preserve">Valorisation</w:t>
            </w:r>
            <w:r>
              <w:rPr>
                <w:sz w:val="17"/>
              </w:rPr>
              <w:t xml:space="preserve"> </w:t>
            </w:r>
            <w:r>
              <w:rPr>
                <w:sz w:val="17"/>
              </w:rPr>
              <w:t xml:space="preserve">statistique non</w:t>
            </w:r>
            <w:r>
              <w:rPr>
                <w:sz w:val="17"/>
              </w:rPr>
              <w:t xml:space="preserve"> </w:t>
            </w:r>
            <w:r>
              <w:rPr>
                <w:sz w:val="17"/>
              </w:rPr>
              <w:t xml:space="preserve">personnelle</w:t>
            </w:r>
          </w:p>
        </w:tc>
        <w:tc>
          <w:tcPr>
            <w:shd w:val="clear" w:color="auto" w:fill="F2F9F8"/>
          </w:tcPr>
          <w:p>
            <w:pPr>
              <w:pStyle w:val="Compact"/>
              <w:spacing w:after="20" w:before="20" w:line="240" w:lineRule="auto"/>
              <w:jc w:val="left"/>
            </w:pPr>
            <w:r>
              <w:rPr>
                <w:sz w:val="17"/>
              </w:rPr>
              <w:t xml:space="preserve">Cadre de</w:t>
            </w:r>
            <w:r>
              <w:rPr>
                <w:sz w:val="17"/>
              </w:rPr>
              <w:t xml:space="preserve"> </w:t>
            </w:r>
            <w:r>
              <w:rPr>
                <w:sz w:val="17"/>
              </w:rPr>
              <w:t xml:space="preserve">gouvernance des</w:t>
            </w:r>
            <w:r>
              <w:rPr>
                <w:sz w:val="17"/>
              </w:rPr>
              <w:t xml:space="preserve"> </w:t>
            </w:r>
            <w:r>
              <w:rPr>
                <w:sz w:val="17"/>
              </w:rPr>
              <w:t xml:space="preserve">données et avis de</w:t>
            </w:r>
            <w:r>
              <w:rPr>
                <w:sz w:val="17"/>
              </w:rPr>
              <w:t xml:space="preserve"> </w:t>
            </w:r>
            <w:r>
              <w:rPr>
                <w:sz w:val="17"/>
              </w:rPr>
              <w:t xml:space="preserve">conformité</w:t>
            </w:r>
          </w:p>
        </w:tc>
        <w:tc>
          <w:tcPr>
            <w:shd w:val="clear" w:color="auto" w:fill="F2F9F8"/>
          </w:tcPr>
          <w:p>
            <w:pPr>
              <w:pStyle w:val="Compact"/>
              <w:spacing w:after="20" w:before="20" w:line="240" w:lineRule="auto"/>
              <w:jc w:val="left"/>
            </w:pPr>
            <w:r>
              <w:rPr>
                <w:sz w:val="17"/>
              </w:rPr>
              <w:t xml:space="preserve">Ré-identification,</w:t>
            </w:r>
            <w:r>
              <w:rPr>
                <w:sz w:val="17"/>
              </w:rPr>
              <w:t xml:space="preserve"> </w:t>
            </w:r>
            <w:r>
              <w:rPr>
                <w:sz w:val="17"/>
              </w:rPr>
              <w:t xml:space="preserve">atteinte à la vie</w:t>
            </w:r>
            <w:r>
              <w:rPr>
                <w:sz w:val="17"/>
              </w:rPr>
              <w:t xml:space="preserve"> </w:t>
            </w:r>
            <w:r>
              <w:rPr>
                <w:sz w:val="17"/>
              </w:rPr>
              <w:t xml:space="preserve">privée</w:t>
            </w:r>
          </w:p>
        </w:tc>
      </w:tr>
    </w:tbl>
    <w:bookmarkEnd w:id="56"/>
    <w:bookmarkStart w:id="57" w:name="Xb00be29b4420cb5058751f3d3fc359153e97340"/>
    <w:p>
      <w:pPr>
        <w:pStyle w:val="Heading2"/>
      </w:pPr>
      <w:r>
        <w:t xml:space="preserve">8.3 Grille d'évaluation applicable à chaque piste</w:t>
      </w:r>
    </w:p>
    <w:p>
      <w:pPr>
        <w:pStyle w:val="FirstParagraph"/>
      </w:pPr>
      <w:r>
        <w:t xml:space="preserve">Chaque piste est instruite avec la même grille avant d'être soumise à</w:t>
      </w:r>
      <w:r>
        <w:t xml:space="preserve"> </w:t>
      </w:r>
      <w:r>
        <w:t xml:space="preserve">décision : faisabilité juridique ; objectif de politique publique ;</w:t>
      </w:r>
      <w:r>
        <w:t xml:space="preserve"> </w:t>
      </w:r>
      <w:r>
        <w:t xml:space="preserve">autorité responsable ; fait générateur ; population concernée ; méthode</w:t>
      </w:r>
      <w:r>
        <w:t xml:space="preserve"> </w:t>
      </w:r>
      <w:r>
        <w:t xml:space="preserve">de calcul ; coût de mise en œuvre ; impact social ; impact économique ;</w:t>
      </w:r>
      <w:r>
        <w:t xml:space="preserve"> </w:t>
      </w:r>
      <w:r>
        <w:t xml:space="preserve">potentiel de recettes en scénarios prudent, attendu et ambitieux ;</w:t>
      </w:r>
      <w:r>
        <w:t xml:space="preserve"> </w:t>
      </w:r>
      <w:r>
        <w:t xml:space="preserve">risque de corruption ; exigences de contrôle ; texte requis ; priorité ;</w:t>
      </w:r>
      <w:r>
        <w:t xml:space="preserve"> </w:t>
      </w:r>
      <w:r>
        <w:t xml:space="preserve">recommandation de pilote. Aucune projection n'est présentée comme</w:t>
      </w:r>
      <w:r>
        <w:t xml:space="preserve"> </w:t>
      </w:r>
      <w:r>
        <w:t xml:space="preserve">acquise ; toute hypothèse est datée, sourcée et révisable.</w:t>
      </w:r>
    </w:p>
    <w:bookmarkEnd w:id="57"/>
    <w:bookmarkStart w:id="58" w:name="X109be1fd7358255e3469425df179f434039e878"/>
    <w:p>
      <w:pPr>
        <w:pStyle w:val="Heading2"/>
      </w:pPr>
      <w:r>
        <w:t xml:space="preserve">8.4 Moteur de découverte des recettes (Revenue Discovery Engine)</w:t>
      </w:r>
    </w:p>
    <w:p>
      <w:pPr>
        <w:pStyle w:val="FirstParagraph"/>
      </w:pPr>
      <w:r>
        <w:t xml:space="preserve">Agent permanent de recherche des assiettes, des écarts et des opportunités légalement mobilisables, ainsi que des fuites de recettes. Son champ d’analyse couvre : foncier ; immobilier locatif ; activités économiques ; véhicules et mobilité ; stationnement ; publicité ; télécoms et antennes ; marchés ; domaine public ; licences ; déchets et environnement ; ports ; tourisme ; événements ; construction ; carrières ; concessions ; actifs publics ; services premium ; arriérés.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Étape du pipeline</w:t>
            </w:r>
          </w:p>
        </w:tc>
        <w:tc>
          <w:tcPr>
            <w:shd w:val="clear" w:color="auto" w:fill="1BA996"/>
          </w:tcPr>
          <w:p>
            <w:pPr>
              <w:pStyle w:val="Compact"/>
              <w:spacing w:after="20" w:before="20" w:line="240" w:lineRule="auto"/>
              <w:jc w:val="left"/>
            </w:pPr>
            <w:r>
              <w:rPr>
                <w:b/>
                <w:color w:val="FFFFFF"/>
                <w:sz w:val="17"/>
              </w:rPr>
              <w:t xml:space="preserve">Contenu</w:t>
            </w:r>
          </w:p>
        </w:tc>
        <w:tc>
          <w:tcPr>
            <w:shd w:val="clear" w:color="auto" w:fill="1BA996"/>
          </w:tcPr>
          <w:p>
            <w:pPr>
              <w:pStyle w:val="Compact"/>
              <w:spacing w:after="20" w:before="20" w:line="240" w:lineRule="auto"/>
              <w:jc w:val="left"/>
            </w:pPr>
            <w:r>
              <w:rPr>
                <w:b/>
                <w:color w:val="FFFFFF"/>
                <w:sz w:val="17"/>
              </w:rPr>
              <w:t xml:space="preserve">Responsable</w:t>
            </w:r>
          </w:p>
        </w:tc>
      </w:tr>
      <w:tr>
        <w:tc>
          <w:tcPr/>
          <w:p>
            <w:pPr>
              <w:pStyle w:val="Compact"/>
              <w:spacing w:after="20" w:before="20" w:line="240" w:lineRule="auto"/>
              <w:jc w:val="left"/>
            </w:pPr>
            <w:r>
              <w:rPr>
                <w:sz w:val="17"/>
              </w:rPr>
              <w:t xml:space="preserve">1. Signal</w:t>
            </w:r>
          </w:p>
        </w:tc>
        <w:tc>
          <w:tcPr/>
          <w:p>
            <w:pPr>
              <w:pStyle w:val="Compact"/>
              <w:spacing w:after="20" w:before="20" w:line="240" w:lineRule="auto"/>
              <w:jc w:val="left"/>
            </w:pPr>
            <w:r>
              <w:rPr>
                <w:sz w:val="17"/>
              </w:rPr>
              <w:t xml:space="preserve">Anomalie, objet non enregistré, écart de rapprochement, donnée partenaire</w:t>
            </w:r>
          </w:p>
        </w:tc>
        <w:tc>
          <w:tcPr/>
          <w:p>
            <w:pPr>
              <w:pStyle w:val="Compact"/>
              <w:spacing w:after="20" w:before="20" w:line="240" w:lineRule="auto"/>
              <w:jc w:val="left"/>
            </w:pPr>
            <w:r>
              <w:rPr>
                <w:sz w:val="17"/>
              </w:rPr>
              <w:t xml:space="preserve">Agent IA, terrain, données partenaires</w:t>
            </w:r>
          </w:p>
        </w:tc>
      </w:tr>
      <w:tr>
        <w:tc>
          <w:tcPr>
            <w:shd w:val="clear" w:color="auto" w:fill="F2F9F8"/>
          </w:tcPr>
          <w:p>
            <w:pPr>
              <w:pStyle w:val="Compact"/>
              <w:spacing w:after="20" w:before="20" w:line="240" w:lineRule="auto"/>
              <w:jc w:val="left"/>
            </w:pPr>
            <w:r>
              <w:rPr>
                <w:sz w:val="17"/>
              </w:rPr>
              <w:t xml:space="preserve">2. Qualification juridique</w:t>
            </w:r>
          </w:p>
        </w:tc>
        <w:tc>
          <w:tcPr>
            <w:shd w:val="clear" w:color="auto" w:fill="F2F9F8"/>
          </w:tcPr>
          <w:p>
            <w:pPr>
              <w:pStyle w:val="Compact"/>
              <w:spacing w:after="20" w:before="20" w:line="240" w:lineRule="auto"/>
              <w:jc w:val="left"/>
            </w:pPr>
            <w:r>
              <w:rPr>
                <w:sz w:val="17"/>
              </w:rPr>
              <w:t xml:space="preserve">Base légale existante ou acte nouveau requis</w:t>
            </w:r>
          </w:p>
        </w:tc>
        <w:tc>
          <w:tcPr>
            <w:shd w:val="clear" w:color="auto" w:fill="F2F9F8"/>
          </w:tcPr>
          <w:p>
            <w:pPr>
              <w:pStyle w:val="Compact"/>
              <w:spacing w:after="20" w:before="20" w:line="240" w:lineRule="auto"/>
              <w:jc w:val="left"/>
            </w:pPr>
            <w:r>
              <w:rPr>
                <w:sz w:val="17"/>
              </w:rPr>
              <w:t xml:space="preserve">Juriste provincial</w:t>
            </w:r>
          </w:p>
        </w:tc>
      </w:tr>
      <w:tr>
        <w:tc>
          <w:tcPr/>
          <w:p>
            <w:pPr>
              <w:pStyle w:val="Compact"/>
              <w:spacing w:after="20" w:before="20" w:line="240" w:lineRule="auto"/>
              <w:jc w:val="left"/>
            </w:pPr>
            <w:r>
              <w:rPr>
                <w:sz w:val="17"/>
              </w:rPr>
              <w:t xml:space="preserve">3. Estimation</w:t>
            </w:r>
          </w:p>
        </w:tc>
        <w:tc>
          <w:tcPr/>
          <w:p>
            <w:pPr>
              <w:pStyle w:val="Compact"/>
              <w:spacing w:after="20" w:before="20" w:line="240" w:lineRule="auto"/>
              <w:jc w:val="left"/>
            </w:pPr>
            <w:r>
              <w:rPr>
                <w:sz w:val="17"/>
              </w:rPr>
              <w:t xml:space="preserve">Scénarios conservateur, attendu, ambitieux, hypothèses datées</w:t>
            </w:r>
          </w:p>
        </w:tc>
        <w:tc>
          <w:tcPr/>
          <w:p>
            <w:pPr>
              <w:pStyle w:val="Compact"/>
              <w:spacing w:after="20" w:before="20" w:line="240" w:lineRule="auto"/>
              <w:jc w:val="left"/>
            </w:pPr>
            <w:r>
              <w:rPr>
                <w:sz w:val="17"/>
              </w:rPr>
              <w:t xml:space="preserve">Analyste du programme</w:t>
            </w:r>
          </w:p>
        </w:tc>
      </w:tr>
      <w:tr>
        <w:tc>
          <w:tcPr>
            <w:shd w:val="clear" w:color="auto" w:fill="F2F9F8"/>
          </w:tcPr>
          <w:p>
            <w:pPr>
              <w:pStyle w:val="Compact"/>
              <w:spacing w:after="20" w:before="20" w:line="240" w:lineRule="auto"/>
              <w:jc w:val="left"/>
            </w:pPr>
            <w:r>
              <w:rPr>
                <w:sz w:val="17"/>
              </w:rPr>
              <w:t xml:space="preserve">4. Impact socio-économique</w:t>
            </w:r>
          </w:p>
        </w:tc>
        <w:tc>
          <w:tcPr>
            <w:shd w:val="clear" w:color="auto" w:fill="F2F9F8"/>
          </w:tcPr>
          <w:p>
            <w:pPr>
              <w:pStyle w:val="Compact"/>
              <w:spacing w:after="20" w:before="20" w:line="240" w:lineRule="auto"/>
              <w:jc w:val="left"/>
            </w:pPr>
            <w:r>
              <w:rPr>
                <w:sz w:val="17"/>
              </w:rPr>
              <w:t xml:space="preserve">Effets sur ménages, entreprises, prix, informel</w:t>
            </w:r>
          </w:p>
        </w:tc>
        <w:tc>
          <w:tcPr>
            <w:shd w:val="clear" w:color="auto" w:fill="F2F9F8"/>
          </w:tcPr>
          <w:p>
            <w:pPr>
              <w:pStyle w:val="Compact"/>
              <w:spacing w:after="20" w:before="20" w:line="240" w:lineRule="auto"/>
              <w:jc w:val="left"/>
            </w:pPr>
            <w:r>
              <w:rPr>
                <w:sz w:val="17"/>
              </w:rPr>
              <w:t xml:space="preserve">Programme et régie</w:t>
            </w:r>
          </w:p>
        </w:tc>
      </w:tr>
      <w:tr>
        <w:tc>
          <w:tcPr/>
          <w:p>
            <w:pPr>
              <w:pStyle w:val="Compact"/>
              <w:spacing w:after="20" w:before="20" w:line="240" w:lineRule="auto"/>
              <w:jc w:val="left"/>
            </w:pPr>
            <w:r>
              <w:rPr>
                <w:sz w:val="17"/>
              </w:rPr>
              <w:t xml:space="preserve">5. Risque de corruption</w:t>
            </w:r>
          </w:p>
        </w:tc>
        <w:tc>
          <w:tcPr/>
          <w:p>
            <w:pPr>
              <w:pStyle w:val="Compact"/>
              <w:spacing w:after="20" w:before="20" w:line="240" w:lineRule="auto"/>
              <w:jc w:val="left"/>
            </w:pPr>
            <w:r>
              <w:rPr>
                <w:sz w:val="17"/>
              </w:rPr>
              <w:t xml:space="preserve">Points de contact, discrétion, espèces, collusion</w:t>
            </w:r>
          </w:p>
        </w:tc>
        <w:tc>
          <w:tcPr/>
          <w:p>
            <w:pPr>
              <w:pStyle w:val="Compact"/>
              <w:spacing w:after="20" w:before="20" w:line="240" w:lineRule="auto"/>
              <w:jc w:val="left"/>
            </w:pPr>
            <w:r>
              <w:rPr>
                <w:sz w:val="17"/>
              </w:rPr>
              <w:t xml:space="preserve">Contrôle interne</w:t>
            </w:r>
          </w:p>
        </w:tc>
      </w:tr>
      <w:tr>
        <w:tc>
          <w:tcPr>
            <w:shd w:val="clear" w:color="auto" w:fill="F2F9F8"/>
          </w:tcPr>
          <w:p>
            <w:pPr>
              <w:pStyle w:val="Compact"/>
              <w:spacing w:after="20" w:before="20" w:line="240" w:lineRule="auto"/>
              <w:jc w:val="left"/>
            </w:pPr>
            <w:r>
              <w:rPr>
                <w:sz w:val="17"/>
              </w:rPr>
              <w:t xml:space="preserve">6. Coût d’implémentation</w:t>
            </w:r>
          </w:p>
        </w:tc>
        <w:tc>
          <w:tcPr>
            <w:shd w:val="clear" w:color="auto" w:fill="F2F9F8"/>
          </w:tcPr>
          <w:p>
            <w:pPr>
              <w:pStyle w:val="Compact"/>
              <w:spacing w:after="20" w:before="20" w:line="240" w:lineRule="auto"/>
              <w:jc w:val="left"/>
            </w:pPr>
            <w:r>
              <w:rPr>
                <w:sz w:val="17"/>
              </w:rPr>
              <w:t xml:space="preserve">Données, terrain, développement, exploitation</w:t>
            </w:r>
          </w:p>
        </w:tc>
        <w:tc>
          <w:tcPr>
            <w:shd w:val="clear" w:color="auto" w:fill="F2F9F8"/>
          </w:tcPr>
          <w:p>
            <w:pPr>
              <w:pStyle w:val="Compact"/>
              <w:spacing w:after="20" w:before="20" w:line="240" w:lineRule="auto"/>
              <w:jc w:val="left"/>
            </w:pPr>
            <w:r>
              <w:rPr>
                <w:sz w:val="17"/>
              </w:rPr>
              <w:t xml:space="preserve">Programme</w:t>
            </w:r>
          </w:p>
        </w:tc>
      </w:tr>
      <w:tr>
        <w:tc>
          <w:tcPr/>
          <w:p>
            <w:pPr>
              <w:pStyle w:val="Compact"/>
              <w:spacing w:after="20" w:before="20" w:line="240" w:lineRule="auto"/>
              <w:jc w:val="left"/>
            </w:pPr>
            <w:r>
              <w:rPr>
                <w:sz w:val="17"/>
              </w:rPr>
              <w:t xml:space="preserve">7. Pilote</w:t>
            </w:r>
          </w:p>
        </w:tc>
        <w:tc>
          <w:tcPr/>
          <w:p>
            <w:pPr>
              <w:pStyle w:val="Compact"/>
              <w:spacing w:after="20" w:before="20" w:line="240" w:lineRule="auto"/>
              <w:jc w:val="left"/>
            </w:pPr>
            <w:r>
              <w:rPr>
                <w:sz w:val="17"/>
              </w:rPr>
              <w:t xml:space="preserve">Périmètre, durée, indicateurs, groupe de comparaison</w:t>
            </w:r>
          </w:p>
        </w:tc>
        <w:tc>
          <w:tcPr/>
          <w:p>
            <w:pPr>
              <w:pStyle w:val="Compact"/>
              <w:spacing w:after="20" w:before="20" w:line="240" w:lineRule="auto"/>
              <w:jc w:val="left"/>
            </w:pPr>
            <w:r>
              <w:rPr>
                <w:sz w:val="17"/>
              </w:rPr>
              <w:t xml:space="preserve">Comité de pilotage</w:t>
            </w:r>
          </w:p>
        </w:tc>
      </w:tr>
      <w:tr>
        <w:tc>
          <w:tcPr>
            <w:shd w:val="clear" w:color="auto" w:fill="F2F9F8"/>
          </w:tcPr>
          <w:p>
            <w:pPr>
              <w:pStyle w:val="Compact"/>
              <w:spacing w:after="20" w:before="20" w:line="240" w:lineRule="auto"/>
              <w:jc w:val="left"/>
            </w:pPr>
            <w:r>
              <w:rPr>
                <w:sz w:val="17"/>
              </w:rPr>
              <w:t xml:space="preserve">8. Décision</w:t>
            </w:r>
          </w:p>
        </w:tc>
        <w:tc>
          <w:tcPr>
            <w:shd w:val="clear" w:color="auto" w:fill="F2F9F8"/>
          </w:tcPr>
          <w:p>
            <w:pPr>
              <w:pStyle w:val="Compact"/>
              <w:spacing w:after="20" w:before="20" w:line="240" w:lineRule="auto"/>
              <w:jc w:val="left"/>
            </w:pPr>
            <w:r>
              <w:rPr>
                <w:sz w:val="17"/>
              </w:rPr>
              <w:t xml:space="preserve">Activation, report ou abandon, motivé</w:t>
            </w:r>
          </w:p>
        </w:tc>
        <w:tc>
          <w:tcPr>
            <w:shd w:val="clear" w:color="auto" w:fill="F2F9F8"/>
          </w:tcPr>
          <w:p>
            <w:pPr>
              <w:pStyle w:val="Compact"/>
              <w:spacing w:after="20" w:before="20" w:line="240" w:lineRule="auto"/>
              <w:jc w:val="left"/>
            </w:pPr>
            <w:r>
              <w:rPr>
                <w:sz w:val="17"/>
              </w:rPr>
              <w:t xml:space="preserve">Autorité compétente</w:t>
            </w:r>
          </w:p>
        </w:tc>
      </w:tr>
    </w:tbl>
    <w:p>
      <w:pPr>
        <w:pStyle w:val="BodyText"/>
      </w:pPr>
      <w:r>
        <w:t xml:space="preserve">Chaque opportunité reçoit une fiche légalité / coût / impact / risque / pilote, instruite selon la grille du § 8.3. Les scénarios conservateur, attendu et ambitieux ne sont établis qu’à partir d’hypothèses explicitement documentées.</w:t>
      </w:r>
    </w:p>
    <w:p>
      <w:pPr>
        <w:pStyle w:val="BlockText"/>
      </w:pPr>
      <w:r>
        <w:rPr>
          <w:b/>
          <w:bCs/>
        </w:rPr>
        <w:t xml:space="preserve">Garde-fou.</w:t>
      </w:r>
      <w:r>
        <w:t xml:space="preserve"> </w:t>
      </w:r>
      <w:r>
        <w:t xml:space="preserve">Aucune opportunité ne devient une taxe par simple décision algorithmique.</w:t>
      </w:r>
    </w:p>
    <w:bookmarkEnd w:id="58"/>
    <w:bookmarkStart w:id="59" w:name="X04d1bf3960e3a6ef00677da89db5771e1b6bbdd"/>
    <w:p>
      <w:pPr>
        <w:pStyle w:val="Heading2"/>
      </w:pPr>
      <w:r>
        <w:t xml:space="preserve">8.5 Moteur de recoupement : signaux complémentaires</w:t>
      </w:r>
    </w:p>
    <w:p>
      <w:pPr>
        <w:pStyle w:val="FirstParagraph"/>
      </w:pPr>
      <w:r>
        <w:t xml:space="preserve">Le recensement porte-à-porte seul est lent et coûteux ; le principal levier est le recoupement de données obtenues par protocoles d’accord. Chaque règle produit une liste de travail priorisée pour les agents, jamais un avis d’imposition automatique.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Signal</w:t>
            </w:r>
          </w:p>
        </w:tc>
        <w:tc>
          <w:tcPr>
            <w:shd w:val="clear" w:color="auto" w:fill="1BA996"/>
          </w:tcPr>
          <w:p>
            <w:pPr>
              <w:pStyle w:val="Compact"/>
              <w:spacing w:after="20" w:before="20" w:line="240" w:lineRule="auto"/>
              <w:jc w:val="left"/>
            </w:pPr>
            <w:r>
              <w:rPr>
                <w:b/>
                <w:color w:val="FFFFFF"/>
                <w:sz w:val="17"/>
              </w:rPr>
              <w:t xml:space="preserve">Règle</w:t>
            </w:r>
          </w:p>
        </w:tc>
        <w:tc>
          <w:tcPr>
            <w:shd w:val="clear" w:color="auto" w:fill="1BA996"/>
          </w:tcPr>
          <w:p>
            <w:pPr>
              <w:pStyle w:val="Compact"/>
              <w:spacing w:after="20" w:before="20" w:line="240" w:lineRule="auto"/>
              <w:jc w:val="left"/>
            </w:pPr>
            <w:r>
              <w:rPr>
                <w:b/>
                <w:color w:val="FFFFFF"/>
                <w:sz w:val="17"/>
              </w:rPr>
              <w:t xml:space="preserve">Résultat</w:t>
            </w:r>
          </w:p>
        </w:tc>
      </w:tr>
      <w:tr>
        <w:tc>
          <w:tcPr/>
          <w:p>
            <w:pPr>
              <w:pStyle w:val="Compact"/>
              <w:spacing w:after="20" w:before="20" w:line="240" w:lineRule="auto"/>
              <w:jc w:val="left"/>
            </w:pPr>
            <w:r>
              <w:rPr>
                <w:sz w:val="17"/>
              </w:rPr>
              <w:t xml:space="preserve">Dépôt brassicole livrant un point de vente</w:t>
            </w:r>
          </w:p>
        </w:tc>
        <w:tc>
          <w:tcPr/>
          <w:p>
            <w:pPr>
              <w:pStyle w:val="Compact"/>
              <w:spacing w:after="20" w:before="20" w:line="240" w:lineRule="auto"/>
              <w:jc w:val="left"/>
            </w:pPr>
            <w:r>
              <w:rPr>
                <w:sz w:val="17"/>
              </w:rPr>
              <w:t xml:space="preserve">Aucune autorisation de débit de boissons à moins de 50 m</w:t>
            </w:r>
          </w:p>
        </w:tc>
        <w:tc>
          <w:tcPr/>
          <w:p>
            <w:pPr>
              <w:pStyle w:val="Compact"/>
              <w:spacing w:after="20" w:before="20" w:line="240" w:lineRule="auto"/>
              <w:jc w:val="left"/>
            </w:pPr>
            <w:r>
              <w:rPr>
                <w:sz w:val="17"/>
              </w:rPr>
              <w:t xml:space="preserve">Objet provisoire « bar » et visite de vérification</w:t>
            </w:r>
          </w:p>
        </w:tc>
      </w:tr>
      <w:tr>
        <w:tc>
          <w:tcPr>
            <w:shd w:val="clear" w:color="auto" w:fill="F2F9F8"/>
          </w:tcPr>
          <w:p>
            <w:pPr>
              <w:pStyle w:val="Compact"/>
              <w:spacing w:after="20" w:before="20" w:line="240" w:lineRule="auto"/>
              <w:jc w:val="left"/>
            </w:pPr>
            <w:r>
              <w:rPr>
                <w:sz w:val="17"/>
              </w:rPr>
              <w:t xml:space="preserve">Code marchand Mobile Money actif à Kinshasa</w:t>
            </w:r>
          </w:p>
        </w:tc>
        <w:tc>
          <w:tcPr>
            <w:shd w:val="clear" w:color="auto" w:fill="F2F9F8"/>
          </w:tcPr>
          <w:p>
            <w:pPr>
              <w:pStyle w:val="Compact"/>
              <w:spacing w:after="20" w:before="20" w:line="240" w:lineRule="auto"/>
              <w:jc w:val="left"/>
            </w:pPr>
            <w:r>
              <w:rPr>
                <w:sz w:val="17"/>
              </w:rPr>
              <w:t xml:space="preserve">Aucun objet patente à cet emplacement</w:t>
            </w:r>
          </w:p>
        </w:tc>
        <w:tc>
          <w:tcPr>
            <w:shd w:val="clear" w:color="auto" w:fill="F2F9F8"/>
          </w:tcPr>
          <w:p>
            <w:pPr>
              <w:pStyle w:val="Compact"/>
              <w:spacing w:after="20" w:before="20" w:line="240" w:lineRule="auto"/>
              <w:jc w:val="left"/>
            </w:pPr>
            <w:r>
              <w:rPr>
                <w:sz w:val="17"/>
              </w:rPr>
              <w:t xml:space="preserve">Commerce probablement non enregistré</w:t>
            </w:r>
          </w:p>
        </w:tc>
      </w:tr>
      <w:tr>
        <w:tc>
          <w:tcPr/>
          <w:p>
            <w:pPr>
              <w:pStyle w:val="Compact"/>
              <w:spacing w:after="20" w:before="20" w:line="240" w:lineRule="auto"/>
              <w:jc w:val="left"/>
            </w:pPr>
            <w:r>
              <w:rPr>
                <w:sz w:val="17"/>
              </w:rPr>
              <w:t xml:space="preserve">Plaque contrôlée à un point de contrôle</w:t>
            </w:r>
          </w:p>
        </w:tc>
        <w:tc>
          <w:tcPr/>
          <w:p>
            <w:pPr>
              <w:pStyle w:val="Compact"/>
              <w:spacing w:after="20" w:before="20" w:line="240" w:lineRule="auto"/>
              <w:jc w:val="left"/>
            </w:pPr>
            <w:r>
              <w:rPr>
                <w:sz w:val="17"/>
              </w:rPr>
              <w:t xml:space="preserve">Vignette ou taxe de circulation impayée</w:t>
            </w:r>
          </w:p>
        </w:tc>
        <w:tc>
          <w:tcPr/>
          <w:p>
            <w:pPr>
              <w:pStyle w:val="Compact"/>
              <w:spacing w:after="20" w:before="20" w:line="240" w:lineRule="auto"/>
              <w:jc w:val="left"/>
            </w:pPr>
            <w:r>
              <w:rPr>
                <w:sz w:val="17"/>
              </w:rPr>
              <w:t xml:space="preserve">Statut instantané pour le contrôleur</w:t>
            </w:r>
          </w:p>
        </w:tc>
      </w:tr>
      <w:tr>
        <w:tc>
          <w:tcPr>
            <w:shd w:val="clear" w:color="auto" w:fill="F2F9F8"/>
          </w:tcPr>
          <w:p>
            <w:pPr>
              <w:pStyle w:val="Compact"/>
              <w:spacing w:after="20" w:before="20" w:line="240" w:lineRule="auto"/>
              <w:jc w:val="left"/>
            </w:pPr>
            <w:r>
              <w:rPr>
                <w:sz w:val="17"/>
              </w:rPr>
              <w:t xml:space="preserve">Entreprise soumissionnant à un marché provincial ou demandant une autorisation</w:t>
            </w:r>
          </w:p>
        </w:tc>
        <w:tc>
          <w:tcPr>
            <w:shd w:val="clear" w:color="auto" w:fill="F2F9F8"/>
          </w:tcPr>
          <w:p>
            <w:pPr>
              <w:pStyle w:val="Compact"/>
              <w:spacing w:after="20" w:before="20" w:line="240" w:lineRule="auto"/>
              <w:jc w:val="left"/>
            </w:pPr>
            <w:r>
              <w:rPr>
                <w:sz w:val="17"/>
              </w:rPr>
              <w:t xml:space="preserve">Aucun quitus fiscal valide</w:t>
            </w:r>
          </w:p>
        </w:tc>
        <w:tc>
          <w:tcPr>
            <w:shd w:val="clear" w:color="auto" w:fill="F2F9F8"/>
          </w:tcPr>
          <w:p>
            <w:pPr>
              <w:pStyle w:val="Compact"/>
              <w:spacing w:after="20" w:before="20" w:line="240" w:lineRule="auto"/>
              <w:jc w:val="left"/>
            </w:pPr>
            <w:r>
              <w:rPr>
                <w:sz w:val="17"/>
              </w:rPr>
              <w:t xml:space="preserve">Service bloqué jusqu’à régularisation</w:t>
            </w:r>
          </w:p>
        </w:tc>
      </w:tr>
      <w:tr>
        <w:tc>
          <w:tcPr/>
          <w:p>
            <w:pPr>
              <w:pStyle w:val="Compact"/>
              <w:spacing w:after="20" w:before="20" w:line="240" w:lineRule="auto"/>
              <w:jc w:val="left"/>
            </w:pPr>
            <w:r>
              <w:rPr>
                <w:sz w:val="17"/>
              </w:rPr>
              <w:t xml:space="preserve">Immeuble multi-unités déclaré vacant, baux expirés, loyers atypiques, doublons</w:t>
            </w:r>
          </w:p>
        </w:tc>
        <w:tc>
          <w:tcPr/>
          <w:p>
            <w:pPr>
              <w:pStyle w:val="Compact"/>
              <w:spacing w:after="20" w:before="20" w:line="240" w:lineRule="auto"/>
              <w:jc w:val="left"/>
            </w:pPr>
            <w:r>
              <w:rPr>
                <w:sz w:val="17"/>
              </w:rPr>
              <w:t xml:space="preserve">Incohérence de déclaration locative</w:t>
            </w:r>
          </w:p>
        </w:tc>
        <w:tc>
          <w:tcPr/>
          <w:p>
            <w:pPr>
              <w:pStyle w:val="Compact"/>
              <w:spacing w:after="20" w:before="20" w:line="240" w:lineRule="auto"/>
              <w:jc w:val="left"/>
            </w:pPr>
            <w:r>
              <w:rPr>
                <w:sz w:val="17"/>
              </w:rPr>
              <w:t xml:space="preserve">Examen humain puis mission autorisée</w:t>
            </w:r>
          </w:p>
        </w:tc>
      </w:tr>
    </w:tbl>
    <w:p>
      <w:pPr>
        <w:pStyle w:val="BodyText"/>
      </w:pPr>
      <w:r>
        <w:t xml:space="preserve">Chaque source de données exige un protocole signé et une vérification au regard du Code du numérique (Ordonnance-loi n° 23/010 du 13 mars 2023) avant tout échange de données personnelles.</w:t>
      </w:r>
    </w:p>
    <w:bookmarkEnd w:id="59"/>
    <w:bookmarkStart w:id="60" w:name="les-douze-leviers-de-maximisation"/>
    <w:p>
      <w:pPr>
        <w:pStyle w:val="Heading2"/>
      </w:pPr>
      <w:r>
        <w:t xml:space="preserve">8.6 Les douze leviers de maximisation</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Levier</w:t>
            </w:r>
          </w:p>
        </w:tc>
        <w:tc>
          <w:tcPr>
            <w:shd w:val="clear" w:color="auto" w:fill="1BA996"/>
          </w:tcPr>
          <w:p>
            <w:pPr>
              <w:pStyle w:val="Compact"/>
              <w:spacing w:after="20" w:before="20" w:line="240" w:lineRule="auto"/>
              <w:jc w:val="left"/>
            </w:pPr>
            <w:r>
              <w:rPr>
                <w:b/>
                <w:color w:val="FFFFFF"/>
                <w:sz w:val="17"/>
              </w:rPr>
              <w:t xml:space="preserve">Action</w:t>
            </w:r>
          </w:p>
        </w:tc>
        <w:tc>
          <w:tcPr>
            <w:shd w:val="clear" w:color="auto" w:fill="1BA996"/>
          </w:tcPr>
          <w:p>
            <w:pPr>
              <w:pStyle w:val="Compact"/>
              <w:spacing w:after="20" w:before="20" w:line="240" w:lineRule="auto"/>
              <w:jc w:val="left"/>
            </w:pPr>
            <w:r>
              <w:rPr>
                <w:b/>
                <w:color w:val="FFFFFF"/>
                <w:sz w:val="17"/>
              </w:rPr>
              <w:t xml:space="preserve">Mesure du gain</w:t>
            </w:r>
          </w:p>
        </w:tc>
      </w:tr>
      <w:tr>
        <w:tc>
          <w:tcPr/>
          <w:p>
            <w:pPr>
              <w:pStyle w:val="Compact"/>
              <w:spacing w:after="20" w:before="20" w:line="240" w:lineRule="auto"/>
              <w:jc w:val="left"/>
            </w:pPr>
            <w:r>
              <w:rPr>
                <w:sz w:val="17"/>
              </w:rPr>
              <w:t xml:space="preserve">1 Couverture</w:t>
            </w:r>
          </w:p>
        </w:tc>
        <w:tc>
          <w:tcPr/>
          <w:p>
            <w:pPr>
              <w:pStyle w:val="Compact"/>
              <w:spacing w:after="20" w:before="20" w:line="240" w:lineRule="auto"/>
              <w:jc w:val="left"/>
            </w:pPr>
            <w:r>
              <w:rPr>
                <w:sz w:val="17"/>
              </w:rPr>
              <w:t xml:space="preserve">Recenser objets et activités invisibles</w:t>
            </w:r>
          </w:p>
        </w:tc>
        <w:tc>
          <w:tcPr/>
          <w:p>
            <w:pPr>
              <w:pStyle w:val="Compact"/>
              <w:spacing w:after="20" w:before="20" w:line="240" w:lineRule="auto"/>
              <w:jc w:val="left"/>
            </w:pPr>
            <w:r>
              <w:rPr>
                <w:sz w:val="17"/>
              </w:rPr>
              <w:t xml:space="preserve">Nouveaux objets vérifiés</w:t>
            </w:r>
          </w:p>
        </w:tc>
      </w:tr>
      <w:tr>
        <w:tc>
          <w:tcPr>
            <w:shd w:val="clear" w:color="auto" w:fill="F2F9F8"/>
          </w:tcPr>
          <w:p>
            <w:pPr>
              <w:pStyle w:val="Compact"/>
              <w:spacing w:after="20" w:before="20" w:line="240" w:lineRule="auto"/>
              <w:jc w:val="left"/>
            </w:pPr>
            <w:r>
              <w:rPr>
                <w:sz w:val="17"/>
              </w:rPr>
              <w:t xml:space="preserve">2 Rattachement</w:t>
            </w:r>
          </w:p>
        </w:tc>
        <w:tc>
          <w:tcPr>
            <w:shd w:val="clear" w:color="auto" w:fill="F2F9F8"/>
          </w:tcPr>
          <w:p>
            <w:pPr>
              <w:pStyle w:val="Compact"/>
              <w:spacing w:after="20" w:before="20" w:line="240" w:lineRule="auto"/>
              <w:jc w:val="left"/>
            </w:pPr>
            <w:r>
              <w:rPr>
                <w:sz w:val="17"/>
              </w:rPr>
              <w:t xml:space="preserve">Associer les objets à la bonne personne</w:t>
            </w:r>
          </w:p>
        </w:tc>
        <w:tc>
          <w:tcPr>
            <w:shd w:val="clear" w:color="auto" w:fill="F2F9F8"/>
          </w:tcPr>
          <w:p>
            <w:pPr>
              <w:pStyle w:val="Compact"/>
              <w:spacing w:after="20" w:before="20" w:line="240" w:lineRule="auto"/>
              <w:jc w:val="left"/>
            </w:pPr>
            <w:r>
              <w:rPr>
                <w:sz w:val="17"/>
              </w:rPr>
              <w:t xml:space="preserve">Taux d’identification</w:t>
            </w:r>
          </w:p>
        </w:tc>
      </w:tr>
      <w:tr>
        <w:tc>
          <w:tcPr/>
          <w:p>
            <w:pPr>
              <w:pStyle w:val="Compact"/>
              <w:spacing w:after="20" w:before="20" w:line="240" w:lineRule="auto"/>
              <w:jc w:val="left"/>
            </w:pPr>
            <w:r>
              <w:rPr>
                <w:sz w:val="17"/>
              </w:rPr>
              <w:t xml:space="preserve">3 Qualité</w:t>
            </w:r>
          </w:p>
        </w:tc>
        <w:tc>
          <w:tcPr/>
          <w:p>
            <w:pPr>
              <w:pStyle w:val="Compact"/>
              <w:spacing w:after="20" w:before="20" w:line="240" w:lineRule="auto"/>
              <w:jc w:val="left"/>
            </w:pPr>
            <w:r>
              <w:rPr>
                <w:sz w:val="17"/>
              </w:rPr>
              <w:t xml:space="preserve">Corriger adresses, catégories, dimensions</w:t>
            </w:r>
          </w:p>
        </w:tc>
        <w:tc>
          <w:tcPr/>
          <w:p>
            <w:pPr>
              <w:pStyle w:val="Compact"/>
              <w:spacing w:after="20" w:before="20" w:line="240" w:lineRule="auto"/>
              <w:jc w:val="left"/>
            </w:pPr>
            <w:r>
              <w:rPr>
                <w:sz w:val="17"/>
              </w:rPr>
              <w:t xml:space="preserve">Baisse des rejets et recours fondés</w:t>
            </w:r>
          </w:p>
        </w:tc>
      </w:tr>
      <w:tr>
        <w:tc>
          <w:tcPr>
            <w:shd w:val="clear" w:color="auto" w:fill="F2F9F8"/>
          </w:tcPr>
          <w:p>
            <w:pPr>
              <w:pStyle w:val="Compact"/>
              <w:spacing w:after="20" w:before="20" w:line="240" w:lineRule="auto"/>
              <w:jc w:val="left"/>
            </w:pPr>
            <w:r>
              <w:rPr>
                <w:sz w:val="17"/>
              </w:rPr>
              <w:t xml:space="preserve">4 Règles</w:t>
            </w:r>
          </w:p>
        </w:tc>
        <w:tc>
          <w:tcPr>
            <w:shd w:val="clear" w:color="auto" w:fill="F2F9F8"/>
          </w:tcPr>
          <w:p>
            <w:pPr>
              <w:pStyle w:val="Compact"/>
              <w:spacing w:after="20" w:before="20" w:line="240" w:lineRule="auto"/>
              <w:jc w:val="left"/>
            </w:pPr>
            <w:r>
              <w:rPr>
                <w:sz w:val="17"/>
              </w:rPr>
              <w:t xml:space="preserve">Appliquer exactement la règle en vigueur</w:t>
            </w:r>
          </w:p>
        </w:tc>
        <w:tc>
          <w:tcPr>
            <w:shd w:val="clear" w:color="auto" w:fill="F2F9F8"/>
          </w:tcPr>
          <w:p>
            <w:pPr>
              <w:pStyle w:val="Compact"/>
              <w:spacing w:after="20" w:before="20" w:line="240" w:lineRule="auto"/>
              <w:jc w:val="left"/>
            </w:pPr>
            <w:r>
              <w:rPr>
                <w:sz w:val="17"/>
              </w:rPr>
              <w:t xml:space="preserve">Écart de liquidation</w:t>
            </w:r>
          </w:p>
        </w:tc>
      </w:tr>
      <w:tr>
        <w:tc>
          <w:tcPr/>
          <w:p>
            <w:pPr>
              <w:pStyle w:val="Compact"/>
              <w:spacing w:after="20" w:before="20" w:line="240" w:lineRule="auto"/>
              <w:jc w:val="left"/>
            </w:pPr>
            <w:r>
              <w:rPr>
                <w:sz w:val="17"/>
              </w:rPr>
              <w:t xml:space="preserve">5 Déclaration</w:t>
            </w:r>
          </w:p>
        </w:tc>
        <w:tc>
          <w:tcPr/>
          <w:p>
            <w:pPr>
              <w:pStyle w:val="Compact"/>
              <w:spacing w:after="20" w:before="20" w:line="240" w:lineRule="auto"/>
              <w:jc w:val="left"/>
            </w:pPr>
            <w:r>
              <w:rPr>
                <w:sz w:val="17"/>
              </w:rPr>
              <w:t xml:space="preserve">Formulaires préremplis et rappels</w:t>
            </w:r>
          </w:p>
        </w:tc>
        <w:tc>
          <w:tcPr/>
          <w:p>
            <w:pPr>
              <w:pStyle w:val="Compact"/>
              <w:spacing w:after="20" w:before="20" w:line="240" w:lineRule="auto"/>
              <w:jc w:val="left"/>
            </w:pPr>
            <w:r>
              <w:rPr>
                <w:sz w:val="17"/>
              </w:rPr>
              <w:t xml:space="preserve">Taux de dépôt à temps</w:t>
            </w:r>
          </w:p>
        </w:tc>
      </w:tr>
      <w:tr>
        <w:tc>
          <w:tcPr>
            <w:shd w:val="clear" w:color="auto" w:fill="F2F9F8"/>
          </w:tcPr>
          <w:p>
            <w:pPr>
              <w:pStyle w:val="Compact"/>
              <w:spacing w:after="20" w:before="20" w:line="240" w:lineRule="auto"/>
              <w:jc w:val="left"/>
            </w:pPr>
            <w:r>
              <w:rPr>
                <w:sz w:val="17"/>
              </w:rPr>
              <w:t xml:space="preserve">6 Paiement</w:t>
            </w:r>
          </w:p>
        </w:tc>
        <w:tc>
          <w:tcPr>
            <w:shd w:val="clear" w:color="auto" w:fill="F2F9F8"/>
          </w:tcPr>
          <w:p>
            <w:pPr>
              <w:pStyle w:val="Compact"/>
              <w:spacing w:after="20" w:before="20" w:line="240" w:lineRule="auto"/>
              <w:jc w:val="left"/>
            </w:pPr>
            <w:r>
              <w:rPr>
                <w:sz w:val="17"/>
              </w:rPr>
              <w:t xml:space="preserve">Canaux simples et références uniques</w:t>
            </w:r>
          </w:p>
        </w:tc>
        <w:tc>
          <w:tcPr>
            <w:shd w:val="clear" w:color="auto" w:fill="F2F9F8"/>
          </w:tcPr>
          <w:p>
            <w:pPr>
              <w:pStyle w:val="Compact"/>
              <w:spacing w:after="20" w:before="20" w:line="240" w:lineRule="auto"/>
              <w:jc w:val="left"/>
            </w:pPr>
            <w:r>
              <w:rPr>
                <w:sz w:val="17"/>
              </w:rPr>
              <w:t xml:space="preserve">Conversion ordre → paiement</w:t>
            </w:r>
          </w:p>
        </w:tc>
      </w:tr>
      <w:tr>
        <w:tc>
          <w:tcPr/>
          <w:p>
            <w:pPr>
              <w:pStyle w:val="Compact"/>
              <w:spacing w:after="20" w:before="20" w:line="240" w:lineRule="auto"/>
              <w:jc w:val="left"/>
            </w:pPr>
            <w:r>
              <w:rPr>
                <w:sz w:val="17"/>
              </w:rPr>
              <w:t xml:space="preserve">7 Rapprochement</w:t>
            </w:r>
          </w:p>
        </w:tc>
        <w:tc>
          <w:tcPr/>
          <w:p>
            <w:pPr>
              <w:pStyle w:val="Compact"/>
              <w:spacing w:after="20" w:before="20" w:line="240" w:lineRule="auto"/>
              <w:jc w:val="left"/>
            </w:pPr>
            <w:r>
              <w:rPr>
                <w:sz w:val="17"/>
              </w:rPr>
              <w:t xml:space="preserve">Automatiser le dénouement</w:t>
            </w:r>
          </w:p>
        </w:tc>
        <w:tc>
          <w:tcPr/>
          <w:p>
            <w:pPr>
              <w:pStyle w:val="Compact"/>
              <w:spacing w:after="20" w:before="20" w:line="240" w:lineRule="auto"/>
              <w:jc w:val="left"/>
            </w:pPr>
            <w:r>
              <w:rPr>
                <w:sz w:val="17"/>
              </w:rPr>
              <w:t xml:space="preserve">Sommes en exception</w:t>
            </w:r>
          </w:p>
        </w:tc>
      </w:tr>
      <w:tr>
        <w:tc>
          <w:tcPr>
            <w:shd w:val="clear" w:color="auto" w:fill="F2F9F8"/>
          </w:tcPr>
          <w:p>
            <w:pPr>
              <w:pStyle w:val="Compact"/>
              <w:spacing w:after="20" w:before="20" w:line="240" w:lineRule="auto"/>
              <w:jc w:val="left"/>
            </w:pPr>
            <w:r>
              <w:rPr>
                <w:sz w:val="17"/>
              </w:rPr>
              <w:t xml:space="preserve">8 Recouvrement</w:t>
            </w:r>
          </w:p>
        </w:tc>
        <w:tc>
          <w:tcPr>
            <w:shd w:val="clear" w:color="auto" w:fill="F2F9F8"/>
          </w:tcPr>
          <w:p>
            <w:pPr>
              <w:pStyle w:val="Compact"/>
              <w:spacing w:after="20" w:before="20" w:line="240" w:lineRule="auto"/>
              <w:jc w:val="left"/>
            </w:pPr>
            <w:r>
              <w:rPr>
                <w:sz w:val="17"/>
              </w:rPr>
              <w:t xml:space="preserve">Prioriser le rendement net</w:t>
            </w:r>
          </w:p>
        </w:tc>
        <w:tc>
          <w:tcPr>
            <w:shd w:val="clear" w:color="auto" w:fill="F2F9F8"/>
          </w:tcPr>
          <w:p>
            <w:pPr>
              <w:pStyle w:val="Compact"/>
              <w:spacing w:after="20" w:before="20" w:line="240" w:lineRule="auto"/>
              <w:jc w:val="left"/>
            </w:pPr>
            <w:r>
              <w:rPr>
                <w:sz w:val="17"/>
              </w:rPr>
              <w:t xml:space="preserve">Montant récupéré par coût</w:t>
            </w:r>
          </w:p>
        </w:tc>
      </w:tr>
      <w:tr>
        <w:tc>
          <w:tcPr/>
          <w:p>
            <w:pPr>
              <w:pStyle w:val="Compact"/>
              <w:spacing w:after="20" w:before="20" w:line="240" w:lineRule="auto"/>
              <w:jc w:val="left"/>
            </w:pPr>
            <w:r>
              <w:rPr>
                <w:sz w:val="17"/>
              </w:rPr>
              <w:t xml:space="preserve">9 Fraude</w:t>
            </w:r>
          </w:p>
        </w:tc>
        <w:tc>
          <w:tcPr/>
          <w:p>
            <w:pPr>
              <w:pStyle w:val="Compact"/>
              <w:spacing w:after="20" w:before="20" w:line="240" w:lineRule="auto"/>
              <w:jc w:val="left"/>
            </w:pPr>
            <w:r>
              <w:rPr>
                <w:sz w:val="17"/>
              </w:rPr>
              <w:t xml:space="preserve">Détecter exonérations, annulations, collusions</w:t>
            </w:r>
          </w:p>
        </w:tc>
        <w:tc>
          <w:tcPr/>
          <w:p>
            <w:pPr>
              <w:pStyle w:val="Compact"/>
              <w:spacing w:after="20" w:before="20" w:line="240" w:lineRule="auto"/>
              <w:jc w:val="left"/>
            </w:pPr>
            <w:r>
              <w:rPr>
                <w:sz w:val="17"/>
              </w:rPr>
              <w:t xml:space="preserve">Déperdition évitée</w:t>
            </w:r>
          </w:p>
        </w:tc>
      </w:tr>
      <w:tr>
        <w:tc>
          <w:tcPr>
            <w:shd w:val="clear" w:color="auto" w:fill="F2F9F8"/>
          </w:tcPr>
          <w:p>
            <w:pPr>
              <w:pStyle w:val="Compact"/>
              <w:spacing w:after="20" w:before="20" w:line="240" w:lineRule="auto"/>
              <w:jc w:val="left"/>
            </w:pPr>
            <w:r>
              <w:rPr>
                <w:sz w:val="17"/>
              </w:rPr>
              <w:t xml:space="preserve">10 Service</w:t>
            </w:r>
          </w:p>
        </w:tc>
        <w:tc>
          <w:tcPr>
            <w:shd w:val="clear" w:color="auto" w:fill="F2F9F8"/>
          </w:tcPr>
          <w:p>
            <w:pPr>
              <w:pStyle w:val="Compact"/>
              <w:spacing w:after="20" w:before="20" w:line="240" w:lineRule="auto"/>
              <w:jc w:val="left"/>
            </w:pPr>
            <w:r>
              <w:rPr>
                <w:sz w:val="17"/>
              </w:rPr>
              <w:t xml:space="preserve">Réduire erreurs et déplacements</w:t>
            </w:r>
          </w:p>
        </w:tc>
        <w:tc>
          <w:tcPr>
            <w:shd w:val="clear" w:color="auto" w:fill="F2F9F8"/>
          </w:tcPr>
          <w:p>
            <w:pPr>
              <w:pStyle w:val="Compact"/>
              <w:spacing w:after="20" w:before="20" w:line="240" w:lineRule="auto"/>
              <w:jc w:val="left"/>
            </w:pPr>
            <w:r>
              <w:rPr>
                <w:sz w:val="17"/>
              </w:rPr>
              <w:t xml:space="preserve">Satisfaction et délais</w:t>
            </w:r>
          </w:p>
        </w:tc>
      </w:tr>
      <w:tr>
        <w:tc>
          <w:tcPr/>
          <w:p>
            <w:pPr>
              <w:pStyle w:val="Compact"/>
              <w:spacing w:after="20" w:before="20" w:line="240" w:lineRule="auto"/>
              <w:jc w:val="left"/>
            </w:pPr>
            <w:r>
              <w:rPr>
                <w:sz w:val="17"/>
              </w:rPr>
              <w:t xml:space="preserve">11 Données</w:t>
            </w:r>
          </w:p>
        </w:tc>
        <w:tc>
          <w:tcPr/>
          <w:p>
            <w:pPr>
              <w:pStyle w:val="Compact"/>
              <w:spacing w:after="20" w:before="20" w:line="240" w:lineRule="auto"/>
              <w:jc w:val="left"/>
            </w:pPr>
            <w:r>
              <w:rPr>
                <w:sz w:val="17"/>
              </w:rPr>
              <w:t xml:space="preserve">Partager légalement les signaux utiles</w:t>
            </w:r>
          </w:p>
        </w:tc>
        <w:tc>
          <w:tcPr/>
          <w:p>
            <w:pPr>
              <w:pStyle w:val="Compact"/>
              <w:spacing w:after="20" w:before="20" w:line="240" w:lineRule="auto"/>
              <w:jc w:val="left"/>
            </w:pPr>
            <w:r>
              <w:rPr>
                <w:sz w:val="17"/>
              </w:rPr>
              <w:t xml:space="preserve">Nouvelles correspondances</w:t>
            </w:r>
          </w:p>
        </w:tc>
      </w:tr>
      <w:tr>
        <w:tc>
          <w:tcPr>
            <w:shd w:val="clear" w:color="auto" w:fill="F2F9F8"/>
          </w:tcPr>
          <w:p>
            <w:pPr>
              <w:pStyle w:val="Compact"/>
              <w:spacing w:after="20" w:before="20" w:line="240" w:lineRule="auto"/>
              <w:jc w:val="left"/>
            </w:pPr>
            <w:r>
              <w:rPr>
                <w:sz w:val="17"/>
              </w:rPr>
              <w:t xml:space="preserve">12 Pilotage</w:t>
            </w:r>
          </w:p>
        </w:tc>
        <w:tc>
          <w:tcPr>
            <w:shd w:val="clear" w:color="auto" w:fill="F2F9F8"/>
          </w:tcPr>
          <w:p>
            <w:pPr>
              <w:pStyle w:val="Compact"/>
              <w:spacing w:after="20" w:before="20" w:line="240" w:lineRule="auto"/>
              <w:jc w:val="left"/>
            </w:pPr>
            <w:r>
              <w:rPr>
                <w:sz w:val="17"/>
              </w:rPr>
              <w:t xml:space="preserve">Responsabiliser par zone et catégorie</w:t>
            </w:r>
          </w:p>
        </w:tc>
        <w:tc>
          <w:tcPr>
            <w:shd w:val="clear" w:color="auto" w:fill="F2F9F8"/>
          </w:tcPr>
          <w:p>
            <w:pPr>
              <w:pStyle w:val="Compact"/>
              <w:spacing w:after="20" w:before="20" w:line="240" w:lineRule="auto"/>
              <w:jc w:val="left"/>
            </w:pPr>
            <w:r>
              <w:rPr>
                <w:sz w:val="17"/>
              </w:rPr>
              <w:t xml:space="preserve">Écart cible / réalisé</w:t>
            </w:r>
          </w:p>
        </w:tc>
      </w:tr>
    </w:tbl>
    <w:bookmarkEnd w:id="60"/>
    <w:bookmarkStart w:id="61" w:name="moteur-de-maximisation"/>
    <w:p>
      <w:pPr>
        <w:pStyle w:val="Heading2"/>
      </w:pPr>
      <w:r>
        <w:t xml:space="preserve">8.7 Moteur de maximisation</w:t>
      </w:r>
    </w:p>
    <w:p>
      <w:pPr>
        <w:pStyle w:val="FirstParagraph"/>
      </w:pPr>
      <w:r>
        <w:t xml:space="preserve">Le moteur classe les opportunités par</w:t>
      </w:r>
      <w:r>
        <w:t xml:space="preserve"> </w:t>
      </w:r>
      <w:r>
        <w:rPr>
          <w:b/>
          <w:bCs/>
        </w:rPr>
        <w:t xml:space="preserve">revenu net ajusté au risque</w:t>
      </w:r>
      <w:r>
        <w:t xml:space="preserve"> </w:t>
      </w:r>
      <w:r>
        <w:t xml:space="preserve">: potentiel légal × probabilité de conformité × vitesse d’encaissement, moins coût de recensement, coût de contrôle, risque de contestation et risque social. Les tableaux de bord séparent toujours recettes nouvelles, régularisation d’arriérés, amélioration du rapprochement et simple reclassement. Cas d’usage prioritaires : carte des immeubles à forte probabilité de location non recensée ; croisement des commerces visibles avec les patentes actives ; véhicules et autorisations arrivant à échéance ; paiements confirmés mais non rapprochés ; annulations ou exonérations concentrées sur un agent ou une zone ; prévision hebdomadaire de trésorerie par catégorie et commune ; simulation d’une campagne de conformité avant son lancement.</w:t>
      </w:r>
    </w:p>
    <w:bookmarkEnd w:id="61"/>
    <w:bookmarkEnd w:id="62"/>
    <w:bookmarkStart w:id="70" w:name="modèle-un-utilisateur-un-compte"/>
    <w:p>
      <w:pPr>
        <w:pStyle w:val="Heading1"/>
      </w:pPr>
      <w:r>
        <w:t xml:space="preserve">9. Modèle un utilisateur, un compte</w:t>
      </w:r>
    </w:p>
    <w:p>
      <w:pPr>
        <w:pStyle w:val="FirstParagraph"/>
      </w:pPr>
      <w:r>
        <w:t xml:space="preserve">Le compte unique est le cœur du système. Il porte l'identité, les</w:t>
      </w:r>
      <w:r>
        <w:t xml:space="preserve"> </w:t>
      </w:r>
      <w:r>
        <w:t xml:space="preserve">rôles, les objets, les obligations, les paiements, les preuves et les</w:t>
      </w:r>
      <w:r>
        <w:t xml:space="preserve"> </w:t>
      </w:r>
      <w:r>
        <w:t xml:space="preserve">droits du contribuable.</w:t>
      </w:r>
    </w:p>
    <w:bookmarkStart w:id="64" w:name="clé-didentité"/>
    <w:p>
      <w:pPr>
        <w:pStyle w:val="Heading2"/>
      </w:pPr>
      <w:r>
        <w:t xml:space="preserve">9.1 Clé d'identité</w:t>
      </w:r>
    </w:p>
    <w:p>
      <w:pPr>
        <w:numPr>
          <w:ilvl w:val="0"/>
          <w:numId w:val="1006"/>
        </w:numPr>
      </w:pPr>
      <w:r>
        <w:t xml:space="preserve">Clé principale : le NIF lorsqu'il existe ; le système déclenche</w:t>
      </w:r>
      <w:r>
        <w:t xml:space="preserve"> </w:t>
      </w:r>
      <w:r>
        <w:t xml:space="preserve">sinon une demande de NIF en arrière-plan.</w:t>
      </w:r>
    </w:p>
    <w:p>
      <w:pPr>
        <w:numPr>
          <w:ilvl w:val="0"/>
          <w:numId w:val="1006"/>
        </w:numPr>
      </w:pPr>
      <w:r>
        <w:t xml:space="preserve">Clé de repli : numéro de téléphone vérifié par code à usage unique,</w:t>
      </w:r>
      <w:r>
        <w:t xml:space="preserve"> </w:t>
      </w:r>
      <w:r>
        <w:t xml:space="preserve">associé à une pièce d'identité légalement acceptée.</w:t>
      </w:r>
    </w:p>
    <w:p>
      <w:pPr>
        <w:numPr>
          <w:ilvl w:val="0"/>
          <w:numId w:val="1006"/>
        </w:numPr>
      </w:pPr>
      <w:r>
        <w:t xml:space="preserve">Personnes morales : NIF et registre du commerce, avec mandataires</w:t>
      </w:r>
      <w:r>
        <w:t xml:space="preserve"> </w:t>
      </w:r>
      <w:r>
        <w:t xml:space="preserve">nommément habilités.</w:t>
      </w:r>
    </w:p>
    <w:p>
      <w:pPr>
        <w:numPr>
          <w:ilvl w:val="0"/>
          <w:numId w:val="1006"/>
        </w:numPr>
      </w:pPr>
      <w:r>
        <w:t xml:space="preserve">Un compte principal par personne ou organisation, plusieurs rôles</w:t>
      </w:r>
      <w:r>
        <w:t xml:space="preserve"> </w:t>
      </w:r>
      <w:r>
        <w:t xml:space="preserve">(propriétaire, bailleur, locataire, commerçant, transporteur,</w:t>
      </w:r>
      <w:r>
        <w:t xml:space="preserve"> </w:t>
      </w:r>
      <w:r>
        <w:t xml:space="preserve">mandataire) et plusieurs objets.</w:t>
      </w:r>
    </w:p>
    <w:p>
      <w:pPr>
        <w:numPr>
          <w:ilvl w:val="0"/>
          <w:numId w:val="1006"/>
        </w:numPr>
      </w:pPr>
      <w:r>
        <w:t xml:space="preserve">Rapprochement d'identités contrôlé : aucune fusion automatique sur</w:t>
      </w:r>
      <w:r>
        <w:t xml:space="preserve"> </w:t>
      </w:r>
      <w:r>
        <w:t xml:space="preserve">la seule similitude de noms ; la fusion exige une preuve et une</w:t>
      </w:r>
      <w:r>
        <w:t xml:space="preserve"> </w:t>
      </w:r>
      <w:r>
        <w:t xml:space="preserve">double validation, et reste réversible.</w:t>
      </w:r>
    </w:p>
    <w:bookmarkStart w:id="63" w:name="Xc6feb1b00cca152a1719180869b2292d4623e8e"/>
    <w:p>
      <w:pPr>
        <w:pStyle w:val="Heading3"/>
      </w:pPr>
      <w:r>
        <w:t xml:space="preserve">Déduplication, rôles et cycle de vie de l’identité</w:t>
      </w:r>
    </w:p>
    <w:p>
      <w:pPr>
        <w:pStyle w:val="Compact"/>
        <w:numPr>
          <w:ilvl w:val="0"/>
          <w:numId w:val="1007"/>
        </w:numPr>
      </w:pPr>
      <w:r>
        <w:t xml:space="preserve">Rôles reliés au compte principal sans confondre les responsabilités : personne physique, personne morale, représentant, mandataire, propriétaire, bailleur, locataire, commerçant, conducteur, dirigeant, opérateur, agent, fournisseur, partenaire.</w:t>
      </w:r>
    </w:p>
    <w:p>
      <w:pPr>
        <w:pStyle w:val="Compact"/>
        <w:numPr>
          <w:ilvl w:val="0"/>
          <w:numId w:val="1007"/>
        </w:numPr>
      </w:pPr>
      <w:r>
        <w:t xml:space="preserve">Déduplication probabiliste assistée : le système propose des rapprochements possibles ; une revue humaine est obligatoire pour les conflits d’identité et les rapprochements sensibles ; aucune fusion automatique risquée.</w:t>
      </w:r>
    </w:p>
    <w:p>
      <w:pPr>
        <w:pStyle w:val="Compact"/>
        <w:numPr>
          <w:ilvl w:val="0"/>
          <w:numId w:val="1007"/>
        </w:numPr>
      </w:pPr>
      <w:r>
        <w:t xml:space="preserve">Inscription progressive, minimisation des données et vérification proportionnée au risque.</w:t>
      </w:r>
    </w:p>
    <w:p>
      <w:pPr>
        <w:pStyle w:val="Compact"/>
        <w:numPr>
          <w:ilvl w:val="0"/>
          <w:numId w:val="1007"/>
        </w:numPr>
      </w:pPr>
      <w:r>
        <w:t xml:space="preserve">Gestion des représentants et des mandats, avec périmètre, durée et révocation.</w:t>
      </w:r>
    </w:p>
    <w:p>
      <w:pPr>
        <w:pStyle w:val="Compact"/>
        <w:numPr>
          <w:ilvl w:val="0"/>
          <w:numId w:val="1007"/>
        </w:numPr>
      </w:pPr>
      <w:r>
        <w:t xml:space="preserve">Identifiants alternatifs et récupération de compte contrôlée.</w:t>
      </w:r>
    </w:p>
    <w:p>
      <w:pPr>
        <w:pStyle w:val="Compact"/>
        <w:numPr>
          <w:ilvl w:val="0"/>
          <w:numId w:val="1007"/>
        </w:numPr>
      </w:pPr>
      <w:r>
        <w:t xml:space="preserve">Journalisation de toute modification d’identité sensible.</w:t>
      </w:r>
    </w:p>
    <w:bookmarkEnd w:id="63"/>
    <w:bookmarkEnd w:id="64"/>
    <w:bookmarkStart w:id="65" w:name="niveaux-de-vérification"/>
    <w:p>
      <w:pPr>
        <w:pStyle w:val="Heading2"/>
      </w:pPr>
      <w:r>
        <w:t xml:space="preserve">9.2 Niveaux de vérification</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391"/>
        <w:gridCol w:w="3103"/>
        <w:gridCol w:w="3210"/>
      </w:tblGrid>
      <w:tr>
        <w:trPr>
          <w:tblHeader w:val="true"/>
          <w:tblHeader/>
        </w:trPr>
        <w:tc>
          <w:tcPr>
            <w:shd w:val="clear" w:color="auto" w:fill="1BA996"/>
          </w:tcPr>
          <w:p>
            <w:pPr>
              <w:pStyle w:val="Compact"/>
              <w:spacing w:after="20" w:before="20" w:line="240" w:lineRule="auto"/>
              <w:jc w:val="left"/>
            </w:pPr>
            <w:r>
              <w:rPr>
                <w:b/>
                <w:bCs/>
                <w:color w:val="FFFFFF"/>
                <w:sz w:val="17"/>
              </w:rPr>
              <w:t xml:space="preserve">Niveau</w:t>
            </w:r>
          </w:p>
        </w:tc>
        <w:tc>
          <w:tcPr>
            <w:shd w:val="clear" w:color="auto" w:fill="1BA996"/>
          </w:tcPr>
          <w:p>
            <w:pPr>
              <w:pStyle w:val="Compact"/>
              <w:spacing w:after="20" w:before="20" w:line="240" w:lineRule="auto"/>
              <w:jc w:val="left"/>
            </w:pPr>
            <w:r>
              <w:rPr>
                <w:b/>
                <w:bCs/>
                <w:color w:val="FFFFFF"/>
                <w:sz w:val="17"/>
              </w:rPr>
              <w:t xml:space="preserve">Preuve exigée</w:t>
            </w:r>
          </w:p>
        </w:tc>
        <w:tc>
          <w:tcPr>
            <w:shd w:val="clear" w:color="auto" w:fill="1BA996"/>
          </w:tcPr>
          <w:p>
            <w:pPr>
              <w:pStyle w:val="Compact"/>
              <w:spacing w:after="20" w:before="20" w:line="240" w:lineRule="auto"/>
              <w:jc w:val="left"/>
            </w:pPr>
            <w:r>
              <w:rPr>
                <w:b/>
                <w:bCs/>
                <w:color w:val="FFFFFF"/>
                <w:sz w:val="17"/>
              </w:rPr>
              <w:t xml:space="preserve">Droits ouverts</w:t>
            </w:r>
          </w:p>
        </w:tc>
      </w:tr>
      <w:tr>
        <w:tc>
          <w:tcPr/>
          <w:p>
            <w:pPr>
              <w:pStyle w:val="Compact"/>
              <w:spacing w:after="20" w:before="20" w:line="240" w:lineRule="auto"/>
              <w:jc w:val="left"/>
            </w:pPr>
            <w:r>
              <w:rPr>
                <w:sz w:val="17"/>
              </w:rPr>
              <w:t xml:space="preserve">N0</w:t>
            </w:r>
            <w:r>
              <w:rPr>
                <w:sz w:val="17"/>
              </w:rPr>
              <w:t xml:space="preserve"> </w:t>
            </w:r>
            <w:r>
              <w:rPr>
                <w:sz w:val="17"/>
              </w:rPr>
              <w:t xml:space="preserve">déclaratif</w:t>
            </w:r>
          </w:p>
        </w:tc>
        <w:tc>
          <w:tcPr/>
          <w:p>
            <w:pPr>
              <w:pStyle w:val="Compact"/>
              <w:spacing w:after="20" w:before="20" w:line="240" w:lineRule="auto"/>
              <w:jc w:val="left"/>
            </w:pPr>
            <w:r>
              <w:rPr>
                <w:sz w:val="17"/>
              </w:rPr>
              <w:t xml:space="preserve">Téléphone vérifié</w:t>
            </w:r>
          </w:p>
        </w:tc>
        <w:tc>
          <w:tcPr/>
          <w:p>
            <w:pPr>
              <w:pStyle w:val="Compact"/>
              <w:spacing w:after="20" w:before="20" w:line="240" w:lineRule="auto"/>
              <w:jc w:val="left"/>
            </w:pPr>
            <w:r>
              <w:rPr>
                <w:sz w:val="17"/>
              </w:rPr>
              <w:t xml:space="preserve">Consultation, simulation,</w:t>
            </w:r>
            <w:r>
              <w:rPr>
                <w:sz w:val="17"/>
              </w:rPr>
              <w:t xml:space="preserve"> </w:t>
            </w:r>
            <w:r>
              <w:rPr>
                <w:sz w:val="17"/>
              </w:rPr>
              <w:t xml:space="preserve">signalement</w:t>
            </w:r>
          </w:p>
        </w:tc>
      </w:tr>
      <w:tr>
        <w:tc>
          <w:tcPr>
            <w:shd w:val="clear" w:color="auto" w:fill="F2F9F8"/>
          </w:tcPr>
          <w:p>
            <w:pPr>
              <w:pStyle w:val="Compact"/>
              <w:spacing w:after="20" w:before="20" w:line="240" w:lineRule="auto"/>
              <w:jc w:val="left"/>
            </w:pPr>
            <w:r>
              <w:rPr>
                <w:sz w:val="17"/>
              </w:rPr>
              <w:t xml:space="preserve">N1 identifié</w:t>
            </w:r>
          </w:p>
        </w:tc>
        <w:tc>
          <w:tcPr>
            <w:shd w:val="clear" w:color="auto" w:fill="F2F9F8"/>
          </w:tcPr>
          <w:p>
            <w:pPr>
              <w:pStyle w:val="Compact"/>
              <w:spacing w:after="20" w:before="20" w:line="240" w:lineRule="auto"/>
              <w:jc w:val="left"/>
            </w:pPr>
            <w:r>
              <w:rPr>
                <w:sz w:val="17"/>
              </w:rPr>
              <w:t xml:space="preserve">Pièce d'identité et adresse</w:t>
            </w:r>
            <w:r>
              <w:rPr>
                <w:sz w:val="17"/>
              </w:rPr>
              <w:t xml:space="preserve"> </w:t>
            </w:r>
            <w:r>
              <w:rPr>
                <w:sz w:val="17"/>
              </w:rPr>
              <w:t xml:space="preserve">déclarée</w:t>
            </w:r>
          </w:p>
        </w:tc>
        <w:tc>
          <w:tcPr>
            <w:shd w:val="clear" w:color="auto" w:fill="F2F9F8"/>
          </w:tcPr>
          <w:p>
            <w:pPr>
              <w:pStyle w:val="Compact"/>
              <w:spacing w:after="20" w:before="20" w:line="240" w:lineRule="auto"/>
              <w:jc w:val="left"/>
            </w:pPr>
            <w:r>
              <w:rPr>
                <w:sz w:val="17"/>
              </w:rPr>
              <w:t xml:space="preserve">Déclaration d'objets,</w:t>
            </w:r>
            <w:r>
              <w:rPr>
                <w:sz w:val="17"/>
              </w:rPr>
              <w:t xml:space="preserve"> </w:t>
            </w:r>
            <w:r>
              <w:rPr>
                <w:sz w:val="17"/>
              </w:rPr>
              <w:t xml:space="preserve">paiement, quittance</w:t>
            </w:r>
          </w:p>
        </w:tc>
      </w:tr>
      <w:tr>
        <w:tc>
          <w:tcPr/>
          <w:p>
            <w:pPr>
              <w:pStyle w:val="Compact"/>
              <w:spacing w:after="20" w:before="20" w:line="240" w:lineRule="auto"/>
              <w:jc w:val="left"/>
            </w:pPr>
            <w:r>
              <w:rPr>
                <w:sz w:val="17"/>
              </w:rPr>
              <w:t xml:space="preserve">N2 vérifié</w:t>
            </w:r>
          </w:p>
        </w:tc>
        <w:tc>
          <w:tcPr/>
          <w:p>
            <w:pPr>
              <w:pStyle w:val="Compact"/>
              <w:spacing w:after="20" w:before="20" w:line="240" w:lineRule="auto"/>
              <w:jc w:val="left"/>
            </w:pPr>
            <w:r>
              <w:rPr>
                <w:sz w:val="17"/>
              </w:rPr>
              <w:t xml:space="preserve">Contrôle documentaire ou</w:t>
            </w:r>
            <w:r>
              <w:rPr>
                <w:sz w:val="17"/>
              </w:rPr>
              <w:t xml:space="preserve"> </w:t>
            </w:r>
            <w:r>
              <w:rPr>
                <w:sz w:val="17"/>
              </w:rPr>
              <w:t xml:space="preserve">visite de terrain</w:t>
            </w:r>
          </w:p>
        </w:tc>
        <w:tc>
          <w:tcPr/>
          <w:p>
            <w:pPr>
              <w:pStyle w:val="Compact"/>
              <w:spacing w:after="20" w:before="20" w:line="240" w:lineRule="auto"/>
              <w:jc w:val="left"/>
            </w:pPr>
            <w:r>
              <w:rPr>
                <w:sz w:val="17"/>
              </w:rPr>
              <w:t xml:space="preserve">Rattachement d'objets à</w:t>
            </w:r>
            <w:r>
              <w:rPr>
                <w:sz w:val="17"/>
              </w:rPr>
              <w:t xml:space="preserve"> </w:t>
            </w:r>
            <w:r>
              <w:rPr>
                <w:sz w:val="17"/>
              </w:rPr>
              <w:t xml:space="preserve">forte valeur, contestation</w:t>
            </w:r>
            <w:r>
              <w:rPr>
                <w:sz w:val="17"/>
              </w:rPr>
              <w:t xml:space="preserve"> </w:t>
            </w:r>
            <w:r>
              <w:rPr>
                <w:sz w:val="17"/>
              </w:rPr>
              <w:t xml:space="preserve">formelle</w:t>
            </w:r>
          </w:p>
        </w:tc>
      </w:tr>
      <w:tr>
        <w:tc>
          <w:tcPr>
            <w:shd w:val="clear" w:color="auto" w:fill="F2F9F8"/>
          </w:tcPr>
          <w:p>
            <w:pPr>
              <w:pStyle w:val="Compact"/>
              <w:spacing w:after="20" w:before="20" w:line="240" w:lineRule="auto"/>
              <w:jc w:val="left"/>
            </w:pPr>
            <w:r>
              <w:rPr>
                <w:sz w:val="17"/>
              </w:rPr>
              <w:t xml:space="preserve">N3 certifié</w:t>
            </w:r>
          </w:p>
        </w:tc>
        <w:tc>
          <w:tcPr>
            <w:shd w:val="clear" w:color="auto" w:fill="F2F9F8"/>
          </w:tcPr>
          <w:p>
            <w:pPr>
              <w:pStyle w:val="Compact"/>
              <w:spacing w:after="20" w:before="20" w:line="240" w:lineRule="auto"/>
              <w:jc w:val="left"/>
            </w:pPr>
            <w:r>
              <w:rPr>
                <w:sz w:val="17"/>
              </w:rPr>
              <w:t xml:space="preserve">NIF, registre du commerce,</w:t>
            </w:r>
            <w:r>
              <w:rPr>
                <w:sz w:val="17"/>
              </w:rPr>
              <w:t xml:space="preserve"> </w:t>
            </w:r>
            <w:r>
              <w:rPr>
                <w:sz w:val="17"/>
              </w:rPr>
              <w:t xml:space="preserve">mandat notarié pour les</w:t>
            </w:r>
            <w:r>
              <w:rPr>
                <w:sz w:val="17"/>
              </w:rPr>
              <w:t xml:space="preserve"> </w:t>
            </w:r>
            <w:r>
              <w:rPr>
                <w:sz w:val="17"/>
              </w:rPr>
              <w:t xml:space="preserve">représentants</w:t>
            </w:r>
          </w:p>
        </w:tc>
        <w:tc>
          <w:tcPr>
            <w:shd w:val="clear" w:color="auto" w:fill="F2F9F8"/>
          </w:tcPr>
          <w:p>
            <w:pPr>
              <w:pStyle w:val="Compact"/>
              <w:spacing w:after="20" w:before="20" w:line="240" w:lineRule="auto"/>
              <w:jc w:val="left"/>
            </w:pPr>
            <w:r>
              <w:rPr>
                <w:sz w:val="17"/>
              </w:rPr>
              <w:t xml:space="preserve">Mandat de tiers, opérations</w:t>
            </w:r>
            <w:r>
              <w:rPr>
                <w:sz w:val="17"/>
              </w:rPr>
              <w:t xml:space="preserve"> </w:t>
            </w:r>
            <w:r>
              <w:rPr>
                <w:sz w:val="17"/>
              </w:rPr>
              <w:t xml:space="preserve">d'entreprise, quitus fiscal</w:t>
            </w:r>
          </w:p>
        </w:tc>
      </w:tr>
    </w:tbl>
    <w:p>
      <w:pPr>
        <w:pStyle w:val="BodyText"/>
      </w:pPr>
      <w:r>
        <w:rPr>
          <w:b/>
          <w:bCs/>
        </w:rPr>
        <w:t xml:space="preserve">Niveau N0-A — enrôlement assisté.</w:t>
      </w:r>
      <w:r>
        <w:t xml:space="preserve"> </w:t>
      </w:r>
      <w:r>
        <w:t xml:space="preserve">Une personne sans téléphone, sans accès à Internet ou ne sachant pas lire ni écrire accède au niveau N0 par enrôlement assisté (chapitre 13A) : un agent habilité ou un guichet MOSOLO crée le compte, recueille le consentement oral et l’empreinte digitale comme marque de consentement, et remet une carte MOSOLO. Les droits ouverts sont ceux du niveau N0, étendus au paiement assisté ; l’élévation aux niveaux N1 à N3 suit les mêmes preuves que pour tout contribuable.</w:t>
      </w:r>
    </w:p>
    <w:bookmarkEnd w:id="65"/>
    <w:bookmarkStart w:id="67" w:name="parcours-denrôlement-par-profil"/>
    <w:p>
      <w:pPr>
        <w:pStyle w:val="Heading2"/>
      </w:pPr>
      <w:r>
        <w:t xml:space="preserve">9.3 Parcours d'enrôlement par profil</w:t>
      </w:r>
    </w:p>
    <w:p>
      <w:pPr>
        <w:pStyle w:val="FirstParagraph"/>
      </w:pPr>
      <w:r>
        <w:t xml:space="preserve">Chaque profil dispose d'un parcours court, ne demandant que les</w:t>
      </w:r>
      <w:r>
        <w:t xml:space="preserve"> </w:t>
      </w:r>
      <w:r>
        <w:t xml:space="preserve">informations utiles à ses obligations : citoyen ; propriétaire occupant</w:t>
      </w:r>
      <w:r>
        <w:t xml:space="preserve"> </w:t>
      </w:r>
      <w:r>
        <w:t xml:space="preserve">; bailleur ; locataire ; opérateur informel ; commerçant et entreprise ;</w:t>
      </w:r>
      <w:r>
        <w:t xml:space="preserve"> </w:t>
      </w:r>
      <w:r>
        <w:t xml:space="preserve">transporteur et propriétaire de véhicule ; commerçant de marché ;</w:t>
      </w:r>
      <w:r>
        <w:t xml:space="preserve"> </w:t>
      </w:r>
      <w:r>
        <w:t xml:space="preserve">fabricant et importateur ; opérateur de boissons et tabac ; organisateur</w:t>
      </w:r>
      <w:r>
        <w:t xml:space="preserve"> </w:t>
      </w:r>
      <w:r>
        <w:t xml:space="preserve">d'événements ; annonceur publicitaire ; exploitant de carrière ;</w:t>
      </w:r>
      <w:r>
        <w:t xml:space="preserve"> </w:t>
      </w:r>
      <w:r>
        <w:t xml:space="preserve">opérateur forestier ; batelier et opérateur portuaire ; occupant du</w:t>
      </w:r>
      <w:r>
        <w:t xml:space="preserve"> </w:t>
      </w:r>
      <w:r>
        <w:t xml:space="preserve">domaine public ; association ; institution publique ; mandataire. La</w:t>
      </w:r>
      <w:r>
        <w:t xml:space="preserve"> </w:t>
      </w:r>
      <w:r>
        <w:t xml:space="preserve">déclaration d'un rôle par l'utilisateur n'établit pas à elle seule la</w:t>
      </w:r>
      <w:r>
        <w:t xml:space="preserve"> </w:t>
      </w:r>
      <w:r>
        <w:t xml:space="preserve">propriété ni la dette : elle ouvre une instruction.</w:t>
      </w:r>
    </w:p>
    <w:bookmarkStart w:id="66" w:name="graphe-fiscal"/>
    <w:p>
      <w:pPr>
        <w:pStyle w:val="Heading3"/>
      </w:pPr>
      <w:r>
        <w:t xml:space="preserve">Graphe fiscal</w:t>
      </w:r>
    </w:p>
    <w:p>
      <w:pPr>
        <w:pStyle w:val="FirstParagraph"/>
      </w:pPr>
      <w:r>
        <w:t xml:space="preserve">Le compte unique relie une personne physique ou morale à ses identifiants, mandataires, coordonnées, objets, activités, obligations, paiements, recours et contrôles. Sans NIF, un identifiant provisoire et un parcours de régularisation sont ouverts ; une même personne peut détenir, sous une seule connexion, un espace personnel et des espaces d’entreprise. Les doublons sont rapprochés sans écrasement des preuves.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Entité</w:t>
            </w:r>
          </w:p>
        </w:tc>
        <w:tc>
          <w:tcPr>
            <w:shd w:val="clear" w:color="auto" w:fill="1BA996"/>
          </w:tcPr>
          <w:p>
            <w:pPr>
              <w:pStyle w:val="Compact"/>
              <w:spacing w:after="20" w:before="20" w:line="240" w:lineRule="auto"/>
              <w:jc w:val="left"/>
            </w:pPr>
            <w:r>
              <w:rPr>
                <w:b/>
                <w:color w:val="FFFFFF"/>
                <w:sz w:val="17"/>
              </w:rPr>
              <w:t xml:space="preserve">Exemples</w:t>
            </w:r>
          </w:p>
        </w:tc>
        <w:tc>
          <w:tcPr>
            <w:shd w:val="clear" w:color="auto" w:fill="1BA996"/>
          </w:tcPr>
          <w:p>
            <w:pPr>
              <w:pStyle w:val="Compact"/>
              <w:spacing w:after="20" w:before="20" w:line="240" w:lineRule="auto"/>
              <w:jc w:val="left"/>
            </w:pPr>
            <w:r>
              <w:rPr>
                <w:b/>
                <w:color w:val="FFFFFF"/>
                <w:sz w:val="17"/>
              </w:rPr>
              <w:t xml:space="preserve">Relation</w:t>
            </w:r>
          </w:p>
        </w:tc>
      </w:tr>
      <w:tr>
        <w:tc>
          <w:tcPr/>
          <w:p>
            <w:pPr>
              <w:pStyle w:val="Compact"/>
              <w:spacing w:after="20" w:before="20" w:line="240" w:lineRule="auto"/>
              <w:jc w:val="left"/>
            </w:pPr>
            <w:r>
              <w:rPr>
                <w:sz w:val="17"/>
              </w:rPr>
              <w:t xml:space="preserve">Contribuable</w:t>
            </w:r>
          </w:p>
        </w:tc>
        <w:tc>
          <w:tcPr/>
          <w:p>
            <w:pPr>
              <w:pStyle w:val="Compact"/>
              <w:spacing w:after="20" w:before="20" w:line="240" w:lineRule="auto"/>
              <w:jc w:val="left"/>
            </w:pPr>
            <w:r>
              <w:rPr>
                <w:sz w:val="17"/>
              </w:rPr>
              <w:t xml:space="preserve">Personne, société, association, institution</w:t>
            </w:r>
          </w:p>
        </w:tc>
        <w:tc>
          <w:tcPr/>
          <w:p>
            <w:pPr>
              <w:pStyle w:val="Compact"/>
              <w:spacing w:after="20" w:before="20" w:line="240" w:lineRule="auto"/>
              <w:jc w:val="left"/>
            </w:pPr>
            <w:r>
              <w:rPr>
                <w:sz w:val="17"/>
              </w:rPr>
              <w:t xml:space="preserve">Possède, exploite, loue, représente ou utilise</w:t>
            </w:r>
          </w:p>
        </w:tc>
      </w:tr>
      <w:tr>
        <w:tc>
          <w:tcPr>
            <w:shd w:val="clear" w:color="auto" w:fill="F2F9F8"/>
          </w:tcPr>
          <w:p>
            <w:pPr>
              <w:pStyle w:val="Compact"/>
              <w:spacing w:after="20" w:before="20" w:line="240" w:lineRule="auto"/>
              <w:jc w:val="left"/>
            </w:pPr>
            <w:r>
              <w:rPr>
                <w:sz w:val="17"/>
              </w:rPr>
              <w:t xml:space="preserve">Objet fiscal</w:t>
            </w:r>
          </w:p>
        </w:tc>
        <w:tc>
          <w:tcPr>
            <w:shd w:val="clear" w:color="auto" w:fill="F2F9F8"/>
          </w:tcPr>
          <w:p>
            <w:pPr>
              <w:pStyle w:val="Compact"/>
              <w:spacing w:after="20" w:before="20" w:line="240" w:lineRule="auto"/>
              <w:jc w:val="left"/>
            </w:pPr>
            <w:r>
              <w:rPr>
                <w:sz w:val="17"/>
              </w:rPr>
              <w:t xml:space="preserve">Parcelle, bâtiment, commerce, véhicule, panneau, embarcation</w:t>
            </w:r>
          </w:p>
        </w:tc>
        <w:tc>
          <w:tcPr>
            <w:shd w:val="clear" w:color="auto" w:fill="F2F9F8"/>
          </w:tcPr>
          <w:p>
            <w:pPr>
              <w:pStyle w:val="Compact"/>
              <w:spacing w:after="20" w:before="20" w:line="240" w:lineRule="auto"/>
              <w:jc w:val="left"/>
            </w:pPr>
            <w:r>
              <w:rPr>
                <w:sz w:val="17"/>
              </w:rPr>
              <w:t xml:space="preserve">Porte les caractéristiques et la géolocalisation</w:t>
            </w:r>
          </w:p>
        </w:tc>
      </w:tr>
      <w:tr>
        <w:tc>
          <w:tcPr/>
          <w:p>
            <w:pPr>
              <w:pStyle w:val="Compact"/>
              <w:spacing w:after="20" w:before="20" w:line="240" w:lineRule="auto"/>
              <w:jc w:val="left"/>
            </w:pPr>
            <w:r>
              <w:rPr>
                <w:sz w:val="17"/>
              </w:rPr>
              <w:t xml:space="preserve">Rôle</w:t>
            </w:r>
          </w:p>
        </w:tc>
        <w:tc>
          <w:tcPr/>
          <w:p>
            <w:pPr>
              <w:pStyle w:val="Compact"/>
              <w:spacing w:after="20" w:before="20" w:line="240" w:lineRule="auto"/>
              <w:jc w:val="left"/>
            </w:pPr>
            <w:r>
              <w:rPr>
                <w:sz w:val="17"/>
              </w:rPr>
              <w:t xml:space="preserve">Propriétaire, bailleur, locataire, exploitant, conducteur, mandataire</w:t>
            </w:r>
          </w:p>
        </w:tc>
        <w:tc>
          <w:tcPr/>
          <w:p>
            <w:pPr>
              <w:pStyle w:val="Compact"/>
              <w:spacing w:after="20" w:before="20" w:line="240" w:lineRule="auto"/>
              <w:jc w:val="left"/>
            </w:pPr>
            <w:r>
              <w:rPr>
                <w:sz w:val="17"/>
              </w:rPr>
              <w:t xml:space="preserve">Détermine la responsabilité selon la règle</w:t>
            </w:r>
          </w:p>
        </w:tc>
      </w:tr>
      <w:tr>
        <w:tc>
          <w:tcPr>
            <w:shd w:val="clear" w:color="auto" w:fill="F2F9F8"/>
          </w:tcPr>
          <w:p>
            <w:pPr>
              <w:pStyle w:val="Compact"/>
              <w:spacing w:after="20" w:before="20" w:line="240" w:lineRule="auto"/>
              <w:jc w:val="left"/>
            </w:pPr>
            <w:r>
              <w:rPr>
                <w:sz w:val="17"/>
              </w:rPr>
              <w:t xml:space="preserve">Obligation</w:t>
            </w:r>
          </w:p>
        </w:tc>
        <w:tc>
          <w:tcPr>
            <w:shd w:val="clear" w:color="auto" w:fill="F2F9F8"/>
          </w:tcPr>
          <w:p>
            <w:pPr>
              <w:pStyle w:val="Compact"/>
              <w:spacing w:after="20" w:before="20" w:line="240" w:lineRule="auto"/>
              <w:jc w:val="left"/>
            </w:pPr>
            <w:r>
              <w:rPr>
                <w:sz w:val="17"/>
              </w:rPr>
              <w:t xml:space="preserve">Déclaration, paiement, renouvellement, document</w:t>
            </w:r>
          </w:p>
        </w:tc>
        <w:tc>
          <w:tcPr>
            <w:shd w:val="clear" w:color="auto" w:fill="F2F9F8"/>
          </w:tcPr>
          <w:p>
            <w:pPr>
              <w:pStyle w:val="Compact"/>
              <w:spacing w:after="20" w:before="20" w:line="240" w:lineRule="auto"/>
              <w:jc w:val="left"/>
            </w:pPr>
            <w:r>
              <w:rPr>
                <w:sz w:val="17"/>
              </w:rPr>
              <w:t xml:space="preserve">Résulte d’une règle juridique versionnée</w:t>
            </w:r>
          </w:p>
        </w:tc>
      </w:tr>
      <w:tr>
        <w:tc>
          <w:tcPr/>
          <w:p>
            <w:pPr>
              <w:pStyle w:val="Compact"/>
              <w:spacing w:after="20" w:before="20" w:line="240" w:lineRule="auto"/>
              <w:jc w:val="left"/>
            </w:pPr>
            <w:r>
              <w:rPr>
                <w:sz w:val="17"/>
              </w:rPr>
              <w:t xml:space="preserve">Transaction</w:t>
            </w:r>
          </w:p>
        </w:tc>
        <w:tc>
          <w:tcPr/>
          <w:p>
            <w:pPr>
              <w:pStyle w:val="Compact"/>
              <w:spacing w:after="20" w:before="20" w:line="240" w:lineRule="auto"/>
              <w:jc w:val="left"/>
            </w:pPr>
            <w:r>
              <w:rPr>
                <w:sz w:val="17"/>
              </w:rPr>
              <w:t xml:space="preserve">Ordre, confirmation, règlement, annulation, remboursement</w:t>
            </w:r>
          </w:p>
        </w:tc>
        <w:tc>
          <w:tcPr/>
          <w:p>
            <w:pPr>
              <w:pStyle w:val="Compact"/>
              <w:spacing w:after="20" w:before="20" w:line="240" w:lineRule="auto"/>
              <w:jc w:val="left"/>
            </w:pPr>
            <w:r>
              <w:rPr>
                <w:sz w:val="17"/>
              </w:rPr>
              <w:t xml:space="preserve">Se rapproche d’une obligation et d’un compte public</w:t>
            </w:r>
          </w:p>
        </w:tc>
      </w:tr>
      <w:tr>
        <w:tc>
          <w:tcPr>
            <w:shd w:val="clear" w:color="auto" w:fill="F2F9F8"/>
          </w:tcPr>
          <w:p>
            <w:pPr>
              <w:pStyle w:val="Compact"/>
              <w:spacing w:after="20" w:before="20" w:line="240" w:lineRule="auto"/>
              <w:jc w:val="left"/>
            </w:pPr>
            <w:r>
              <w:rPr>
                <w:sz w:val="17"/>
              </w:rPr>
              <w:t xml:space="preserve">Preuve</w:t>
            </w:r>
          </w:p>
        </w:tc>
        <w:tc>
          <w:tcPr>
            <w:shd w:val="clear" w:color="auto" w:fill="F2F9F8"/>
          </w:tcPr>
          <w:p>
            <w:pPr>
              <w:pStyle w:val="Compact"/>
              <w:spacing w:after="20" w:before="20" w:line="240" w:lineRule="auto"/>
              <w:jc w:val="left"/>
            </w:pPr>
            <w:r>
              <w:rPr>
                <w:sz w:val="17"/>
              </w:rPr>
              <w:t xml:space="preserve">Photo, titre, contrat, reçu, procès-verbal, signature</w:t>
            </w:r>
          </w:p>
        </w:tc>
        <w:tc>
          <w:tcPr>
            <w:shd w:val="clear" w:color="auto" w:fill="F2F9F8"/>
          </w:tcPr>
          <w:p>
            <w:pPr>
              <w:pStyle w:val="Compact"/>
              <w:spacing w:after="20" w:before="20" w:line="240" w:lineRule="auto"/>
              <w:jc w:val="left"/>
            </w:pPr>
            <w:r>
              <w:rPr>
                <w:sz w:val="17"/>
              </w:rPr>
              <w:t xml:space="preserve">Scellée, horodatée et conservée</w:t>
            </w:r>
          </w:p>
        </w:tc>
      </w:tr>
    </w:tbl>
    <w:bookmarkEnd w:id="66"/>
    <w:bookmarkEnd w:id="67"/>
    <w:bookmarkStart w:id="68" w:name="contenu-du-profil-unifié"/>
    <w:p>
      <w:pPr>
        <w:pStyle w:val="Heading2"/>
      </w:pPr>
      <w:r>
        <w:t xml:space="preserve">9.4 Contenu du profil unifié</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354"/>
        <w:gridCol w:w="4168"/>
        <w:gridCol w:w="2188"/>
      </w:tblGrid>
      <w:tr>
        <w:trPr>
          <w:tblHeader w:val="true"/>
          <w:tblHeader/>
        </w:trPr>
        <w:tc>
          <w:tcPr>
            <w:shd w:val="clear" w:color="auto" w:fill="1BA996"/>
          </w:tcPr>
          <w:p>
            <w:pPr>
              <w:pStyle w:val="Compact"/>
              <w:spacing w:after="20" w:before="20" w:line="240" w:lineRule="auto"/>
              <w:jc w:val="left"/>
            </w:pPr>
            <w:r>
              <w:rPr>
                <w:b/>
                <w:bCs/>
                <w:color w:val="FFFFFF"/>
                <w:sz w:val="17"/>
              </w:rPr>
              <w:t xml:space="preserve">Bloc</w:t>
            </w:r>
          </w:p>
        </w:tc>
        <w:tc>
          <w:tcPr>
            <w:shd w:val="clear" w:color="auto" w:fill="1BA996"/>
          </w:tcPr>
          <w:p>
            <w:pPr>
              <w:pStyle w:val="Compact"/>
              <w:spacing w:after="20" w:before="20" w:line="240" w:lineRule="auto"/>
              <w:jc w:val="left"/>
            </w:pPr>
            <w:r>
              <w:rPr>
                <w:b/>
                <w:bCs/>
                <w:color w:val="FFFFFF"/>
                <w:sz w:val="17"/>
              </w:rPr>
              <w:t xml:space="preserve">Données</w:t>
            </w:r>
          </w:p>
        </w:tc>
        <w:tc>
          <w:tcPr>
            <w:shd w:val="clear" w:color="auto" w:fill="1BA996"/>
          </w:tcPr>
          <w:p>
            <w:pPr>
              <w:pStyle w:val="Compact"/>
              <w:spacing w:after="20" w:before="20" w:line="240" w:lineRule="auto"/>
              <w:jc w:val="left"/>
            </w:pPr>
            <w:r>
              <w:rPr>
                <w:b/>
                <w:bCs/>
                <w:color w:val="FFFFFF"/>
                <w:sz w:val="17"/>
              </w:rPr>
              <w:t xml:space="preserve">Classification</w:t>
            </w:r>
          </w:p>
        </w:tc>
      </w:tr>
      <w:tr>
        <w:tc>
          <w:tcPr/>
          <w:p>
            <w:pPr>
              <w:pStyle w:val="Compact"/>
              <w:spacing w:after="20" w:before="20" w:line="240" w:lineRule="auto"/>
              <w:jc w:val="left"/>
            </w:pPr>
            <w:r>
              <w:rPr>
                <w:sz w:val="17"/>
              </w:rPr>
              <w:t xml:space="preserve">Identité</w:t>
            </w:r>
          </w:p>
        </w:tc>
        <w:tc>
          <w:tcPr/>
          <w:p>
            <w:pPr>
              <w:pStyle w:val="Compact"/>
              <w:spacing w:after="20" w:before="20" w:line="240" w:lineRule="auto"/>
              <w:jc w:val="left"/>
            </w:pPr>
            <w:r>
              <w:rPr>
                <w:sz w:val="17"/>
              </w:rPr>
              <w:t xml:space="preserve">Identifiant unique, NIF, nom légal,</w:t>
            </w:r>
            <w:r>
              <w:rPr>
                <w:sz w:val="17"/>
              </w:rPr>
              <w:t xml:space="preserve"> </w:t>
            </w:r>
            <w:r>
              <w:rPr>
                <w:sz w:val="17"/>
              </w:rPr>
              <w:t xml:space="preserve">pièce d'identité, date et lieu de</w:t>
            </w:r>
            <w:r>
              <w:rPr>
                <w:sz w:val="17"/>
              </w:rPr>
              <w:t xml:space="preserve"> </w:t>
            </w:r>
            <w:r>
              <w:rPr>
                <w:sz w:val="17"/>
              </w:rPr>
              <w:t xml:space="preserve">naissance si légalement requis</w:t>
            </w:r>
          </w:p>
        </w:tc>
        <w:tc>
          <w:tcPr/>
          <w:p>
            <w:pPr>
              <w:pStyle w:val="Compact"/>
              <w:spacing w:after="20" w:before="20" w:line="240" w:lineRule="auto"/>
              <w:jc w:val="left"/>
            </w:pPr>
            <w:r>
              <w:rPr>
                <w:sz w:val="17"/>
              </w:rPr>
              <w:t xml:space="preserve">Données personnelles</w:t>
            </w:r>
            <w:r>
              <w:rPr>
                <w:sz w:val="17"/>
              </w:rPr>
              <w:t xml:space="preserve"> </w:t>
            </w:r>
            <w:r>
              <w:rPr>
                <w:sz w:val="17"/>
              </w:rPr>
              <w:t xml:space="preserve">sensibles</w:t>
            </w:r>
          </w:p>
        </w:tc>
      </w:tr>
      <w:tr>
        <w:tc>
          <w:tcPr>
            <w:shd w:val="clear" w:color="auto" w:fill="F2F9F8"/>
          </w:tcPr>
          <w:p>
            <w:pPr>
              <w:pStyle w:val="Compact"/>
              <w:spacing w:after="20" w:before="20" w:line="240" w:lineRule="auto"/>
              <w:jc w:val="left"/>
            </w:pPr>
            <w:r>
              <w:rPr>
                <w:sz w:val="17"/>
              </w:rPr>
              <w:t xml:space="preserve">Contact</w:t>
            </w:r>
          </w:p>
        </w:tc>
        <w:tc>
          <w:tcPr>
            <w:shd w:val="clear" w:color="auto" w:fill="F2F9F8"/>
          </w:tcPr>
          <w:p>
            <w:pPr>
              <w:pStyle w:val="Compact"/>
              <w:spacing w:after="20" w:before="20" w:line="240" w:lineRule="auto"/>
              <w:jc w:val="left"/>
            </w:pPr>
            <w:r>
              <w:rPr>
                <w:sz w:val="17"/>
              </w:rPr>
              <w:t xml:space="preserve">Téléphones, courriel, préférences de</w:t>
            </w:r>
            <w:r>
              <w:rPr>
                <w:sz w:val="17"/>
              </w:rPr>
              <w:t xml:space="preserve"> </w:t>
            </w:r>
            <w:r>
              <w:rPr>
                <w:sz w:val="17"/>
              </w:rPr>
              <w:t xml:space="preserve">notification, consentements</w:t>
            </w:r>
          </w:p>
        </w:tc>
        <w:tc>
          <w:tcPr>
            <w:shd w:val="clear" w:color="auto" w:fill="F2F9F8"/>
          </w:tcPr>
          <w:p>
            <w:pPr>
              <w:pStyle w:val="Compact"/>
              <w:spacing w:after="20" w:before="20" w:line="240" w:lineRule="auto"/>
              <w:jc w:val="left"/>
            </w:pPr>
            <w:r>
              <w:rPr>
                <w:sz w:val="17"/>
              </w:rPr>
              <w:t xml:space="preserve">Données personnelles</w:t>
            </w:r>
          </w:p>
        </w:tc>
      </w:tr>
      <w:tr>
        <w:tc>
          <w:tcPr/>
          <w:p>
            <w:pPr>
              <w:pStyle w:val="Compact"/>
              <w:spacing w:after="20" w:before="20" w:line="240" w:lineRule="auto"/>
              <w:jc w:val="left"/>
            </w:pPr>
            <w:r>
              <w:rPr>
                <w:sz w:val="17"/>
              </w:rPr>
              <w:t xml:space="preserve">Adresse</w:t>
            </w:r>
          </w:p>
        </w:tc>
        <w:tc>
          <w:tcPr/>
          <w:p>
            <w:pPr>
              <w:pStyle w:val="Compact"/>
              <w:spacing w:after="20" w:before="20" w:line="240" w:lineRule="auto"/>
              <w:jc w:val="left"/>
            </w:pPr>
            <w:r>
              <w:rPr>
                <w:sz w:val="17"/>
              </w:rPr>
              <w:t xml:space="preserve">Commune, quartier, avenue, référence de</w:t>
            </w:r>
            <w:r>
              <w:rPr>
                <w:sz w:val="17"/>
              </w:rPr>
              <w:t xml:space="preserve"> </w:t>
            </w:r>
            <w:r>
              <w:rPr>
                <w:sz w:val="17"/>
              </w:rPr>
              <w:t xml:space="preserve">parcelle, coordonnées GPS, niveau de</w:t>
            </w:r>
            <w:r>
              <w:rPr>
                <w:sz w:val="17"/>
              </w:rPr>
              <w:t xml:space="preserve"> </w:t>
            </w:r>
            <w:r>
              <w:rPr>
                <w:sz w:val="17"/>
              </w:rPr>
              <w:t xml:space="preserve">vérification</w:t>
            </w:r>
          </w:p>
        </w:tc>
        <w:tc>
          <w:tcPr/>
          <w:p>
            <w:pPr>
              <w:pStyle w:val="Compact"/>
              <w:spacing w:after="20" w:before="20" w:line="240" w:lineRule="auto"/>
              <w:jc w:val="left"/>
            </w:pPr>
            <w:r>
              <w:rPr>
                <w:sz w:val="17"/>
              </w:rPr>
              <w:t xml:space="preserve">Données personnelles</w:t>
            </w:r>
            <w:r>
              <w:rPr>
                <w:sz w:val="17"/>
              </w:rPr>
              <w:t xml:space="preserve"> </w:t>
            </w:r>
            <w:r>
              <w:rPr>
                <w:sz w:val="17"/>
              </w:rPr>
              <w:t xml:space="preserve">et géographiques</w:t>
            </w:r>
          </w:p>
        </w:tc>
      </w:tr>
      <w:tr>
        <w:tc>
          <w:tcPr>
            <w:shd w:val="clear" w:color="auto" w:fill="F2F9F8"/>
          </w:tcPr>
          <w:p>
            <w:pPr>
              <w:pStyle w:val="Compact"/>
              <w:spacing w:after="20" w:before="20" w:line="240" w:lineRule="auto"/>
              <w:jc w:val="left"/>
            </w:pPr>
            <w:r>
              <w:rPr>
                <w:sz w:val="17"/>
              </w:rPr>
              <w:t xml:space="preserve">Rôles</w:t>
            </w:r>
          </w:p>
        </w:tc>
        <w:tc>
          <w:tcPr>
            <w:shd w:val="clear" w:color="auto" w:fill="F2F9F8"/>
          </w:tcPr>
          <w:p>
            <w:pPr>
              <w:pStyle w:val="Compact"/>
              <w:spacing w:after="20" w:before="20" w:line="240" w:lineRule="auto"/>
              <w:jc w:val="left"/>
            </w:pPr>
            <w:r>
              <w:rPr>
                <w:sz w:val="17"/>
              </w:rPr>
              <w:t xml:space="preserve">Propriétaire, bailleur, locataire,</w:t>
            </w:r>
            <w:r>
              <w:rPr>
                <w:sz w:val="17"/>
              </w:rPr>
              <w:t xml:space="preserve"> </w:t>
            </w:r>
            <w:r>
              <w:rPr>
                <w:sz w:val="17"/>
              </w:rPr>
              <w:t xml:space="preserve">occupant, gestionnaire, mandataire</w:t>
            </w:r>
          </w:p>
        </w:tc>
        <w:tc>
          <w:tcPr>
            <w:shd w:val="clear" w:color="auto" w:fill="F2F9F8"/>
          </w:tcPr>
          <w:p>
            <w:pPr>
              <w:pStyle w:val="Compact"/>
              <w:spacing w:after="20" w:before="20" w:line="240" w:lineRule="auto"/>
              <w:jc w:val="left"/>
            </w:pPr>
            <w:r>
              <w:rPr>
                <w:sz w:val="17"/>
              </w:rPr>
              <w:t xml:space="preserve">Données fiscales</w:t>
            </w:r>
          </w:p>
        </w:tc>
      </w:tr>
      <w:tr>
        <w:tc>
          <w:tcPr/>
          <w:p>
            <w:pPr>
              <w:pStyle w:val="Compact"/>
              <w:spacing w:after="20" w:before="20" w:line="240" w:lineRule="auto"/>
              <w:jc w:val="left"/>
            </w:pPr>
            <w:r>
              <w:rPr>
                <w:sz w:val="17"/>
              </w:rPr>
              <w:t xml:space="preserve">Objets</w:t>
            </w:r>
          </w:p>
        </w:tc>
        <w:tc>
          <w:tcPr/>
          <w:p>
            <w:pPr>
              <w:pStyle w:val="Compact"/>
              <w:spacing w:after="20" w:before="20" w:line="240" w:lineRule="auto"/>
              <w:jc w:val="left"/>
            </w:pPr>
            <w:r>
              <w:rPr>
                <w:sz w:val="17"/>
              </w:rPr>
              <w:t xml:space="preserve">Parcelles, unités louées, baux,</w:t>
            </w:r>
            <w:r>
              <w:rPr>
                <w:sz w:val="17"/>
              </w:rPr>
              <w:t xml:space="preserve"> </w:t>
            </w:r>
            <w:r>
              <w:rPr>
                <w:sz w:val="17"/>
              </w:rPr>
              <w:t xml:space="preserve">activités, établissements, véhicules,</w:t>
            </w:r>
            <w:r>
              <w:rPr>
                <w:sz w:val="17"/>
              </w:rPr>
              <w:t xml:space="preserve"> </w:t>
            </w:r>
            <w:r>
              <w:rPr>
                <w:sz w:val="17"/>
              </w:rPr>
              <w:t xml:space="preserve">panneaux, antennes, embarcations,</w:t>
            </w:r>
            <w:r>
              <w:rPr>
                <w:sz w:val="17"/>
              </w:rPr>
              <w:t xml:space="preserve"> </w:t>
            </w:r>
            <w:r>
              <w:rPr>
                <w:sz w:val="17"/>
              </w:rPr>
              <w:t xml:space="preserve">concessions, licences</w:t>
            </w:r>
          </w:p>
        </w:tc>
        <w:tc>
          <w:tcPr/>
          <w:p>
            <w:pPr>
              <w:pStyle w:val="Compact"/>
              <w:spacing w:after="20" w:before="20" w:line="240" w:lineRule="auto"/>
              <w:jc w:val="left"/>
            </w:pPr>
            <w:r>
              <w:rPr>
                <w:sz w:val="17"/>
              </w:rPr>
              <w:t xml:space="preserve">Données fiscales</w:t>
            </w:r>
          </w:p>
        </w:tc>
      </w:tr>
      <w:tr>
        <w:tc>
          <w:tcPr>
            <w:shd w:val="clear" w:color="auto" w:fill="F2F9F8"/>
          </w:tcPr>
          <w:p>
            <w:pPr>
              <w:pStyle w:val="Compact"/>
              <w:spacing w:after="20" w:before="20" w:line="240" w:lineRule="auto"/>
              <w:jc w:val="left"/>
            </w:pPr>
            <w:r>
              <w:rPr>
                <w:sz w:val="17"/>
              </w:rPr>
              <w:t xml:space="preserve">Situation</w:t>
            </w:r>
          </w:p>
        </w:tc>
        <w:tc>
          <w:tcPr>
            <w:shd w:val="clear" w:color="auto" w:fill="F2F9F8"/>
          </w:tcPr>
          <w:p>
            <w:pPr>
              <w:pStyle w:val="Compact"/>
              <w:spacing w:after="20" w:before="20" w:line="240" w:lineRule="auto"/>
              <w:jc w:val="left"/>
            </w:pPr>
            <w:r>
              <w:rPr>
                <w:sz w:val="17"/>
              </w:rPr>
              <w:t xml:space="preserve">Obligations en cours, échéances,</w:t>
            </w:r>
            <w:r>
              <w:rPr>
                <w:sz w:val="17"/>
              </w:rPr>
              <w:t xml:space="preserve"> </w:t>
            </w:r>
            <w:r>
              <w:rPr>
                <w:sz w:val="17"/>
              </w:rPr>
              <w:t xml:space="preserve">paiements, quittances, arriérés,</w:t>
            </w:r>
            <w:r>
              <w:rPr>
                <w:sz w:val="17"/>
              </w:rPr>
              <w:t xml:space="preserve"> </w:t>
            </w:r>
            <w:r>
              <w:rPr>
                <w:sz w:val="17"/>
              </w:rPr>
              <w:t xml:space="preserve">litiges</w:t>
            </w:r>
          </w:p>
        </w:tc>
        <w:tc>
          <w:tcPr>
            <w:shd w:val="clear" w:color="auto" w:fill="F2F9F8"/>
          </w:tcPr>
          <w:p>
            <w:pPr>
              <w:pStyle w:val="Compact"/>
              <w:spacing w:after="20" w:before="20" w:line="240" w:lineRule="auto"/>
              <w:jc w:val="left"/>
            </w:pPr>
            <w:r>
              <w:rPr>
                <w:sz w:val="17"/>
              </w:rPr>
              <w:t xml:space="preserve">Données fiscales</w:t>
            </w:r>
            <w:r>
              <w:rPr>
                <w:sz w:val="17"/>
              </w:rPr>
              <w:t xml:space="preserve"> </w:t>
            </w:r>
            <w:r>
              <w:rPr>
                <w:sz w:val="17"/>
              </w:rPr>
              <w:t xml:space="preserve">sensibles</w:t>
            </w:r>
          </w:p>
        </w:tc>
      </w:tr>
      <w:tr>
        <w:tc>
          <w:tcPr/>
          <w:p>
            <w:pPr>
              <w:pStyle w:val="Compact"/>
              <w:spacing w:after="20" w:before="20" w:line="240" w:lineRule="auto"/>
              <w:jc w:val="left"/>
            </w:pPr>
            <w:r>
              <w:rPr>
                <w:sz w:val="17"/>
              </w:rPr>
              <w:t xml:space="preserve">Preuves</w:t>
            </w:r>
          </w:p>
        </w:tc>
        <w:tc>
          <w:tcPr/>
          <w:p>
            <w:pPr>
              <w:pStyle w:val="Compact"/>
              <w:spacing w:after="20" w:before="20" w:line="240" w:lineRule="auto"/>
              <w:jc w:val="left"/>
            </w:pPr>
            <w:r>
              <w:rPr>
                <w:sz w:val="17"/>
              </w:rPr>
              <w:t xml:space="preserve">Documents, photographies,</w:t>
            </w:r>
            <w:r>
              <w:rPr>
                <w:sz w:val="17"/>
              </w:rPr>
              <w:t xml:space="preserve"> </w:t>
            </w:r>
            <w:r>
              <w:rPr>
                <w:sz w:val="17"/>
              </w:rPr>
              <w:t xml:space="preserve">procès-verbaux, décisions</w:t>
            </w:r>
          </w:p>
        </w:tc>
        <w:tc>
          <w:tcPr/>
          <w:p>
            <w:pPr>
              <w:pStyle w:val="Compact"/>
              <w:spacing w:after="20" w:before="20" w:line="240" w:lineRule="auto"/>
              <w:jc w:val="left"/>
            </w:pPr>
            <w:r>
              <w:rPr>
                <w:sz w:val="17"/>
              </w:rPr>
              <w:t xml:space="preserve">Données probantes</w:t>
            </w:r>
          </w:p>
        </w:tc>
      </w:tr>
      <w:tr>
        <w:tc>
          <w:tcPr>
            <w:shd w:val="clear" w:color="auto" w:fill="F2F9F8"/>
          </w:tcPr>
          <w:p>
            <w:pPr>
              <w:pStyle w:val="Compact"/>
              <w:spacing w:after="20" w:before="20" w:line="240" w:lineRule="auto"/>
              <w:jc w:val="left"/>
            </w:pPr>
            <w:r>
              <w:rPr>
                <w:sz w:val="17"/>
              </w:rPr>
              <w:t xml:space="preserve">Historique</w:t>
            </w:r>
          </w:p>
        </w:tc>
        <w:tc>
          <w:tcPr>
            <w:shd w:val="clear" w:color="auto" w:fill="F2F9F8"/>
          </w:tcPr>
          <w:p>
            <w:pPr>
              <w:pStyle w:val="Compact"/>
              <w:spacing w:after="20" w:before="20" w:line="240" w:lineRule="auto"/>
              <w:jc w:val="left"/>
            </w:pPr>
            <w:r>
              <w:rPr>
                <w:sz w:val="17"/>
              </w:rPr>
              <w:t xml:space="preserve">Contrôles, notifications, recours,</w:t>
            </w:r>
            <w:r>
              <w:rPr>
                <w:sz w:val="17"/>
              </w:rPr>
              <w:t xml:space="preserve"> </w:t>
            </w:r>
            <w:r>
              <w:rPr>
                <w:sz w:val="17"/>
              </w:rPr>
              <w:t xml:space="preserve">décisions, mandats</w:t>
            </w:r>
          </w:p>
        </w:tc>
        <w:tc>
          <w:tcPr>
            <w:shd w:val="clear" w:color="auto" w:fill="F2F9F8"/>
          </w:tcPr>
          <w:p>
            <w:pPr>
              <w:pStyle w:val="Compact"/>
              <w:spacing w:after="20" w:before="20" w:line="240" w:lineRule="auto"/>
              <w:jc w:val="left"/>
            </w:pPr>
            <w:r>
              <w:rPr>
                <w:sz w:val="17"/>
              </w:rPr>
              <w:t xml:space="preserve">Données d'audit</w:t>
            </w:r>
          </w:p>
        </w:tc>
      </w:tr>
    </w:tbl>
    <w:bookmarkEnd w:id="68"/>
    <w:bookmarkStart w:id="69" w:name="X1c5b8b22068b7fe7b24ac598fe94598832ece72"/>
    <w:p>
      <w:pPr>
        <w:pStyle w:val="Heading2"/>
      </w:pPr>
      <w:r>
        <w:t xml:space="preserve">9.5 Ce que le compte unique change pour le contribuable</w:t>
      </w:r>
    </w:p>
    <w:p>
      <w:pPr>
        <w:numPr>
          <w:ilvl w:val="0"/>
          <w:numId w:val="1008"/>
        </w:numPr>
      </w:pPr>
      <w:r>
        <w:t xml:space="preserve">Une seule saisie : les informations vérifiées sont réutilisées par</w:t>
      </w:r>
      <w:r>
        <w:t xml:space="preserve"> </w:t>
      </w:r>
      <w:r>
        <w:t xml:space="preserve">tous les modules, sans redemander les mêmes pièces.</w:t>
      </w:r>
    </w:p>
    <w:p>
      <w:pPr>
        <w:numPr>
          <w:ilvl w:val="0"/>
          <w:numId w:val="1008"/>
        </w:numPr>
      </w:pPr>
      <w:r>
        <w:t xml:space="preserve">Une vue unique : toutes les obligations, tous les objets, toutes les</w:t>
      </w:r>
      <w:r>
        <w:t xml:space="preserve"> </w:t>
      </w:r>
      <w:r>
        <w:t xml:space="preserve">échéances et toutes les quittances au même endroit.</w:t>
      </w:r>
    </w:p>
    <w:p>
      <w:pPr>
        <w:numPr>
          <w:ilvl w:val="0"/>
          <w:numId w:val="1008"/>
        </w:numPr>
      </w:pPr>
      <w:r>
        <w:t xml:space="preserve">Un seul paiement possible depuis le téléphone, avec référence unique</w:t>
      </w:r>
      <w:r>
        <w:t xml:space="preserve"> </w:t>
      </w:r>
      <w:r>
        <w:t xml:space="preserve">et quittance immédiate.</w:t>
      </w:r>
    </w:p>
    <w:p>
      <w:pPr>
        <w:numPr>
          <w:ilvl w:val="0"/>
          <w:numId w:val="1008"/>
        </w:numPr>
      </w:pPr>
      <w:r>
        <w:t xml:space="preserve">Un droit de contestation accessible depuis chaque objet, avec suivi</w:t>
      </w:r>
      <w:r>
        <w:t xml:space="preserve"> </w:t>
      </w:r>
      <w:r>
        <w:t xml:space="preserve">du délai légal de traitement.</w:t>
      </w:r>
    </w:p>
    <w:p>
      <w:pPr>
        <w:numPr>
          <w:ilvl w:val="0"/>
          <w:numId w:val="1008"/>
        </w:numPr>
      </w:pPr>
      <w:r>
        <w:t xml:space="preserve">Un mode diaspora : un propriétaire résidant à l'étranger paie par</w:t>
      </w:r>
      <w:r>
        <w:t xml:space="preserve"> </w:t>
      </w:r>
      <w:r>
        <w:t xml:space="preserve">carte, désigne un mandataire local aux droits limités et télécharge</w:t>
      </w:r>
      <w:r>
        <w:t xml:space="preserve"> </w:t>
      </w:r>
      <w:r>
        <w:t xml:space="preserve">ses quittances à distance.</w:t>
      </w:r>
    </w:p>
    <w:bookmarkEnd w:id="69"/>
    <w:bookmarkEnd w:id="70"/>
    <w:bookmarkStart w:id="71" w:name="architecture-fonctionnelle"/>
    <w:p>
      <w:pPr>
        <w:pStyle w:val="Heading1"/>
      </w:pPr>
      <w:r>
        <w:t xml:space="preserve">10. Architecture fonctionnelle</w:t>
      </w:r>
    </w:p>
    <w:p>
      <w:pPr>
        <w:pStyle w:val="FirstParagraph"/>
      </w:pPr>
      <w:r>
        <w:t xml:space="preserve">La plateforme s'organise en sept domaines fonctionnels, chacun</w:t>
      </w:r>
      <w:r>
        <w:t xml:space="preserve"> </w:t>
      </w:r>
      <w:r>
        <w:t xml:space="preserve">propriétaire de ses données et exposant des services aux autres. Cette</w:t>
      </w:r>
      <w:r>
        <w:t xml:space="preserve"> </w:t>
      </w:r>
      <w:r>
        <w:t xml:space="preserve">séparation permet de faire évoluer une régie, un canal de paiement ou</w:t>
      </w:r>
      <w:r>
        <w:t xml:space="preserve"> </w:t>
      </w:r>
      <w:r>
        <w:t xml:space="preserve">une catégorie de recette sans reconstruire l'ensemble.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689"/>
        <w:gridCol w:w="3696"/>
        <w:gridCol w:w="2323"/>
      </w:tblGrid>
      <w:tr>
        <w:trPr>
          <w:tblHeader w:val="true"/>
          <w:tblHeader/>
        </w:trPr>
        <w:tc>
          <w:tcPr>
            <w:shd w:val="clear" w:color="auto" w:fill="1BA996"/>
          </w:tcPr>
          <w:p>
            <w:pPr>
              <w:pStyle w:val="Compact"/>
              <w:spacing w:after="20" w:before="20" w:line="240" w:lineRule="auto"/>
              <w:jc w:val="left"/>
            </w:pPr>
            <w:r>
              <w:rPr>
                <w:b/>
                <w:bCs/>
                <w:color w:val="FFFFFF"/>
                <w:sz w:val="17"/>
              </w:rPr>
              <w:t xml:space="preserve">Domaine</w:t>
            </w:r>
          </w:p>
        </w:tc>
        <w:tc>
          <w:tcPr>
            <w:shd w:val="clear" w:color="auto" w:fill="1BA996"/>
          </w:tcPr>
          <w:p>
            <w:pPr>
              <w:pStyle w:val="Compact"/>
              <w:spacing w:after="20" w:before="20" w:line="240" w:lineRule="auto"/>
              <w:jc w:val="left"/>
            </w:pPr>
            <w:r>
              <w:rPr>
                <w:b/>
                <w:bCs/>
                <w:color w:val="FFFFFF"/>
                <w:sz w:val="17"/>
              </w:rPr>
              <w:t xml:space="preserve">Responsabilité</w:t>
            </w:r>
          </w:p>
        </w:tc>
        <w:tc>
          <w:tcPr>
            <w:shd w:val="clear" w:color="auto" w:fill="1BA996"/>
          </w:tcPr>
          <w:p>
            <w:pPr>
              <w:pStyle w:val="Compact"/>
              <w:spacing w:after="20" w:before="20" w:line="240" w:lineRule="auto"/>
              <w:jc w:val="left"/>
            </w:pPr>
            <w:r>
              <w:rPr>
                <w:b/>
                <w:bCs/>
                <w:color w:val="FFFFFF"/>
                <w:sz w:val="17"/>
              </w:rPr>
              <w:t xml:space="preserve">Ne fait pas</w:t>
            </w:r>
          </w:p>
        </w:tc>
      </w:tr>
      <w:tr>
        <w:tc>
          <w:tcPr/>
          <w:p>
            <w:pPr>
              <w:pStyle w:val="Compact"/>
              <w:spacing w:after="20" w:before="20" w:line="240" w:lineRule="auto"/>
              <w:jc w:val="left"/>
            </w:pPr>
            <w:r>
              <w:rPr>
                <w:sz w:val="17"/>
              </w:rPr>
              <w:t xml:space="preserve">Identité et</w:t>
            </w:r>
            <w:r>
              <w:rPr>
                <w:sz w:val="17"/>
              </w:rPr>
              <w:t xml:space="preserve"> </w:t>
            </w:r>
            <w:r>
              <w:rPr>
                <w:sz w:val="17"/>
              </w:rPr>
              <w:t xml:space="preserve">contribuable</w:t>
            </w:r>
          </w:p>
        </w:tc>
        <w:tc>
          <w:tcPr/>
          <w:p>
            <w:pPr>
              <w:pStyle w:val="Compact"/>
              <w:spacing w:after="20" w:before="20" w:line="240" w:lineRule="auto"/>
              <w:jc w:val="left"/>
            </w:pPr>
            <w:r>
              <w:rPr>
                <w:sz w:val="17"/>
              </w:rPr>
              <w:t xml:space="preserve">Comptes, rôles, vérification,</w:t>
            </w:r>
            <w:r>
              <w:rPr>
                <w:sz w:val="17"/>
              </w:rPr>
              <w:t xml:space="preserve"> </w:t>
            </w:r>
            <w:r>
              <w:rPr>
                <w:sz w:val="17"/>
              </w:rPr>
              <w:t xml:space="preserve">mandats, consentements</w:t>
            </w:r>
          </w:p>
        </w:tc>
        <w:tc>
          <w:tcPr/>
          <w:p>
            <w:pPr>
              <w:pStyle w:val="Compact"/>
              <w:spacing w:after="20" w:before="20" w:line="240" w:lineRule="auto"/>
              <w:jc w:val="left"/>
            </w:pPr>
            <w:r>
              <w:rPr>
                <w:sz w:val="17"/>
              </w:rPr>
              <w:t xml:space="preserve">Ne liquide aucune</w:t>
            </w:r>
            <w:r>
              <w:rPr>
                <w:sz w:val="17"/>
              </w:rPr>
              <w:t xml:space="preserve"> </w:t>
            </w:r>
            <w:r>
              <w:rPr>
                <w:sz w:val="17"/>
              </w:rPr>
              <w:t xml:space="preserve">obligation</w:t>
            </w:r>
          </w:p>
        </w:tc>
      </w:tr>
      <w:tr>
        <w:tc>
          <w:tcPr>
            <w:shd w:val="clear" w:color="auto" w:fill="F2F9F8"/>
          </w:tcPr>
          <w:p>
            <w:pPr>
              <w:pStyle w:val="Compact"/>
              <w:spacing w:after="20" w:before="20" w:line="240" w:lineRule="auto"/>
              <w:jc w:val="left"/>
            </w:pPr>
            <w:r>
              <w:rPr>
                <w:sz w:val="17"/>
              </w:rPr>
              <w:t xml:space="preserve">Objets et</w:t>
            </w:r>
            <w:r>
              <w:rPr>
                <w:sz w:val="17"/>
              </w:rPr>
              <w:t xml:space="preserve"> </w:t>
            </w:r>
            <w:r>
              <w:rPr>
                <w:sz w:val="17"/>
              </w:rPr>
              <w:t xml:space="preserve">cadastre fiscal</w:t>
            </w:r>
          </w:p>
        </w:tc>
        <w:tc>
          <w:tcPr>
            <w:shd w:val="clear" w:color="auto" w:fill="F2F9F8"/>
          </w:tcPr>
          <w:p>
            <w:pPr>
              <w:pStyle w:val="Compact"/>
              <w:spacing w:after="20" w:before="20" w:line="240" w:lineRule="auto"/>
              <w:jc w:val="left"/>
            </w:pPr>
            <w:r>
              <w:rPr>
                <w:sz w:val="17"/>
              </w:rPr>
              <w:t xml:space="preserve">Recensement, géolocalisation,</w:t>
            </w:r>
            <w:r>
              <w:rPr>
                <w:sz w:val="17"/>
              </w:rPr>
              <w:t xml:space="preserve"> </w:t>
            </w:r>
            <w:r>
              <w:rPr>
                <w:sz w:val="17"/>
              </w:rPr>
              <w:t xml:space="preserve">cycle de vie des objets imposables</w:t>
            </w:r>
          </w:p>
        </w:tc>
        <w:tc>
          <w:tcPr>
            <w:shd w:val="clear" w:color="auto" w:fill="F2F9F8"/>
          </w:tcPr>
          <w:p>
            <w:pPr>
              <w:pStyle w:val="Compact"/>
              <w:spacing w:after="20" w:before="20" w:line="240" w:lineRule="auto"/>
              <w:jc w:val="left"/>
            </w:pPr>
            <w:r>
              <w:rPr>
                <w:sz w:val="17"/>
              </w:rPr>
              <w:t xml:space="preserve">Ne détermine pas la</w:t>
            </w:r>
            <w:r>
              <w:rPr>
                <w:sz w:val="17"/>
              </w:rPr>
              <w:t xml:space="preserve"> </w:t>
            </w:r>
            <w:r>
              <w:rPr>
                <w:sz w:val="17"/>
              </w:rPr>
              <w:t xml:space="preserve">propriété juridique</w:t>
            </w:r>
          </w:p>
        </w:tc>
      </w:tr>
      <w:tr>
        <w:tc>
          <w:tcPr/>
          <w:p>
            <w:pPr>
              <w:pStyle w:val="Compact"/>
              <w:spacing w:after="20" w:before="20" w:line="240" w:lineRule="auto"/>
              <w:jc w:val="left"/>
            </w:pPr>
            <w:r>
              <w:rPr>
                <w:sz w:val="17"/>
              </w:rPr>
              <w:t xml:space="preserve">Droit et</w:t>
            </w:r>
            <w:r>
              <w:rPr>
                <w:sz w:val="17"/>
              </w:rPr>
              <w:t xml:space="preserve"> </w:t>
            </w:r>
            <w:r>
              <w:rPr>
                <w:sz w:val="17"/>
              </w:rPr>
              <w:t xml:space="preserve">référentiel</w:t>
            </w:r>
          </w:p>
        </w:tc>
        <w:tc>
          <w:tcPr/>
          <w:p>
            <w:pPr>
              <w:pStyle w:val="Compact"/>
              <w:spacing w:after="20" w:before="20" w:line="240" w:lineRule="auto"/>
              <w:jc w:val="left"/>
            </w:pPr>
            <w:r>
              <w:rPr>
                <w:sz w:val="17"/>
              </w:rPr>
              <w:t xml:space="preserve">Fiches de recettes, taux,</w:t>
            </w:r>
            <w:r>
              <w:rPr>
                <w:sz w:val="17"/>
              </w:rPr>
              <w:t xml:space="preserve"> </w:t>
            </w:r>
            <w:r>
              <w:rPr>
                <w:sz w:val="17"/>
              </w:rPr>
              <w:t xml:space="preserve">exonérations, versions,</w:t>
            </w:r>
            <w:r>
              <w:rPr>
                <w:sz w:val="17"/>
              </w:rPr>
              <w:t xml:space="preserve"> </w:t>
            </w:r>
            <w:r>
              <w:rPr>
                <w:sz w:val="17"/>
              </w:rPr>
              <w:t xml:space="preserve">publication</w:t>
            </w:r>
          </w:p>
        </w:tc>
        <w:tc>
          <w:tcPr/>
          <w:p>
            <w:pPr>
              <w:pStyle w:val="Compact"/>
              <w:spacing w:after="20" w:before="20" w:line="240" w:lineRule="auto"/>
              <w:jc w:val="left"/>
            </w:pPr>
            <w:r>
              <w:rPr>
                <w:sz w:val="17"/>
              </w:rPr>
              <w:t xml:space="preserve">N'applique pas de</w:t>
            </w:r>
            <w:r>
              <w:rPr>
                <w:sz w:val="17"/>
              </w:rPr>
              <w:t xml:space="preserve"> </w:t>
            </w:r>
            <w:r>
              <w:rPr>
                <w:sz w:val="17"/>
              </w:rPr>
              <w:t xml:space="preserve">règle non approuvée</w:t>
            </w:r>
          </w:p>
        </w:tc>
      </w:tr>
      <w:tr>
        <w:tc>
          <w:tcPr>
            <w:shd w:val="clear" w:color="auto" w:fill="F2F9F8"/>
          </w:tcPr>
          <w:p>
            <w:pPr>
              <w:pStyle w:val="Compact"/>
              <w:spacing w:after="20" w:before="20" w:line="240" w:lineRule="auto"/>
              <w:jc w:val="left"/>
            </w:pPr>
            <w:r>
              <w:rPr>
                <w:sz w:val="17"/>
              </w:rPr>
              <w:t xml:space="preserve">Liquidation et</w:t>
            </w:r>
            <w:r>
              <w:rPr>
                <w:sz w:val="17"/>
              </w:rPr>
              <w:t xml:space="preserve"> </w:t>
            </w:r>
            <w:r>
              <w:rPr>
                <w:sz w:val="17"/>
              </w:rPr>
              <w:t xml:space="preserve">obligations</w:t>
            </w:r>
          </w:p>
        </w:tc>
        <w:tc>
          <w:tcPr>
            <w:shd w:val="clear" w:color="auto" w:fill="F2F9F8"/>
          </w:tcPr>
          <w:p>
            <w:pPr>
              <w:pStyle w:val="Compact"/>
              <w:spacing w:after="20" w:before="20" w:line="240" w:lineRule="auto"/>
              <w:jc w:val="left"/>
            </w:pPr>
            <w:r>
              <w:rPr>
                <w:sz w:val="17"/>
              </w:rPr>
              <w:t xml:space="preserve">Déclarations, calculs, avis de</w:t>
            </w:r>
            <w:r>
              <w:rPr>
                <w:sz w:val="17"/>
              </w:rPr>
              <w:t xml:space="preserve"> </w:t>
            </w:r>
            <w:r>
              <w:rPr>
                <w:sz w:val="17"/>
              </w:rPr>
              <w:t xml:space="preserve">paiement, échéanciers, arriérés</w:t>
            </w:r>
          </w:p>
        </w:tc>
        <w:tc>
          <w:tcPr>
            <w:shd w:val="clear" w:color="auto" w:fill="F2F9F8"/>
          </w:tcPr>
          <w:p>
            <w:pPr>
              <w:pStyle w:val="Compact"/>
              <w:spacing w:after="20" w:before="20" w:line="240" w:lineRule="auto"/>
              <w:jc w:val="left"/>
            </w:pPr>
            <w:r>
              <w:rPr>
                <w:sz w:val="17"/>
              </w:rPr>
              <w:t xml:space="preserve">Ne modifie pas une</w:t>
            </w:r>
            <w:r>
              <w:rPr>
                <w:sz w:val="17"/>
              </w:rPr>
              <w:t xml:space="preserve"> </w:t>
            </w:r>
            <w:r>
              <w:rPr>
                <w:sz w:val="17"/>
              </w:rPr>
              <w:t xml:space="preserve">règle</w:t>
            </w:r>
          </w:p>
        </w:tc>
      </w:tr>
      <w:tr>
        <w:tc>
          <w:tcPr/>
          <w:p>
            <w:pPr>
              <w:pStyle w:val="Compact"/>
              <w:spacing w:after="20" w:before="20" w:line="240" w:lineRule="auto"/>
              <w:jc w:val="left"/>
            </w:pPr>
            <w:r>
              <w:rPr>
                <w:sz w:val="17"/>
              </w:rPr>
              <w:t xml:space="preserve">Paiement et</w:t>
            </w:r>
            <w:r>
              <w:rPr>
                <w:sz w:val="17"/>
              </w:rPr>
              <w:t xml:space="preserve"> </w:t>
            </w:r>
            <w:r>
              <w:rPr>
                <w:sz w:val="17"/>
              </w:rPr>
              <w:t xml:space="preserve">trésorerie</w:t>
            </w:r>
          </w:p>
        </w:tc>
        <w:tc>
          <w:tcPr/>
          <w:p>
            <w:pPr>
              <w:pStyle w:val="Compact"/>
              <w:spacing w:after="20" w:before="20" w:line="240" w:lineRule="auto"/>
              <w:jc w:val="left"/>
            </w:pPr>
            <w:r>
              <w:rPr>
                <w:sz w:val="17"/>
              </w:rPr>
              <w:t xml:space="preserve">Orchestration, règlement,</w:t>
            </w:r>
            <w:r>
              <w:rPr>
                <w:sz w:val="17"/>
              </w:rPr>
              <w:t xml:space="preserve"> </w:t>
            </w:r>
            <w:r>
              <w:rPr>
                <w:sz w:val="17"/>
              </w:rPr>
              <w:t xml:space="preserve">rapprochement, quittances</w:t>
            </w:r>
          </w:p>
        </w:tc>
        <w:tc>
          <w:tcPr/>
          <w:p>
            <w:pPr>
              <w:pStyle w:val="Compact"/>
              <w:spacing w:after="20" w:before="20" w:line="240" w:lineRule="auto"/>
              <w:jc w:val="left"/>
            </w:pPr>
            <w:r>
              <w:rPr>
                <w:sz w:val="17"/>
              </w:rPr>
              <w:t xml:space="preserve">Ne crée pas</w:t>
            </w:r>
            <w:r>
              <w:rPr>
                <w:sz w:val="17"/>
              </w:rPr>
              <w:t xml:space="preserve"> </w:t>
            </w:r>
            <w:r>
              <w:rPr>
                <w:sz w:val="17"/>
              </w:rPr>
              <w:t xml:space="preserve">d'obligation</w:t>
            </w:r>
          </w:p>
        </w:tc>
      </w:tr>
      <w:tr>
        <w:tc>
          <w:tcPr>
            <w:shd w:val="clear" w:color="auto" w:fill="F2F9F8"/>
          </w:tcPr>
          <w:p>
            <w:pPr>
              <w:pStyle w:val="Compact"/>
              <w:spacing w:after="20" w:before="20" w:line="240" w:lineRule="auto"/>
              <w:jc w:val="left"/>
            </w:pPr>
            <w:r>
              <w:rPr>
                <w:sz w:val="17"/>
              </w:rPr>
              <w:t xml:space="preserve">Contrôle et</w:t>
            </w:r>
            <w:r>
              <w:rPr>
                <w:sz w:val="17"/>
              </w:rPr>
              <w:t xml:space="preserve"> </w:t>
            </w:r>
            <w:r>
              <w:rPr>
                <w:sz w:val="17"/>
              </w:rPr>
              <w:t xml:space="preserve">contentieux</w:t>
            </w:r>
          </w:p>
        </w:tc>
        <w:tc>
          <w:tcPr>
            <w:shd w:val="clear" w:color="auto" w:fill="F2F9F8"/>
          </w:tcPr>
          <w:p>
            <w:pPr>
              <w:pStyle w:val="Compact"/>
              <w:spacing w:after="20" w:before="20" w:line="240" w:lineRule="auto"/>
              <w:jc w:val="left"/>
            </w:pPr>
            <w:r>
              <w:rPr>
                <w:sz w:val="17"/>
              </w:rPr>
              <w:t xml:space="preserve">Missions, constats, notifications,</w:t>
            </w:r>
            <w:r>
              <w:rPr>
                <w:sz w:val="17"/>
              </w:rPr>
              <w:t xml:space="preserve"> </w:t>
            </w:r>
            <w:r>
              <w:rPr>
                <w:sz w:val="17"/>
              </w:rPr>
              <w:t xml:space="preserve">recouvrement, recours</w:t>
            </w:r>
          </w:p>
        </w:tc>
        <w:tc>
          <w:tcPr>
            <w:shd w:val="clear" w:color="auto" w:fill="F2F9F8"/>
          </w:tcPr>
          <w:p>
            <w:pPr>
              <w:pStyle w:val="Compact"/>
              <w:spacing w:after="20" w:before="20" w:line="240" w:lineRule="auto"/>
              <w:jc w:val="left"/>
            </w:pPr>
            <w:r>
              <w:rPr>
                <w:sz w:val="17"/>
              </w:rPr>
              <w:t xml:space="preserve">N'encaisse pas</w:t>
            </w:r>
          </w:p>
        </w:tc>
      </w:tr>
      <w:tr>
        <w:tc>
          <w:tcPr/>
          <w:p>
            <w:pPr>
              <w:pStyle w:val="Compact"/>
              <w:spacing w:after="20" w:before="20" w:line="240" w:lineRule="auto"/>
              <w:jc w:val="left"/>
            </w:pPr>
            <w:r>
              <w:rPr>
                <w:sz w:val="17"/>
              </w:rPr>
              <w:t xml:space="preserve">Pilotage, IA et</w:t>
            </w:r>
            <w:r>
              <w:rPr>
                <w:sz w:val="17"/>
              </w:rPr>
              <w:t xml:space="preserve"> </w:t>
            </w:r>
            <w:r>
              <w:rPr>
                <w:sz w:val="17"/>
              </w:rPr>
              <w:t xml:space="preserve">audit</w:t>
            </w:r>
          </w:p>
        </w:tc>
        <w:tc>
          <w:tcPr/>
          <w:p>
            <w:pPr>
              <w:pStyle w:val="Compact"/>
              <w:spacing w:after="20" w:before="20" w:line="240" w:lineRule="auto"/>
              <w:jc w:val="left"/>
            </w:pPr>
            <w:r>
              <w:rPr>
                <w:sz w:val="17"/>
              </w:rPr>
              <w:t xml:space="preserve">Tableaux de bord, prévisions,</w:t>
            </w:r>
            <w:r>
              <w:rPr>
                <w:sz w:val="17"/>
              </w:rPr>
              <w:t xml:space="preserve"> </w:t>
            </w:r>
            <w:r>
              <w:rPr>
                <w:sz w:val="17"/>
              </w:rPr>
              <w:t xml:space="preserve">détection de fraude, journal</w:t>
            </w:r>
            <w:r>
              <w:rPr>
                <w:sz w:val="17"/>
              </w:rPr>
              <w:t xml:space="preserve"> </w:t>
            </w:r>
            <w:r>
              <w:rPr>
                <w:sz w:val="17"/>
              </w:rPr>
              <w:t xml:space="preserve">d'audit</w:t>
            </w:r>
          </w:p>
        </w:tc>
        <w:tc>
          <w:tcPr/>
          <w:p>
            <w:pPr>
              <w:pStyle w:val="Compact"/>
              <w:spacing w:after="20" w:before="20" w:line="240" w:lineRule="auto"/>
              <w:jc w:val="left"/>
            </w:pPr>
            <w:r>
              <w:rPr>
                <w:sz w:val="17"/>
              </w:rPr>
              <w:t xml:space="preserve">Ne décide ni</w:t>
            </w:r>
            <w:r>
              <w:rPr>
                <w:sz w:val="17"/>
              </w:rPr>
              <w:t xml:space="preserve"> </w:t>
            </w:r>
            <w:r>
              <w:rPr>
                <w:sz w:val="17"/>
              </w:rPr>
              <w:t xml:space="preserve">n'exécute d'acte</w:t>
            </w:r>
            <w:r>
              <w:rPr>
                <w:sz w:val="17"/>
              </w:rPr>
              <w:t xml:space="preserve"> </w:t>
            </w:r>
            <w:r>
              <w:rPr>
                <w:sz w:val="17"/>
              </w:rPr>
              <w:t xml:space="preserve">financier</w:t>
            </w:r>
          </w:p>
        </w:tc>
      </w:tr>
    </w:tbl>
    <w:p>
      <w:pPr>
        <w:pStyle w:val="BodyText"/>
      </w:pPr>
      <w:r>
        <w:t xml:space="preserve">Un principe traverse l'ensemble : les faits sont immuables et les</w:t>
      </w:r>
      <w:r>
        <w:t xml:space="preserve"> </w:t>
      </w:r>
      <w:r>
        <w:t xml:space="preserve">corrections sont des écritures nouvelles. Un constat erroné n'est pas</w:t>
      </w:r>
      <w:r>
        <w:t xml:space="preserve"> </w:t>
      </w:r>
      <w:r>
        <w:t xml:space="preserve">effacé, il est annulé par un acte contraire, motivé, signé et relié à</w:t>
      </w:r>
      <w:r>
        <w:t xml:space="preserve"> </w:t>
      </w:r>
      <w:r>
        <w:t xml:space="preserve">l'original.</w:t>
      </w:r>
    </w:p>
    <w:bookmarkEnd w:id="71"/>
    <w:bookmarkStart w:id="76" w:name="X257ab373bb8726285ea77d4b71ffc1a3964d03f"/>
    <w:p>
      <w:pPr>
        <w:pStyle w:val="Heading1"/>
      </w:pPr>
      <w:r>
        <w:t xml:space="preserve">10A. Architecture multi-entités et multi-services</w:t>
      </w:r>
    </w:p>
    <w:p>
      <w:pPr>
        <w:pStyle w:val="FirstParagraph"/>
      </w:pPr>
      <w:r>
        <w:t xml:space="preserve">MOSOLO réunit sur une même plateforme des services et des entités qui font des choses différentes, avec des besoins, des calendriers, des intérêts et parfois des revendications concurrentes. Le système doit les faire coexister sans les confondre, sans qu’aucune entité ne puisse agir sur le périmètre d’une autre, et sans multiplier les comptes, les registres ou les circuits de paiement pour le citoyen.</w:t>
      </w:r>
      <w:r>
        <w:t xml:space="preserve"> </w:t>
      </w:r>
      <w:r>
        <w:rPr>
          <w:b/>
          <w:bCs/>
        </w:rPr>
        <w:t xml:space="preserve">Principe : un socle commun, des espaces propres. Le citoyen voit un seul compte ; chaque entité ne voit et ne gère que ce que la loi lui attribue.</w:t>
      </w:r>
    </w:p>
    <w:bookmarkStart w:id="72" w:name="a.1-entités-besoins-et-intérêts"/>
    <w:p>
      <w:pPr>
        <w:pStyle w:val="Heading2"/>
      </w:pPr>
      <w:r>
        <w:t xml:space="preserve">10A.1 Entités, besoins et intérêts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584"/>
        <w:gridCol w:w="1584"/>
        <w:gridCol w:w="1584"/>
        <w:gridCol w:w="1584"/>
        <w:gridCol w:w="1584"/>
      </w:tblGrid>
      <w:tr>
        <w:trPr>
          <w:tblHeader w:val="true"/>
          <w:tblHeader/>
        </w:trPr>
        <w:tc>
          <w:tcPr>
            <w:shd w:val="clear" w:color="auto" w:fill="1BA996"/>
          </w:tcPr>
          <w:p>
            <w:pPr>
              <w:pStyle w:val="Compact"/>
              <w:spacing w:after="20" w:before="20" w:line="240" w:lineRule="auto"/>
              <w:jc w:val="left"/>
            </w:pPr>
            <w:r>
              <w:rPr>
                <w:b/>
                <w:color w:val="FFFFFF"/>
                <w:sz w:val="17"/>
              </w:rPr>
              <w:t xml:space="preserve">Entité</w:t>
            </w:r>
          </w:p>
        </w:tc>
        <w:tc>
          <w:tcPr>
            <w:shd w:val="clear" w:color="auto" w:fill="1BA996"/>
          </w:tcPr>
          <w:p>
            <w:pPr>
              <w:pStyle w:val="Compact"/>
              <w:spacing w:after="20" w:before="20" w:line="240" w:lineRule="auto"/>
              <w:jc w:val="left"/>
            </w:pPr>
            <w:r>
              <w:rPr>
                <w:b/>
                <w:color w:val="FFFFFF"/>
                <w:sz w:val="17"/>
              </w:rPr>
              <w:t xml:space="preserve">Ce qu’elle fait</w:t>
            </w:r>
          </w:p>
        </w:tc>
        <w:tc>
          <w:tcPr>
            <w:shd w:val="clear" w:color="auto" w:fill="1BA996"/>
          </w:tcPr>
          <w:p>
            <w:pPr>
              <w:pStyle w:val="Compact"/>
              <w:spacing w:after="20" w:before="20" w:line="240" w:lineRule="auto"/>
              <w:jc w:val="left"/>
            </w:pPr>
            <w:r>
              <w:rPr>
                <w:b/>
                <w:color w:val="FFFFFF"/>
                <w:sz w:val="17"/>
              </w:rPr>
              <w:t xml:space="preserve">Besoins propres</w:t>
            </w:r>
          </w:p>
        </w:tc>
        <w:tc>
          <w:tcPr>
            <w:shd w:val="clear" w:color="auto" w:fill="1BA996"/>
          </w:tcPr>
          <w:p>
            <w:pPr>
              <w:pStyle w:val="Compact"/>
              <w:spacing w:after="20" w:before="20" w:line="240" w:lineRule="auto"/>
              <w:jc w:val="left"/>
            </w:pPr>
            <w:r>
              <w:rPr>
                <w:b/>
                <w:color w:val="FFFFFF"/>
                <w:sz w:val="17"/>
              </w:rPr>
              <w:t xml:space="preserve">Intérêt ou tension à gérer</w:t>
            </w:r>
          </w:p>
        </w:tc>
        <w:tc>
          <w:tcPr>
            <w:shd w:val="clear" w:color="auto" w:fill="1BA996"/>
          </w:tcPr>
          <w:p>
            <w:pPr>
              <w:pStyle w:val="Compact"/>
              <w:spacing w:after="20" w:before="20" w:line="240" w:lineRule="auto"/>
              <w:jc w:val="left"/>
            </w:pPr>
            <w:r>
              <w:rPr>
                <w:b/>
                <w:color w:val="FFFFFF"/>
                <w:sz w:val="17"/>
              </w:rPr>
              <w:t xml:space="preserve">Réponse du système</w:t>
            </w:r>
          </w:p>
        </w:tc>
      </w:tr>
      <w:tr>
        <w:tc>
          <w:tcPr/>
          <w:p>
            <w:pPr>
              <w:pStyle w:val="Compact"/>
              <w:spacing w:after="20" w:before="20" w:line="240" w:lineRule="auto"/>
              <w:jc w:val="left"/>
            </w:pPr>
            <w:r>
              <w:rPr>
                <w:sz w:val="17"/>
              </w:rPr>
              <w:t xml:space="preserve">Régies provinciales (DGRK, DGIPK, futures DGRFK et DGTK)</w:t>
            </w:r>
          </w:p>
        </w:tc>
        <w:tc>
          <w:tcPr/>
          <w:p>
            <w:pPr>
              <w:pStyle w:val="Compact"/>
              <w:spacing w:after="20" w:before="20" w:line="240" w:lineRule="auto"/>
              <w:jc w:val="left"/>
            </w:pPr>
            <w:r>
              <w:rPr>
                <w:sz w:val="17"/>
              </w:rPr>
              <w:t xml:space="preserve">Assiette, liquidation, recouvrement</w:t>
            </w:r>
          </w:p>
        </w:tc>
        <w:tc>
          <w:tcPr/>
          <w:p>
            <w:pPr>
              <w:pStyle w:val="Compact"/>
              <w:spacing w:after="20" w:before="20" w:line="240" w:lineRule="auto"/>
              <w:jc w:val="left"/>
            </w:pPr>
            <w:r>
              <w:rPr>
                <w:sz w:val="17"/>
              </w:rPr>
              <w:t xml:space="preserve">Registres, campagnes, contentieux, indicateurs</w:t>
            </w:r>
          </w:p>
        </w:tc>
        <w:tc>
          <w:tcPr/>
          <w:p>
            <w:pPr>
              <w:pStyle w:val="Compact"/>
              <w:spacing w:after="20" w:before="20" w:line="240" w:lineRule="auto"/>
              <w:jc w:val="left"/>
            </w:pPr>
            <w:r>
              <w:rPr>
                <w:sz w:val="17"/>
              </w:rPr>
              <w:t xml:space="preserve">Répartition des compétences en cours de réforme</w:t>
            </w:r>
          </w:p>
        </w:tc>
        <w:tc>
          <w:tcPr/>
          <w:p>
            <w:pPr>
              <w:pStyle w:val="Compact"/>
              <w:spacing w:after="20" w:before="20" w:line="240" w:lineRule="auto"/>
              <w:jc w:val="left"/>
            </w:pPr>
            <w:r>
              <w:rPr>
                <w:sz w:val="17"/>
              </w:rPr>
              <w:t xml:space="preserve">Administration compétente paramétrée par recette, jamais codée en dur (§ 1)</w:t>
            </w:r>
          </w:p>
        </w:tc>
      </w:tr>
      <w:tr>
        <w:tc>
          <w:tcPr>
            <w:shd w:val="clear" w:color="auto" w:fill="F2F9F8"/>
          </w:tcPr>
          <w:p>
            <w:pPr>
              <w:pStyle w:val="Compact"/>
              <w:spacing w:after="20" w:before="20" w:line="240" w:lineRule="auto"/>
              <w:jc w:val="left"/>
            </w:pPr>
            <w:r>
              <w:rPr>
                <w:sz w:val="17"/>
              </w:rPr>
              <w:t xml:space="preserve">Ministères provinciaux</w:t>
            </w:r>
          </w:p>
        </w:tc>
        <w:tc>
          <w:tcPr>
            <w:shd w:val="clear" w:color="auto" w:fill="F2F9F8"/>
          </w:tcPr>
          <w:p>
            <w:pPr>
              <w:pStyle w:val="Compact"/>
              <w:spacing w:after="20" w:before="20" w:line="240" w:lineRule="auto"/>
              <w:jc w:val="left"/>
            </w:pPr>
            <w:r>
              <w:rPr>
                <w:sz w:val="17"/>
              </w:rPr>
              <w:t xml:space="preserve">Tutelle et actes sectoriels</w:t>
            </w:r>
          </w:p>
        </w:tc>
        <w:tc>
          <w:tcPr>
            <w:shd w:val="clear" w:color="auto" w:fill="F2F9F8"/>
          </w:tcPr>
          <w:p>
            <w:pPr>
              <w:pStyle w:val="Compact"/>
              <w:spacing w:after="20" w:before="20" w:line="240" w:lineRule="auto"/>
              <w:jc w:val="left"/>
            </w:pPr>
            <w:r>
              <w:rPr>
                <w:sz w:val="17"/>
              </w:rPr>
              <w:t xml:space="preserve">Vue limitée à leur périmètre légal</w:t>
            </w:r>
          </w:p>
        </w:tc>
        <w:tc>
          <w:tcPr>
            <w:shd w:val="clear" w:color="auto" w:fill="F2F9F8"/>
          </w:tcPr>
          <w:p>
            <w:pPr>
              <w:pStyle w:val="Compact"/>
              <w:spacing w:after="20" w:before="20" w:line="240" w:lineRule="auto"/>
              <w:jc w:val="left"/>
            </w:pPr>
            <w:r>
              <w:rPr>
                <w:sz w:val="17"/>
              </w:rPr>
              <w:t xml:space="preserve">Accès à des données hors compétence</w:t>
            </w:r>
          </w:p>
        </w:tc>
        <w:tc>
          <w:tcPr>
            <w:shd w:val="clear" w:color="auto" w:fill="F2F9F8"/>
          </w:tcPr>
          <w:p>
            <w:pPr>
              <w:pStyle w:val="Compact"/>
              <w:spacing w:after="20" w:before="20" w:line="240" w:lineRule="auto"/>
              <w:jc w:val="left"/>
            </w:pPr>
            <w:r>
              <w:rPr>
                <w:sz w:val="17"/>
              </w:rPr>
              <w:t xml:space="preserve">Accès par attributs (§ 12)</w:t>
            </w:r>
          </w:p>
        </w:tc>
      </w:tr>
      <w:tr>
        <w:tc>
          <w:tcPr/>
          <w:p>
            <w:pPr>
              <w:pStyle w:val="Compact"/>
              <w:spacing w:after="20" w:before="20" w:line="240" w:lineRule="auto"/>
              <w:jc w:val="left"/>
            </w:pPr>
            <w:r>
              <w:rPr>
                <w:sz w:val="17"/>
              </w:rPr>
              <w:t xml:space="preserve">Communes et ETD</w:t>
            </w:r>
          </w:p>
        </w:tc>
        <w:tc>
          <w:tcPr/>
          <w:p>
            <w:pPr>
              <w:pStyle w:val="Compact"/>
              <w:spacing w:after="20" w:before="20" w:line="240" w:lineRule="auto"/>
              <w:jc w:val="left"/>
            </w:pPr>
            <w:r>
              <w:rPr>
                <w:sz w:val="17"/>
              </w:rPr>
              <w:t xml:space="preserve">Recettes locales, marchés, services de proximité</w:t>
            </w:r>
          </w:p>
        </w:tc>
        <w:tc>
          <w:tcPr/>
          <w:p>
            <w:pPr>
              <w:pStyle w:val="Compact"/>
              <w:spacing w:after="20" w:before="20" w:line="240" w:lineRule="auto"/>
              <w:jc w:val="left"/>
            </w:pPr>
            <w:r>
              <w:rPr>
                <w:sz w:val="17"/>
              </w:rPr>
              <w:t xml:space="preserve">Espace distinct, clés de répartition</w:t>
            </w:r>
          </w:p>
        </w:tc>
        <w:tc>
          <w:tcPr/>
          <w:p>
            <w:pPr>
              <w:pStyle w:val="Compact"/>
              <w:spacing w:after="20" w:before="20" w:line="240" w:lineRule="auto"/>
              <w:jc w:val="left"/>
            </w:pPr>
            <w:r>
              <w:rPr>
                <w:sz w:val="17"/>
              </w:rPr>
              <w:t xml:space="preserve">Revendication d’un même fait générateur que la province</w:t>
            </w:r>
          </w:p>
        </w:tc>
        <w:tc>
          <w:tcPr/>
          <w:p>
            <w:pPr>
              <w:pStyle w:val="Compact"/>
              <w:spacing w:after="20" w:before="20" w:line="240" w:lineRule="auto"/>
              <w:jc w:val="left"/>
            </w:pPr>
            <w:r>
              <w:rPr>
                <w:sz w:val="17"/>
              </w:rPr>
              <w:t xml:space="preserve">Refus des doublons (§ 6.3), espace communal séparé, arbitrage</w:t>
            </w:r>
          </w:p>
        </w:tc>
      </w:tr>
      <w:tr>
        <w:tc>
          <w:tcPr>
            <w:shd w:val="clear" w:color="auto" w:fill="F2F9F8"/>
          </w:tcPr>
          <w:p>
            <w:pPr>
              <w:pStyle w:val="Compact"/>
              <w:spacing w:after="20" w:before="20" w:line="240" w:lineRule="auto"/>
              <w:jc w:val="left"/>
            </w:pPr>
            <w:r>
              <w:rPr>
                <w:sz w:val="17"/>
              </w:rPr>
              <w:t xml:space="preserve">Services techniques (voirie, transport, environnement, urbanisme)</w:t>
            </w:r>
          </w:p>
        </w:tc>
        <w:tc>
          <w:tcPr>
            <w:shd w:val="clear" w:color="auto" w:fill="F2F9F8"/>
          </w:tcPr>
          <w:p>
            <w:pPr>
              <w:pStyle w:val="Compact"/>
              <w:spacing w:after="20" w:before="20" w:line="240" w:lineRule="auto"/>
              <w:jc w:val="left"/>
            </w:pPr>
            <w:r>
              <w:rPr>
                <w:sz w:val="17"/>
              </w:rPr>
              <w:t xml:space="preserve">Permis, autorisations, contrôles techniques</w:t>
            </w:r>
          </w:p>
        </w:tc>
        <w:tc>
          <w:tcPr>
            <w:shd w:val="clear" w:color="auto" w:fill="F2F9F8"/>
          </w:tcPr>
          <w:p>
            <w:pPr>
              <w:pStyle w:val="Compact"/>
              <w:spacing w:after="20" w:before="20" w:line="240" w:lineRule="auto"/>
              <w:jc w:val="left"/>
            </w:pPr>
            <w:r>
              <w:rPr>
                <w:sz w:val="17"/>
              </w:rPr>
              <w:t xml:space="preserve">Workflow d’autorisation, conditions techniques</w:t>
            </w:r>
          </w:p>
        </w:tc>
        <w:tc>
          <w:tcPr>
            <w:shd w:val="clear" w:color="auto" w:fill="F2F9F8"/>
          </w:tcPr>
          <w:p>
            <w:pPr>
              <w:pStyle w:val="Compact"/>
              <w:spacing w:after="20" w:before="20" w:line="240" w:lineRule="auto"/>
              <w:jc w:val="left"/>
            </w:pPr>
            <w:r>
              <w:rPr>
                <w:sz w:val="17"/>
              </w:rPr>
              <w:t xml:space="preserve">Délivrer une autorisation sans vérifier la situation fiscale</w:t>
            </w:r>
          </w:p>
        </w:tc>
        <w:tc>
          <w:tcPr>
            <w:shd w:val="clear" w:color="auto" w:fill="F2F9F8"/>
          </w:tcPr>
          <w:p>
            <w:pPr>
              <w:pStyle w:val="Compact"/>
              <w:spacing w:after="20" w:before="20" w:line="240" w:lineRule="auto"/>
              <w:jc w:val="left"/>
            </w:pPr>
            <w:r>
              <w:rPr>
                <w:sz w:val="17"/>
              </w:rPr>
              <w:t xml:space="preserve">Autorisation conditionnée au quitus lorsque la règle l’exige</w:t>
            </w:r>
          </w:p>
        </w:tc>
      </w:tr>
      <w:tr>
        <w:tc>
          <w:tcPr/>
          <w:p>
            <w:pPr>
              <w:pStyle w:val="Compact"/>
              <w:spacing w:after="20" w:before="20" w:line="240" w:lineRule="auto"/>
              <w:jc w:val="left"/>
            </w:pPr>
            <w:r>
              <w:rPr>
                <w:sz w:val="17"/>
              </w:rPr>
              <w:t xml:space="preserve">Opérateurs délégués (stationnement, marchés, ports, gares routières, péages)</w:t>
            </w:r>
          </w:p>
        </w:tc>
        <w:tc>
          <w:tcPr/>
          <w:p>
            <w:pPr>
              <w:pStyle w:val="Compact"/>
              <w:spacing w:after="20" w:before="20" w:line="240" w:lineRule="auto"/>
              <w:jc w:val="left"/>
            </w:pPr>
            <w:r>
              <w:rPr>
                <w:sz w:val="17"/>
              </w:rPr>
              <w:t xml:space="preserve">Exploitation d’un service public</w:t>
            </w:r>
          </w:p>
        </w:tc>
        <w:tc>
          <w:tcPr/>
          <w:p>
            <w:pPr>
              <w:pStyle w:val="Compact"/>
              <w:spacing w:after="20" w:before="20" w:line="240" w:lineRule="auto"/>
              <w:jc w:val="left"/>
            </w:pPr>
            <w:r>
              <w:rPr>
                <w:sz w:val="17"/>
              </w:rPr>
              <w:t xml:space="preserve">Tarifs, sessions, titres, contrôle</w:t>
            </w:r>
          </w:p>
        </w:tc>
        <w:tc>
          <w:tcPr/>
          <w:p>
            <w:pPr>
              <w:pStyle w:val="Compact"/>
              <w:spacing w:after="20" w:before="20" w:line="240" w:lineRule="auto"/>
              <w:jc w:val="left"/>
            </w:pPr>
            <w:r>
              <w:rPr>
                <w:sz w:val="17"/>
              </w:rPr>
              <w:t xml:space="preserve">Tentation de collecter hors plateforme ou de retenir des fonds</w:t>
            </w:r>
          </w:p>
        </w:tc>
        <w:tc>
          <w:tcPr/>
          <w:p>
            <w:pPr>
              <w:pStyle w:val="Compact"/>
              <w:spacing w:after="20" w:before="20" w:line="240" w:lineRule="auto"/>
              <w:jc w:val="left"/>
            </w:pPr>
            <w:r>
              <w:rPr>
                <w:sz w:val="17"/>
              </w:rPr>
              <w:t xml:space="preserve">Encaissement uniquement par points agréés, reversement direct, rapprochement (§ 18A)</w:t>
            </w:r>
          </w:p>
        </w:tc>
      </w:tr>
      <w:tr>
        <w:tc>
          <w:tcPr>
            <w:shd w:val="clear" w:color="auto" w:fill="F2F9F8"/>
          </w:tcPr>
          <w:p>
            <w:pPr>
              <w:pStyle w:val="Compact"/>
              <w:spacing w:after="20" w:before="20" w:line="240" w:lineRule="auto"/>
              <w:jc w:val="left"/>
            </w:pPr>
            <w:r>
              <w:rPr>
                <w:sz w:val="17"/>
              </w:rPr>
              <w:t xml:space="preserve">Pouvoir central</w:t>
            </w:r>
          </w:p>
        </w:tc>
        <w:tc>
          <w:tcPr>
            <w:shd w:val="clear" w:color="auto" w:fill="F2F9F8"/>
          </w:tcPr>
          <w:p>
            <w:pPr>
              <w:pStyle w:val="Compact"/>
              <w:spacing w:after="20" w:before="20" w:line="240" w:lineRule="auto"/>
              <w:jc w:val="left"/>
            </w:pPr>
            <w:r>
              <w:rPr>
                <w:sz w:val="17"/>
              </w:rPr>
              <w:t xml:space="preserve">Recettes centrales</w:t>
            </w:r>
          </w:p>
        </w:tc>
        <w:tc>
          <w:tcPr>
            <w:shd w:val="clear" w:color="auto" w:fill="F2F9F8"/>
          </w:tcPr>
          <w:p>
            <w:pPr>
              <w:pStyle w:val="Compact"/>
              <w:spacing w:after="20" w:before="20" w:line="240" w:lineRule="auto"/>
              <w:jc w:val="left"/>
            </w:pPr>
            <w:r>
              <w:rPr>
                <w:sz w:val="17"/>
              </w:rPr>
              <w:t xml:space="preserve">Absence de double imposition</w:t>
            </w:r>
          </w:p>
        </w:tc>
        <w:tc>
          <w:tcPr>
            <w:shd w:val="clear" w:color="auto" w:fill="F2F9F8"/>
          </w:tcPr>
          <w:p>
            <w:pPr>
              <w:pStyle w:val="Compact"/>
              <w:spacing w:after="20" w:before="20" w:line="240" w:lineRule="auto"/>
              <w:jc w:val="left"/>
            </w:pPr>
            <w:r>
              <w:rPr>
                <w:sz w:val="17"/>
              </w:rPr>
              <w:t xml:space="preserve">Chevauchement d’assiettes</w:t>
            </w:r>
          </w:p>
        </w:tc>
        <w:tc>
          <w:tcPr>
            <w:shd w:val="clear" w:color="auto" w:fill="F2F9F8"/>
          </w:tcPr>
          <w:p>
            <w:pPr>
              <w:pStyle w:val="Compact"/>
              <w:spacing w:after="20" w:before="20" w:line="240" w:lineRule="auto"/>
              <w:jc w:val="left"/>
            </w:pPr>
            <w:r>
              <w:rPr>
                <w:sz w:val="17"/>
              </w:rPr>
              <w:t xml:space="preserve">Référentiel qui exclut les recettes centrales (§ 6.1)</w:t>
            </w:r>
          </w:p>
        </w:tc>
      </w:tr>
      <w:tr>
        <w:tc>
          <w:tcPr/>
          <w:p>
            <w:pPr>
              <w:pStyle w:val="Compact"/>
              <w:spacing w:after="20" w:before="20" w:line="240" w:lineRule="auto"/>
              <w:jc w:val="left"/>
            </w:pPr>
            <w:r>
              <w:rPr>
                <w:sz w:val="17"/>
              </w:rPr>
              <w:t xml:space="preserve">Banques et prestataires de paiement</w:t>
            </w:r>
          </w:p>
        </w:tc>
        <w:tc>
          <w:tcPr/>
          <w:p>
            <w:pPr>
              <w:pStyle w:val="Compact"/>
              <w:spacing w:after="20" w:before="20" w:line="240" w:lineRule="auto"/>
              <w:jc w:val="left"/>
            </w:pPr>
            <w:r>
              <w:rPr>
                <w:sz w:val="17"/>
              </w:rPr>
              <w:t xml:space="preserve">Encaissement et règlement</w:t>
            </w:r>
          </w:p>
        </w:tc>
        <w:tc>
          <w:tcPr/>
          <w:p>
            <w:pPr>
              <w:pStyle w:val="Compact"/>
              <w:spacing w:after="20" w:before="20" w:line="240" w:lineRule="auto"/>
              <w:jc w:val="left"/>
            </w:pPr>
            <w:r>
              <w:rPr>
                <w:sz w:val="17"/>
              </w:rPr>
              <w:t xml:space="preserve">Référence, montant, confirmation</w:t>
            </w:r>
          </w:p>
        </w:tc>
        <w:tc>
          <w:tcPr/>
          <w:p>
            <w:pPr>
              <w:pStyle w:val="Compact"/>
              <w:spacing w:after="20" w:before="20" w:line="240" w:lineRule="auto"/>
              <w:jc w:val="left"/>
            </w:pPr>
            <w:r>
              <w:rPr>
                <w:sz w:val="17"/>
              </w:rPr>
              <w:t xml:space="preserve">Commissions, délais de règlement</w:t>
            </w:r>
          </w:p>
        </w:tc>
        <w:tc>
          <w:tcPr/>
          <w:p>
            <w:pPr>
              <w:pStyle w:val="Compact"/>
              <w:spacing w:after="20" w:before="20" w:line="240" w:lineRule="auto"/>
              <w:jc w:val="left"/>
            </w:pPr>
            <w:r>
              <w:rPr>
                <w:sz w:val="17"/>
              </w:rPr>
              <w:t xml:space="preserve">Contrats, délais, pénalités (§ 37)</w:t>
            </w:r>
          </w:p>
        </w:tc>
      </w:tr>
      <w:tr>
        <w:tc>
          <w:tcPr>
            <w:shd w:val="clear" w:color="auto" w:fill="F2F9F8"/>
          </w:tcPr>
          <w:p>
            <w:pPr>
              <w:pStyle w:val="Compact"/>
              <w:spacing w:after="20" w:before="20" w:line="240" w:lineRule="auto"/>
              <w:jc w:val="left"/>
            </w:pPr>
            <w:r>
              <w:rPr>
                <w:sz w:val="17"/>
              </w:rPr>
              <w:t xml:space="preserve">Sous-traitants terrain</w:t>
            </w:r>
          </w:p>
        </w:tc>
        <w:tc>
          <w:tcPr>
            <w:shd w:val="clear" w:color="auto" w:fill="F2F9F8"/>
          </w:tcPr>
          <w:p>
            <w:pPr>
              <w:pStyle w:val="Compact"/>
              <w:spacing w:after="20" w:before="20" w:line="240" w:lineRule="auto"/>
              <w:jc w:val="left"/>
            </w:pPr>
            <w:r>
              <w:rPr>
                <w:sz w:val="17"/>
              </w:rPr>
              <w:t xml:space="preserve">Recensement, enrôlement, constats</w:t>
            </w:r>
          </w:p>
        </w:tc>
        <w:tc>
          <w:tcPr>
            <w:shd w:val="clear" w:color="auto" w:fill="F2F9F8"/>
          </w:tcPr>
          <w:p>
            <w:pPr>
              <w:pStyle w:val="Compact"/>
              <w:spacing w:after="20" w:before="20" w:line="240" w:lineRule="auto"/>
              <w:jc w:val="left"/>
            </w:pPr>
            <w:r>
              <w:rPr>
                <w:sz w:val="17"/>
              </w:rPr>
              <w:t xml:space="preserve">Lots, missions, rémunération</w:t>
            </w:r>
          </w:p>
        </w:tc>
        <w:tc>
          <w:tcPr>
            <w:shd w:val="clear" w:color="auto" w:fill="F2F9F8"/>
          </w:tcPr>
          <w:p>
            <w:pPr>
              <w:pStyle w:val="Compact"/>
              <w:spacing w:after="20" w:before="20" w:line="240" w:lineRule="auto"/>
              <w:jc w:val="left"/>
            </w:pPr>
            <w:r>
              <w:rPr>
                <w:sz w:val="17"/>
              </w:rPr>
              <w:t xml:space="preserve">Gonfler la production</w:t>
            </w:r>
          </w:p>
        </w:tc>
        <w:tc>
          <w:tcPr>
            <w:shd w:val="clear" w:color="auto" w:fill="F2F9F8"/>
          </w:tcPr>
          <w:p>
            <w:pPr>
              <w:pStyle w:val="Compact"/>
              <w:spacing w:after="20" w:before="20" w:line="240" w:lineRule="auto"/>
              <w:jc w:val="left"/>
            </w:pPr>
            <w:r>
              <w:rPr>
                <w:sz w:val="17"/>
              </w:rPr>
              <w:t xml:space="preserve">Contrôle qualité indépendant (§ 15A)</w:t>
            </w:r>
          </w:p>
        </w:tc>
      </w:tr>
      <w:tr>
        <w:tc>
          <w:tcPr/>
          <w:p>
            <w:pPr>
              <w:pStyle w:val="Compact"/>
              <w:spacing w:after="20" w:before="20" w:line="240" w:lineRule="auto"/>
              <w:jc w:val="left"/>
            </w:pPr>
            <w:r>
              <w:rPr>
                <w:sz w:val="17"/>
              </w:rPr>
              <w:t xml:space="preserve">Partenaires de données (énergie, eau, télécoms, brasseries)</w:t>
            </w:r>
          </w:p>
        </w:tc>
        <w:tc>
          <w:tcPr/>
          <w:p>
            <w:pPr>
              <w:pStyle w:val="Compact"/>
              <w:spacing w:after="20" w:before="20" w:line="240" w:lineRule="auto"/>
              <w:jc w:val="left"/>
            </w:pPr>
            <w:r>
              <w:rPr>
                <w:sz w:val="17"/>
              </w:rPr>
              <w:t xml:space="preserve">Fourniture de données</w:t>
            </w:r>
          </w:p>
        </w:tc>
        <w:tc>
          <w:tcPr/>
          <w:p>
            <w:pPr>
              <w:pStyle w:val="Compact"/>
              <w:spacing w:after="20" w:before="20" w:line="240" w:lineRule="auto"/>
              <w:jc w:val="left"/>
            </w:pPr>
            <w:r>
              <w:rPr>
                <w:sz w:val="17"/>
              </w:rPr>
              <w:t xml:space="preserve">Protocole, finalité, sécurité</w:t>
            </w:r>
          </w:p>
        </w:tc>
        <w:tc>
          <w:tcPr/>
          <w:p>
            <w:pPr>
              <w:pStyle w:val="Compact"/>
              <w:spacing w:after="20" w:before="20" w:line="240" w:lineRule="auto"/>
              <w:jc w:val="left"/>
            </w:pPr>
            <w:r>
              <w:rPr>
                <w:sz w:val="17"/>
              </w:rPr>
              <w:t xml:space="preserve">Protection de leurs clients</w:t>
            </w:r>
          </w:p>
        </w:tc>
        <w:tc>
          <w:tcPr/>
          <w:p>
            <w:pPr>
              <w:pStyle w:val="Compact"/>
              <w:spacing w:after="20" w:before="20" w:line="240" w:lineRule="auto"/>
              <w:jc w:val="left"/>
            </w:pPr>
            <w:r>
              <w:rPr>
                <w:sz w:val="17"/>
              </w:rPr>
              <w:t xml:space="preserve">Protocoles signés, minimisation (§ 32)</w:t>
            </w:r>
          </w:p>
        </w:tc>
      </w:tr>
      <w:tr>
        <w:tc>
          <w:tcPr>
            <w:shd w:val="clear" w:color="auto" w:fill="F2F9F8"/>
          </w:tcPr>
          <w:p>
            <w:pPr>
              <w:pStyle w:val="Compact"/>
              <w:spacing w:after="20" w:before="20" w:line="240" w:lineRule="auto"/>
              <w:jc w:val="left"/>
            </w:pPr>
            <w:r>
              <w:rPr>
                <w:sz w:val="17"/>
              </w:rPr>
              <w:t xml:space="preserve">Citoyens et entreprises</w:t>
            </w:r>
          </w:p>
        </w:tc>
        <w:tc>
          <w:tcPr>
            <w:shd w:val="clear" w:color="auto" w:fill="F2F9F8"/>
          </w:tcPr>
          <w:p>
            <w:pPr>
              <w:pStyle w:val="Compact"/>
              <w:spacing w:after="20" w:before="20" w:line="240" w:lineRule="auto"/>
              <w:jc w:val="left"/>
            </w:pPr>
            <w:r>
              <w:rPr>
                <w:sz w:val="17"/>
              </w:rPr>
              <w:t xml:space="preserve">Déclarer, payer, prouver</w:t>
            </w:r>
          </w:p>
        </w:tc>
        <w:tc>
          <w:tcPr>
            <w:shd w:val="clear" w:color="auto" w:fill="F2F9F8"/>
          </w:tcPr>
          <w:p>
            <w:pPr>
              <w:pStyle w:val="Compact"/>
              <w:spacing w:after="20" w:before="20" w:line="240" w:lineRule="auto"/>
              <w:jc w:val="left"/>
            </w:pPr>
            <w:r>
              <w:rPr>
                <w:sz w:val="17"/>
              </w:rPr>
              <w:t xml:space="preserve">Simplicité, un seul compte, preuve</w:t>
            </w:r>
          </w:p>
        </w:tc>
        <w:tc>
          <w:tcPr>
            <w:shd w:val="clear" w:color="auto" w:fill="F2F9F8"/>
          </w:tcPr>
          <w:p>
            <w:pPr>
              <w:pStyle w:val="Compact"/>
              <w:spacing w:after="20" w:before="20" w:line="240" w:lineRule="auto"/>
              <w:jc w:val="left"/>
            </w:pPr>
            <w:r>
              <w:rPr>
                <w:sz w:val="17"/>
              </w:rPr>
              <w:t xml:space="preserve">Crainte de double paiement et d’arbitraire</w:t>
            </w:r>
          </w:p>
        </w:tc>
        <w:tc>
          <w:tcPr>
            <w:shd w:val="clear" w:color="auto" w:fill="F2F9F8"/>
          </w:tcPr>
          <w:p>
            <w:pPr>
              <w:pStyle w:val="Compact"/>
              <w:spacing w:after="20" w:before="20" w:line="240" w:lineRule="auto"/>
              <w:jc w:val="left"/>
            </w:pPr>
            <w:r>
              <w:rPr>
                <w:sz w:val="17"/>
              </w:rPr>
              <w:t xml:space="preserve">Compte unique, preuve vérifiable, recours (§ 22)</w:t>
            </w:r>
          </w:p>
        </w:tc>
      </w:tr>
      <w:tr>
        <w:tc>
          <w:tcPr/>
          <w:p>
            <w:pPr>
              <w:pStyle w:val="Compact"/>
              <w:spacing w:after="20" w:before="20" w:line="240" w:lineRule="auto"/>
              <w:jc w:val="left"/>
            </w:pPr>
            <w:r>
              <w:rPr>
                <w:sz w:val="17"/>
              </w:rPr>
              <w:t xml:space="preserve">Audit, inspection, société civile</w:t>
            </w:r>
          </w:p>
        </w:tc>
        <w:tc>
          <w:tcPr/>
          <w:p>
            <w:pPr>
              <w:pStyle w:val="Compact"/>
              <w:spacing w:after="20" w:before="20" w:line="240" w:lineRule="auto"/>
              <w:jc w:val="left"/>
            </w:pPr>
            <w:r>
              <w:rPr>
                <w:sz w:val="17"/>
              </w:rPr>
              <w:t xml:space="preserve">Contrôle</w:t>
            </w:r>
          </w:p>
        </w:tc>
        <w:tc>
          <w:tcPr/>
          <w:p>
            <w:pPr>
              <w:pStyle w:val="Compact"/>
              <w:spacing w:after="20" w:before="20" w:line="240" w:lineRule="auto"/>
              <w:jc w:val="left"/>
            </w:pPr>
            <w:r>
              <w:rPr>
                <w:sz w:val="17"/>
              </w:rPr>
              <w:t xml:space="preserve">Accès en lecture, indépendance</w:t>
            </w:r>
          </w:p>
        </w:tc>
        <w:tc>
          <w:tcPr/>
          <w:p>
            <w:pPr>
              <w:pStyle w:val="Compact"/>
              <w:spacing w:after="20" w:before="20" w:line="240" w:lineRule="auto"/>
              <w:jc w:val="left"/>
            </w:pPr>
            <w:r>
              <w:rPr>
                <w:sz w:val="17"/>
              </w:rPr>
              <w:t xml:space="preserve">Pression sur les contrôleurs</w:t>
            </w:r>
          </w:p>
        </w:tc>
        <w:tc>
          <w:tcPr/>
          <w:p>
            <w:pPr>
              <w:pStyle w:val="Compact"/>
              <w:spacing w:after="20" w:before="20" w:line="240" w:lineRule="auto"/>
              <w:jc w:val="left"/>
            </w:pPr>
            <w:r>
              <w:rPr>
                <w:sz w:val="17"/>
              </w:rPr>
              <w:t xml:space="preserve">Accès indépendant, journal inaltérable</w:t>
            </w:r>
          </w:p>
        </w:tc>
      </w:tr>
    </w:tbl>
    <w:bookmarkEnd w:id="72"/>
    <w:bookmarkStart w:id="73" w:name="a.2-socle-commun-et-espaces-dentité"/>
    <w:p>
      <w:pPr>
        <w:pStyle w:val="Heading2"/>
      </w:pPr>
      <w:r>
        <w:t xml:space="preserve">10A.2 Socle commun et espaces d’entité</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Partagé par toutes les entités (socle)</w:t>
            </w:r>
          </w:p>
        </w:tc>
        <w:tc>
          <w:tcPr>
            <w:shd w:val="clear" w:color="auto" w:fill="1BA996"/>
          </w:tcPr>
          <w:p>
            <w:pPr>
              <w:pStyle w:val="Compact"/>
              <w:spacing w:after="20" w:before="20" w:line="240" w:lineRule="auto"/>
              <w:jc w:val="left"/>
            </w:pPr>
            <w:r>
              <w:rPr>
                <w:b/>
                <w:color w:val="FFFFFF"/>
                <w:sz w:val="17"/>
              </w:rPr>
              <w:t xml:space="preserve">Propre à chaque entité (espace)</w:t>
            </w:r>
          </w:p>
        </w:tc>
      </w:tr>
      <w:tr>
        <w:tc>
          <w:tcPr/>
          <w:p>
            <w:pPr>
              <w:pStyle w:val="Compact"/>
              <w:spacing w:after="20" w:before="20" w:line="240" w:lineRule="auto"/>
              <w:jc w:val="left"/>
            </w:pPr>
            <w:r>
              <w:rPr>
                <w:sz w:val="17"/>
              </w:rPr>
              <w:t xml:space="preserve">Identité et compte unique du contribuable</w:t>
            </w:r>
          </w:p>
        </w:tc>
        <w:tc>
          <w:tcPr/>
          <w:p>
            <w:pPr>
              <w:pStyle w:val="Compact"/>
              <w:spacing w:after="20" w:before="20" w:line="240" w:lineRule="auto"/>
              <w:jc w:val="left"/>
            </w:pPr>
            <w:r>
              <w:rPr>
                <w:sz w:val="17"/>
              </w:rPr>
              <w:t xml:space="preserve">Recettes, règles et tarifs dont elle a la compétence</w:t>
            </w:r>
          </w:p>
        </w:tc>
      </w:tr>
      <w:tr>
        <w:tc>
          <w:tcPr>
            <w:shd w:val="clear" w:color="auto" w:fill="F2F9F8"/>
          </w:tcPr>
          <w:p>
            <w:pPr>
              <w:pStyle w:val="Compact"/>
              <w:spacing w:after="20" w:before="20" w:line="240" w:lineRule="auto"/>
              <w:jc w:val="left"/>
            </w:pPr>
            <w:r>
              <w:rPr>
                <w:sz w:val="17"/>
              </w:rPr>
              <w:t xml:space="preserve">Cadastre fiscal et identifiants géographiques</w:t>
            </w:r>
          </w:p>
        </w:tc>
        <w:tc>
          <w:tcPr>
            <w:shd w:val="clear" w:color="auto" w:fill="F2F9F8"/>
          </w:tcPr>
          <w:p>
            <w:pPr>
              <w:pStyle w:val="Compact"/>
              <w:spacing w:after="20" w:before="20" w:line="240" w:lineRule="auto"/>
              <w:jc w:val="left"/>
            </w:pPr>
            <w:r>
              <w:rPr>
                <w:sz w:val="17"/>
              </w:rPr>
              <w:t xml:space="preserve">Workflows, circuits d’approbation, délais de service</w:t>
            </w:r>
          </w:p>
        </w:tc>
      </w:tr>
      <w:tr>
        <w:tc>
          <w:tcPr/>
          <w:p>
            <w:pPr>
              <w:pStyle w:val="Compact"/>
              <w:spacing w:after="20" w:before="20" w:line="240" w:lineRule="auto"/>
              <w:jc w:val="left"/>
            </w:pPr>
            <w:r>
              <w:rPr>
                <w:sz w:val="17"/>
              </w:rPr>
              <w:t xml:space="preserve">Registre juridique et moteur de liquidation</w:t>
            </w:r>
          </w:p>
        </w:tc>
        <w:tc>
          <w:tcPr/>
          <w:p>
            <w:pPr>
              <w:pStyle w:val="Compact"/>
              <w:spacing w:after="20" w:before="20" w:line="240" w:lineRule="auto"/>
              <w:jc w:val="left"/>
            </w:pPr>
            <w:r>
              <w:rPr>
                <w:sz w:val="17"/>
              </w:rPr>
              <w:t xml:space="preserve">Agents, équipes, sous-traitants, missions</w:t>
            </w:r>
          </w:p>
        </w:tc>
      </w:tr>
      <w:tr>
        <w:tc>
          <w:tcPr>
            <w:shd w:val="clear" w:color="auto" w:fill="F2F9F8"/>
          </w:tcPr>
          <w:p>
            <w:pPr>
              <w:pStyle w:val="Compact"/>
              <w:spacing w:after="20" w:before="20" w:line="240" w:lineRule="auto"/>
              <w:jc w:val="left"/>
            </w:pPr>
            <w:r>
              <w:rPr>
                <w:sz w:val="17"/>
              </w:rPr>
              <w:t xml:space="preserve">Orchestration des paiements, grand livre, rapprochement</w:t>
            </w:r>
          </w:p>
        </w:tc>
        <w:tc>
          <w:tcPr>
            <w:shd w:val="clear" w:color="auto" w:fill="F2F9F8"/>
          </w:tcPr>
          <w:p>
            <w:pPr>
              <w:pStyle w:val="Compact"/>
              <w:spacing w:after="20" w:before="20" w:line="240" w:lineRule="auto"/>
              <w:jc w:val="left"/>
            </w:pPr>
            <w:r>
              <w:rPr>
                <w:sz w:val="17"/>
              </w:rPr>
              <w:t xml:space="preserve">Comptes publics bénéficiaires propres, verrouillés</w:t>
            </w:r>
          </w:p>
        </w:tc>
      </w:tr>
      <w:tr>
        <w:tc>
          <w:tcPr/>
          <w:p>
            <w:pPr>
              <w:pStyle w:val="Compact"/>
              <w:spacing w:after="20" w:before="20" w:line="240" w:lineRule="auto"/>
              <w:jc w:val="left"/>
            </w:pPr>
            <w:r>
              <w:rPr>
                <w:sz w:val="17"/>
              </w:rPr>
              <w:t xml:space="preserve">Moteur de titres et de preuves (§ 19A)</w:t>
            </w:r>
          </w:p>
        </w:tc>
        <w:tc>
          <w:tcPr/>
          <w:p>
            <w:pPr>
              <w:pStyle w:val="Compact"/>
              <w:spacing w:after="20" w:before="20" w:line="240" w:lineRule="auto"/>
              <w:jc w:val="left"/>
            </w:pPr>
            <w:r>
              <w:rPr>
                <w:sz w:val="17"/>
              </w:rPr>
              <w:t xml:space="preserve">Types de titres, modèles de QR, règles de validité</w:t>
            </w:r>
          </w:p>
        </w:tc>
      </w:tr>
      <w:tr>
        <w:tc>
          <w:tcPr>
            <w:shd w:val="clear" w:color="auto" w:fill="F2F9F8"/>
          </w:tcPr>
          <w:p>
            <w:pPr>
              <w:pStyle w:val="Compact"/>
              <w:spacing w:after="20" w:before="20" w:line="240" w:lineRule="auto"/>
              <w:jc w:val="left"/>
            </w:pPr>
            <w:r>
              <w:rPr>
                <w:sz w:val="17"/>
              </w:rPr>
              <w:t xml:space="preserve">Audit, sécurité, journal</w:t>
            </w:r>
          </w:p>
        </w:tc>
        <w:tc>
          <w:tcPr>
            <w:shd w:val="clear" w:color="auto" w:fill="F2F9F8"/>
          </w:tcPr>
          <w:p>
            <w:pPr>
              <w:pStyle w:val="Compact"/>
              <w:spacing w:after="20" w:before="20" w:line="240" w:lineRule="auto"/>
              <w:jc w:val="left"/>
            </w:pPr>
            <w:r>
              <w:rPr>
                <w:sz w:val="17"/>
              </w:rPr>
              <w:t xml:space="preserve">Tableaux de bord, rapports, indicateurs</w:t>
            </w:r>
          </w:p>
        </w:tc>
      </w:tr>
      <w:tr>
        <w:tc>
          <w:tcPr/>
          <w:p>
            <w:pPr>
              <w:pStyle w:val="Compact"/>
              <w:spacing w:after="20" w:before="20" w:line="240" w:lineRule="auto"/>
              <w:jc w:val="left"/>
            </w:pPr>
            <w:r>
              <w:rPr>
                <w:sz w:val="17"/>
              </w:rPr>
              <w:t xml:space="preserve">Notifications, SVI, USSD, SMS</w:t>
            </w:r>
          </w:p>
        </w:tc>
        <w:tc>
          <w:tcPr/>
          <w:p>
            <w:pPr>
              <w:pStyle w:val="Compact"/>
              <w:spacing w:after="20" w:before="20" w:line="240" w:lineRule="auto"/>
              <w:jc w:val="left"/>
            </w:pPr>
            <w:r>
              <w:rPr>
                <w:sz w:val="17"/>
              </w:rPr>
              <w:t xml:space="preserve">Modèles de messages et calendrier de campagnes</w:t>
            </w:r>
          </w:p>
        </w:tc>
      </w:tr>
    </w:tbl>
    <w:p>
      <w:pPr>
        <w:pStyle w:val="BodyText"/>
      </w:pPr>
      <w:r>
        <w:t xml:space="preserve">Chaque objet, règle, titre, paiement et événement porte l’identifiant de l’entité responsable. Le cloisonnement est appliqué par le système (filtrage par entité et par attributs), pas par consigne.</w:t>
      </w:r>
    </w:p>
    <w:bookmarkEnd w:id="73"/>
    <w:bookmarkStart w:id="74" w:name="Xd316896e43e77c22877acd8c5b5924a66e530d6"/>
    <w:p>
      <w:pPr>
        <w:pStyle w:val="Heading2"/>
      </w:pPr>
      <w:r>
        <w:t xml:space="preserve">10A.3 Coexistence et arbitrage des intérêts</w:t>
      </w:r>
    </w:p>
    <w:p>
      <w:pPr>
        <w:pStyle w:val="Compact"/>
        <w:numPr>
          <w:ilvl w:val="0"/>
          <w:numId w:val="1009"/>
        </w:numPr>
      </w:pPr>
      <w:r>
        <w:rPr>
          <w:b/>
          <w:bCs/>
        </w:rPr>
        <w:t xml:space="preserve">Une seule revendication par fait générateur</w:t>
      </w:r>
      <w:r>
        <w:t xml:space="preserve"> </w:t>
      </w:r>
      <w:r>
        <w:t xml:space="preserve">: lorsque deux entités revendiquent le même objet pour le même fait générateur et la même période, le moteur bloque la seconde obligation et ouvre un dossier d’arbitrage au comité juridique et tarifaire.</w:t>
      </w:r>
    </w:p>
    <w:p>
      <w:pPr>
        <w:pStyle w:val="Compact"/>
        <w:numPr>
          <w:ilvl w:val="0"/>
          <w:numId w:val="1009"/>
        </w:numPr>
      </w:pPr>
      <w:r>
        <w:rPr>
          <w:b/>
          <w:bCs/>
        </w:rPr>
        <w:t xml:space="preserve">Partage transparent</w:t>
      </w:r>
      <w:r>
        <w:t xml:space="preserve"> </w:t>
      </w:r>
      <w:r>
        <w:t xml:space="preserve">: lorsqu’une recette est partagée (clé de répartition légale), chaque entité voit sa part calculée, rapprochée et comptabilisée ; aucune ne peut modifier la clé.</w:t>
      </w:r>
    </w:p>
    <w:p>
      <w:pPr>
        <w:pStyle w:val="Compact"/>
        <w:numPr>
          <w:ilvl w:val="0"/>
          <w:numId w:val="1009"/>
        </w:numPr>
      </w:pPr>
      <w:r>
        <w:rPr>
          <w:b/>
          <w:bCs/>
        </w:rPr>
        <w:t xml:space="preserve">Aucune action hors périmètre</w:t>
      </w:r>
      <w:r>
        <w:t xml:space="preserve"> </w:t>
      </w:r>
      <w:r>
        <w:t xml:space="preserve">: une entité ne peut ni lire, ni modifier, ni suspendre une règle, un titre ou une obligation d’une autre entité ; les échanges passent par des API contractualisées.</w:t>
      </w:r>
    </w:p>
    <w:p>
      <w:pPr>
        <w:pStyle w:val="Compact"/>
        <w:numPr>
          <w:ilvl w:val="0"/>
          <w:numId w:val="1009"/>
        </w:numPr>
      </w:pPr>
      <w:r>
        <w:rPr>
          <w:b/>
          <w:bCs/>
        </w:rPr>
        <w:t xml:space="preserve">Dépendances explicites</w:t>
      </w:r>
      <w:r>
        <w:t xml:space="preserve"> </w:t>
      </w:r>
      <w:r>
        <w:t xml:space="preserve">: lorsqu’un service d’une entité dépend d’une autre (permis de bâtir conditionné au quitus, autorisation de transport conditionnée à la vignette), la condition est une règle versionnée, visible du citoyen.</w:t>
      </w:r>
    </w:p>
    <w:p>
      <w:pPr>
        <w:pStyle w:val="Compact"/>
        <w:numPr>
          <w:ilvl w:val="0"/>
          <w:numId w:val="1009"/>
        </w:numPr>
      </w:pPr>
      <w:r>
        <w:rPr>
          <w:b/>
          <w:bCs/>
        </w:rPr>
        <w:t xml:space="preserve">Accords de niveau de service entre entités</w:t>
      </w:r>
      <w:r>
        <w:t xml:space="preserve"> </w:t>
      </w:r>
      <w:r>
        <w:t xml:space="preserve">: délais d’instruction, de reversement et de réponse aux vérifications, suivis au tableau de bord et à l’audit.</w:t>
      </w:r>
    </w:p>
    <w:p>
      <w:pPr>
        <w:pStyle w:val="Compact"/>
        <w:numPr>
          <w:ilvl w:val="0"/>
          <w:numId w:val="1009"/>
        </w:numPr>
      </w:pPr>
      <w:r>
        <w:rPr>
          <w:b/>
          <w:bCs/>
        </w:rPr>
        <w:t xml:space="preserve">Transparence pour le citoyen</w:t>
      </w:r>
      <w:r>
        <w:t xml:space="preserve"> </w:t>
      </w:r>
      <w:r>
        <w:t xml:space="preserve">: dans son compte unique, chaque obligation et chaque titre indiquent l’entité responsable, sa base légale et la voie de recours.</w:t>
      </w:r>
    </w:p>
    <w:bookmarkEnd w:id="74"/>
    <w:bookmarkStart w:id="75" w:name="X0930b388b4a3dfb32b25321c246fd7c9aec3a1b"/>
    <w:p>
      <w:pPr>
        <w:pStyle w:val="Heading2"/>
      </w:pPr>
      <w:r>
        <w:t xml:space="preserve">10A.4 Ajouter une entité ou un service sans redéveloppement</w:t>
      </w:r>
    </w:p>
    <w:p>
      <w:pPr>
        <w:pStyle w:val="FirstParagraph"/>
      </w:pPr>
      <w:r>
        <w:t xml:space="preserve">Chaque nouveau service est décrit par une</w:t>
      </w:r>
      <w:r>
        <w:t xml:space="preserve"> </w:t>
      </w:r>
      <w:r>
        <w:rPr>
          <w:b/>
          <w:bCs/>
        </w:rPr>
        <w:t xml:space="preserve">fiche de configuration de module</w:t>
      </w:r>
      <w:r>
        <w:t xml:space="preserve">, validée en maker-checker par le programme, le juridique et l’entité concernée, puis testée en environnement de recette avant activation.</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Élément de la fiche</w:t>
            </w:r>
          </w:p>
        </w:tc>
        <w:tc>
          <w:tcPr>
            <w:shd w:val="clear" w:color="auto" w:fill="1BA996"/>
          </w:tcPr>
          <w:p>
            <w:pPr>
              <w:pStyle w:val="Compact"/>
              <w:spacing w:after="20" w:before="20" w:line="240" w:lineRule="auto"/>
              <w:jc w:val="left"/>
            </w:pPr>
            <w:r>
              <w:rPr>
                <w:b/>
                <w:color w:val="FFFFFF"/>
                <w:sz w:val="17"/>
              </w:rPr>
              <w:t xml:space="preserve">Contenu</w:t>
            </w:r>
          </w:p>
        </w:tc>
      </w:tr>
      <w:tr>
        <w:tc>
          <w:tcPr/>
          <w:p>
            <w:pPr>
              <w:pStyle w:val="Compact"/>
              <w:spacing w:after="20" w:before="20" w:line="240" w:lineRule="auto"/>
              <w:jc w:val="left"/>
            </w:pPr>
            <w:r>
              <w:rPr>
                <w:sz w:val="17"/>
              </w:rPr>
              <w:t xml:space="preserve">Entité responsable</w:t>
            </w:r>
          </w:p>
        </w:tc>
        <w:tc>
          <w:tcPr/>
          <w:p>
            <w:pPr>
              <w:pStyle w:val="Compact"/>
              <w:spacing w:after="20" w:before="20" w:line="240" w:lineRule="auto"/>
              <w:jc w:val="left"/>
            </w:pPr>
            <w:r>
              <w:rPr>
                <w:sz w:val="17"/>
              </w:rPr>
              <w:t xml:space="preserve">Administration compétente, responsable de module, comptes bénéficiaires</w:t>
            </w:r>
          </w:p>
        </w:tc>
      </w:tr>
      <w:tr>
        <w:tc>
          <w:tcPr>
            <w:shd w:val="clear" w:color="auto" w:fill="F2F9F8"/>
          </w:tcPr>
          <w:p>
            <w:pPr>
              <w:pStyle w:val="Compact"/>
              <w:spacing w:after="20" w:before="20" w:line="240" w:lineRule="auto"/>
              <w:jc w:val="left"/>
            </w:pPr>
            <w:r>
              <w:rPr>
                <w:sz w:val="17"/>
              </w:rPr>
              <w:t xml:space="preserve">Types d’objets</w:t>
            </w:r>
          </w:p>
        </w:tc>
        <w:tc>
          <w:tcPr>
            <w:shd w:val="clear" w:color="auto" w:fill="F2F9F8"/>
          </w:tcPr>
          <w:p>
            <w:pPr>
              <w:pStyle w:val="Compact"/>
              <w:spacing w:after="20" w:before="20" w:line="240" w:lineRule="auto"/>
              <w:jc w:val="left"/>
            </w:pPr>
            <w:r>
              <w:rPr>
                <w:sz w:val="17"/>
              </w:rPr>
              <w:t xml:space="preserve">Parcelle, véhicule, emplacement, panneau, étal, embarcation, événement, etc.</w:t>
            </w:r>
          </w:p>
        </w:tc>
      </w:tr>
      <w:tr>
        <w:tc>
          <w:tcPr/>
          <w:p>
            <w:pPr>
              <w:pStyle w:val="Compact"/>
              <w:spacing w:after="20" w:before="20" w:line="240" w:lineRule="auto"/>
              <w:jc w:val="left"/>
            </w:pPr>
            <w:r>
              <w:rPr>
                <w:sz w:val="17"/>
              </w:rPr>
              <w:t xml:space="preserve">Règles de recettes</w:t>
            </w:r>
          </w:p>
        </w:tc>
        <w:tc>
          <w:tcPr/>
          <w:p>
            <w:pPr>
              <w:pStyle w:val="Compact"/>
              <w:spacing w:after="20" w:before="20" w:line="240" w:lineRule="auto"/>
              <w:jc w:val="left"/>
            </w:pPr>
            <w:r>
              <w:rPr>
                <w:sz w:val="17"/>
              </w:rPr>
              <w:t xml:space="preserve">Références au registre juridique (§ 6.2)</w:t>
            </w:r>
          </w:p>
        </w:tc>
      </w:tr>
      <w:tr>
        <w:tc>
          <w:tcPr>
            <w:shd w:val="clear" w:color="auto" w:fill="F2F9F8"/>
          </w:tcPr>
          <w:p>
            <w:pPr>
              <w:pStyle w:val="Compact"/>
              <w:spacing w:after="20" w:before="20" w:line="240" w:lineRule="auto"/>
              <w:jc w:val="left"/>
            </w:pPr>
            <w:r>
              <w:rPr>
                <w:sz w:val="17"/>
              </w:rPr>
              <w:t xml:space="preserve">Types de titres et de preuves</w:t>
            </w:r>
          </w:p>
        </w:tc>
        <w:tc>
          <w:tcPr>
            <w:shd w:val="clear" w:color="auto" w:fill="F2F9F8"/>
          </w:tcPr>
          <w:p>
            <w:pPr>
              <w:pStyle w:val="Compact"/>
              <w:spacing w:after="20" w:before="20" w:line="240" w:lineRule="auto"/>
              <w:jc w:val="left"/>
            </w:pPr>
            <w:r>
              <w:rPr>
                <w:sz w:val="17"/>
              </w:rPr>
              <w:t xml:space="preserve">Selon le catalogue du § 19A.4</w:t>
            </w:r>
          </w:p>
        </w:tc>
      </w:tr>
      <w:tr>
        <w:tc>
          <w:tcPr/>
          <w:p>
            <w:pPr>
              <w:pStyle w:val="Compact"/>
              <w:spacing w:after="20" w:before="20" w:line="240" w:lineRule="auto"/>
              <w:jc w:val="left"/>
            </w:pPr>
            <w:r>
              <w:rPr>
                <w:sz w:val="17"/>
              </w:rPr>
              <w:t xml:space="preserve">Modèle de validité</w:t>
            </w:r>
          </w:p>
        </w:tc>
        <w:tc>
          <w:tcPr/>
          <w:p>
            <w:pPr>
              <w:pStyle w:val="Compact"/>
              <w:spacing w:after="20" w:before="20" w:line="240" w:lineRule="auto"/>
              <w:jc w:val="left"/>
            </w:pPr>
            <w:r>
              <w:rPr>
                <w:sz w:val="17"/>
              </w:rPr>
              <w:t xml:space="preserve">Horaire, journalier, hebdomadaire, mensuel, annuel, par usage, par événement (§ 19A.3)</w:t>
            </w:r>
          </w:p>
        </w:tc>
      </w:tr>
      <w:tr>
        <w:tc>
          <w:tcPr>
            <w:shd w:val="clear" w:color="auto" w:fill="F2F9F8"/>
          </w:tcPr>
          <w:p>
            <w:pPr>
              <w:pStyle w:val="Compact"/>
              <w:spacing w:after="20" w:before="20" w:line="240" w:lineRule="auto"/>
              <w:jc w:val="left"/>
            </w:pPr>
            <w:r>
              <w:rPr>
                <w:sz w:val="17"/>
              </w:rPr>
              <w:t xml:space="preserve">Mécanismes de preuve</w:t>
            </w:r>
          </w:p>
        </w:tc>
        <w:tc>
          <w:tcPr>
            <w:shd w:val="clear" w:color="auto" w:fill="F2F9F8"/>
          </w:tcPr>
          <w:p>
            <w:pPr>
              <w:pStyle w:val="Compact"/>
              <w:spacing w:after="20" w:before="20" w:line="240" w:lineRule="auto"/>
              <w:jc w:val="left"/>
            </w:pPr>
            <w:r>
              <w:rPr>
                <w:sz w:val="17"/>
              </w:rPr>
              <w:t xml:space="preserve">QR dynamique ou statique, plaque, vignette, SMS, carte, reçu imprimé, lecture de plaque d’immatriculation</w:t>
            </w:r>
          </w:p>
        </w:tc>
      </w:tr>
      <w:tr>
        <w:tc>
          <w:tcPr/>
          <w:p>
            <w:pPr>
              <w:pStyle w:val="Compact"/>
              <w:spacing w:after="20" w:before="20" w:line="240" w:lineRule="auto"/>
              <w:jc w:val="left"/>
            </w:pPr>
            <w:r>
              <w:rPr>
                <w:sz w:val="17"/>
              </w:rPr>
              <w:t xml:space="preserve">Règles d’usage</w:t>
            </w:r>
          </w:p>
        </w:tc>
        <w:tc>
          <w:tcPr/>
          <w:p>
            <w:pPr>
              <w:pStyle w:val="Compact"/>
              <w:spacing w:after="20" w:before="20" w:line="240" w:lineRule="auto"/>
              <w:jc w:val="left"/>
            </w:pPr>
            <w:r>
              <w:rPr>
                <w:sz w:val="17"/>
              </w:rPr>
              <w:t xml:space="preserve">Usage unique ou multiple, zone, transférabilité, tolérance, prolongation, remboursement</w:t>
            </w:r>
          </w:p>
        </w:tc>
      </w:tr>
      <w:tr>
        <w:tc>
          <w:tcPr>
            <w:shd w:val="clear" w:color="auto" w:fill="F2F9F8"/>
          </w:tcPr>
          <w:p>
            <w:pPr>
              <w:pStyle w:val="Compact"/>
              <w:spacing w:after="20" w:before="20" w:line="240" w:lineRule="auto"/>
              <w:jc w:val="left"/>
            </w:pPr>
            <w:r>
              <w:rPr>
                <w:sz w:val="17"/>
              </w:rPr>
              <w:t xml:space="preserve">Canaux</w:t>
            </w:r>
          </w:p>
        </w:tc>
        <w:tc>
          <w:tcPr>
            <w:shd w:val="clear" w:color="auto" w:fill="F2F9F8"/>
          </w:tcPr>
          <w:p>
            <w:pPr>
              <w:pStyle w:val="Compact"/>
              <w:spacing w:after="20" w:before="20" w:line="240" w:lineRule="auto"/>
              <w:jc w:val="left"/>
            </w:pPr>
            <w:r>
              <w:rPr>
                <w:sz w:val="17"/>
              </w:rPr>
              <w:t xml:space="preserve">Application, USSD, SVI, guichet, point de paiement, agent, terminal</w:t>
            </w:r>
          </w:p>
        </w:tc>
      </w:tr>
      <w:tr>
        <w:tc>
          <w:tcPr/>
          <w:p>
            <w:pPr>
              <w:pStyle w:val="Compact"/>
              <w:spacing w:after="20" w:before="20" w:line="240" w:lineRule="auto"/>
              <w:jc w:val="left"/>
            </w:pPr>
            <w:r>
              <w:rPr>
                <w:sz w:val="17"/>
              </w:rPr>
              <w:t xml:space="preserve">Workflows terrain</w:t>
            </w:r>
          </w:p>
        </w:tc>
        <w:tc>
          <w:tcPr/>
          <w:p>
            <w:pPr>
              <w:pStyle w:val="Compact"/>
              <w:spacing w:after="20" w:before="20" w:line="240" w:lineRule="auto"/>
              <w:jc w:val="left"/>
            </w:pPr>
            <w:r>
              <w:rPr>
                <w:sz w:val="17"/>
              </w:rPr>
              <w:t xml:space="preserve">Missions, constats, contrôles, équipes et sous-traitants (§ 15A)</w:t>
            </w:r>
          </w:p>
        </w:tc>
      </w:tr>
      <w:tr>
        <w:tc>
          <w:tcPr>
            <w:shd w:val="clear" w:color="auto" w:fill="F2F9F8"/>
          </w:tcPr>
          <w:p>
            <w:pPr>
              <w:pStyle w:val="Compact"/>
              <w:spacing w:after="20" w:before="20" w:line="240" w:lineRule="auto"/>
              <w:jc w:val="left"/>
            </w:pPr>
            <w:r>
              <w:rPr>
                <w:sz w:val="17"/>
              </w:rPr>
              <w:t xml:space="preserve">Tableaux de bord</w:t>
            </w:r>
          </w:p>
        </w:tc>
        <w:tc>
          <w:tcPr>
            <w:shd w:val="clear" w:color="auto" w:fill="F2F9F8"/>
          </w:tcPr>
          <w:p>
            <w:pPr>
              <w:pStyle w:val="Compact"/>
              <w:spacing w:after="20" w:before="20" w:line="240" w:lineRule="auto"/>
              <w:jc w:val="left"/>
            </w:pPr>
            <w:r>
              <w:rPr>
                <w:sz w:val="17"/>
              </w:rPr>
              <w:t xml:space="preserve">Indicateurs propres à l’entité</w:t>
            </w:r>
          </w:p>
        </w:tc>
      </w:tr>
      <w:tr>
        <w:tc>
          <w:tcPr/>
          <w:p>
            <w:pPr>
              <w:pStyle w:val="Compact"/>
              <w:spacing w:after="20" w:before="20" w:line="240" w:lineRule="auto"/>
              <w:jc w:val="left"/>
            </w:pPr>
            <w:r>
              <w:rPr>
                <w:sz w:val="17"/>
              </w:rPr>
              <w:t xml:space="preserve">Dépendances</w:t>
            </w:r>
          </w:p>
        </w:tc>
        <w:tc>
          <w:tcPr/>
          <w:p>
            <w:pPr>
              <w:pStyle w:val="Compact"/>
              <w:spacing w:after="20" w:before="20" w:line="240" w:lineRule="auto"/>
              <w:jc w:val="left"/>
            </w:pPr>
            <w:r>
              <w:rPr>
                <w:sz w:val="17"/>
              </w:rPr>
              <w:t xml:space="preserve">Conditions vis-à-vis d’autres modules ou entités</w:t>
            </w:r>
          </w:p>
        </w:tc>
      </w:tr>
    </w:tbl>
    <w:p>
      <w:pPr>
        <w:pStyle w:val="BodyText"/>
      </w:pPr>
      <w:r>
        <w:t xml:space="preserve">Ce mécanisme permet d’intégrer progressivement ParkSmart, KIN-AVIA FISCUS, les marchés, les ports ou tout service futur sur le même socle.</w:t>
      </w:r>
    </w:p>
    <w:p>
      <w:pPr>
        <w:pStyle w:val="BodyText"/>
      </w:pPr>
      <w:r>
        <w:rPr>
          <w:b/>
          <w:bCs/>
        </w:rPr>
        <w:t xml:space="preserve">Critère d’acceptation.</w:t>
      </w:r>
      <w:r>
        <w:t xml:space="preserve"> </w:t>
      </w:r>
      <w:r>
        <w:rPr>
          <w:b/>
          <w:bCs/>
        </w:rPr>
        <w:t xml:space="preserve">Étant donné</w:t>
      </w:r>
      <w:r>
        <w:t xml:space="preserve"> </w:t>
      </w:r>
      <w:r>
        <w:t xml:space="preserve">deux entités revendiquant le même fait générateur pour le même objet et la même période,</w:t>
      </w:r>
      <w:r>
        <w:t xml:space="preserve"> </w:t>
      </w:r>
      <w:r>
        <w:rPr>
          <w:b/>
          <w:bCs/>
        </w:rPr>
        <w:t xml:space="preserve">lorsque</w:t>
      </w:r>
      <w:r>
        <w:t xml:space="preserve"> </w:t>
      </w:r>
      <w:r>
        <w:t xml:space="preserve">la seconde tente de créer l’obligation,</w:t>
      </w:r>
      <w:r>
        <w:t xml:space="preserve"> </w:t>
      </w:r>
      <w:r>
        <w:rPr>
          <w:b/>
          <w:bCs/>
        </w:rPr>
        <w:t xml:space="preserve">alors</w:t>
      </w:r>
      <w:r>
        <w:t xml:space="preserve"> </w:t>
      </w:r>
      <w:r>
        <w:t xml:space="preserve">le système la bloque, ouvre un dossier d’arbitrage et n’expose au citoyen aucune double obligation.</w:t>
      </w:r>
    </w:p>
    <w:bookmarkEnd w:id="75"/>
    <w:bookmarkEnd w:id="76"/>
    <w:bookmarkStart w:id="81" w:name="catalogue-des-modules"/>
    <w:p>
      <w:pPr>
        <w:pStyle w:val="Heading1"/>
      </w:pPr>
      <w:r>
        <w:t xml:space="preserve">11. Catalogue des modules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880"/>
        <w:gridCol w:w="2151"/>
        <w:gridCol w:w="4693"/>
      </w:tblGrid>
      <w:tr>
        <w:trPr>
          <w:tblHeader w:val="true"/>
          <w:tblHeader/>
        </w:trPr>
        <w:tc>
          <w:tcPr>
            <w:shd w:val="clear" w:color="auto" w:fill="1BA996"/>
          </w:tcPr>
          <w:p>
            <w:pPr>
              <w:pStyle w:val="Compact"/>
              <w:spacing w:after="20" w:before="20" w:line="240" w:lineRule="auto"/>
              <w:jc w:val="left"/>
            </w:pPr>
            <w:r>
              <w:rPr>
                <w:b/>
                <w:bCs/>
                <w:color w:val="FFFFFF"/>
                <w:sz w:val="17"/>
              </w:rPr>
              <w:t xml:space="preserve">N°</w:t>
            </w:r>
          </w:p>
        </w:tc>
        <w:tc>
          <w:tcPr>
            <w:shd w:val="clear" w:color="auto" w:fill="1BA996"/>
          </w:tcPr>
          <w:p>
            <w:pPr>
              <w:pStyle w:val="Compact"/>
              <w:spacing w:after="20" w:before="20" w:line="240" w:lineRule="auto"/>
              <w:jc w:val="left"/>
            </w:pPr>
            <w:r>
              <w:rPr>
                <w:b/>
                <w:bCs/>
                <w:color w:val="FFFFFF"/>
                <w:sz w:val="17"/>
              </w:rPr>
              <w:t xml:space="preserve">Module</w:t>
            </w:r>
          </w:p>
        </w:tc>
        <w:tc>
          <w:tcPr>
            <w:shd w:val="clear" w:color="auto" w:fill="1BA996"/>
          </w:tcPr>
          <w:p>
            <w:pPr>
              <w:pStyle w:val="Compact"/>
              <w:spacing w:after="20" w:before="20" w:line="240" w:lineRule="auto"/>
              <w:jc w:val="left"/>
            </w:pPr>
            <w:r>
              <w:rPr>
                <w:b/>
                <w:bCs/>
                <w:color w:val="FFFFFF"/>
                <w:sz w:val="17"/>
              </w:rPr>
              <w:t xml:space="preserve">Fonction principale</w:t>
            </w:r>
          </w:p>
        </w:tc>
      </w:tr>
      <w:tr>
        <w:tc>
          <w:tcPr/>
          <w:p>
            <w:pPr>
              <w:pStyle w:val="Compact"/>
              <w:spacing w:after="20" w:before="20" w:line="240" w:lineRule="auto"/>
              <w:jc w:val="left"/>
            </w:pPr>
            <w:r>
              <w:rPr>
                <w:sz w:val="17"/>
              </w:rPr>
              <w:t xml:space="preserve">1</w:t>
            </w:r>
          </w:p>
        </w:tc>
        <w:tc>
          <w:tcPr/>
          <w:p>
            <w:pPr>
              <w:pStyle w:val="Compact"/>
              <w:spacing w:after="20" w:before="20" w:line="240" w:lineRule="auto"/>
              <w:jc w:val="left"/>
            </w:pPr>
            <w:r>
              <w:rPr>
                <w:sz w:val="17"/>
              </w:rPr>
              <w:t xml:space="preserve">Identité et compte</w:t>
            </w:r>
            <w:r>
              <w:rPr>
                <w:sz w:val="17"/>
              </w:rPr>
              <w:t xml:space="preserve"> </w:t>
            </w:r>
            <w:r>
              <w:rPr>
                <w:sz w:val="17"/>
              </w:rPr>
              <w:t xml:space="preserve">contribuable</w:t>
            </w:r>
          </w:p>
        </w:tc>
        <w:tc>
          <w:tcPr/>
          <w:p>
            <w:pPr>
              <w:pStyle w:val="Compact"/>
              <w:spacing w:after="20" w:before="20" w:line="240" w:lineRule="auto"/>
              <w:jc w:val="left"/>
            </w:pPr>
            <w:r>
              <w:rPr>
                <w:sz w:val="17"/>
              </w:rPr>
              <w:t xml:space="preserve">Compte unique, rôles, mandats, niveaux de</w:t>
            </w:r>
            <w:r>
              <w:rPr>
                <w:sz w:val="17"/>
              </w:rPr>
              <w:t xml:space="preserve"> </w:t>
            </w:r>
            <w:r>
              <w:rPr>
                <w:sz w:val="17"/>
              </w:rPr>
              <w:t xml:space="preserve">vérification</w:t>
            </w:r>
          </w:p>
        </w:tc>
      </w:tr>
      <w:tr>
        <w:tc>
          <w:tcPr>
            <w:shd w:val="clear" w:color="auto" w:fill="F2F9F8"/>
          </w:tcPr>
          <w:p>
            <w:pPr>
              <w:pStyle w:val="Compact"/>
              <w:spacing w:after="20" w:before="20" w:line="240" w:lineRule="auto"/>
              <w:jc w:val="left"/>
            </w:pPr>
            <w:r>
              <w:rPr>
                <w:sz w:val="17"/>
              </w:rPr>
              <w:t xml:space="preserve">2</w:t>
            </w:r>
          </w:p>
        </w:tc>
        <w:tc>
          <w:tcPr>
            <w:shd w:val="clear" w:color="auto" w:fill="F2F9F8"/>
          </w:tcPr>
          <w:p>
            <w:pPr>
              <w:pStyle w:val="Compact"/>
              <w:spacing w:after="20" w:before="20" w:line="240" w:lineRule="auto"/>
              <w:jc w:val="left"/>
            </w:pPr>
            <w:r>
              <w:rPr>
                <w:sz w:val="17"/>
              </w:rPr>
              <w:t xml:space="preserve">Enrôlement et</w:t>
            </w:r>
            <w:r>
              <w:rPr>
                <w:sz w:val="17"/>
              </w:rPr>
              <w:t xml:space="preserve"> </w:t>
            </w:r>
            <w:r>
              <w:rPr>
                <w:sz w:val="17"/>
              </w:rPr>
              <w:t xml:space="preserve">vérification</w:t>
            </w:r>
          </w:p>
        </w:tc>
        <w:tc>
          <w:tcPr>
            <w:shd w:val="clear" w:color="auto" w:fill="F2F9F8"/>
          </w:tcPr>
          <w:p>
            <w:pPr>
              <w:pStyle w:val="Compact"/>
              <w:spacing w:after="20" w:before="20" w:line="240" w:lineRule="auto"/>
              <w:jc w:val="left"/>
            </w:pPr>
            <w:r>
              <w:rPr>
                <w:sz w:val="17"/>
              </w:rPr>
              <w:t xml:space="preserve">Parcours par profil, contrôle des pièces,</w:t>
            </w:r>
            <w:r>
              <w:rPr>
                <w:sz w:val="17"/>
              </w:rPr>
              <w:t xml:space="preserve"> </w:t>
            </w:r>
            <w:r>
              <w:rPr>
                <w:sz w:val="17"/>
              </w:rPr>
              <w:t xml:space="preserve">anti-doublon</w:t>
            </w:r>
          </w:p>
        </w:tc>
      </w:tr>
      <w:tr>
        <w:tc>
          <w:tcPr/>
          <w:p>
            <w:pPr>
              <w:pStyle w:val="Compact"/>
              <w:spacing w:after="20" w:before="20" w:line="240" w:lineRule="auto"/>
              <w:jc w:val="left"/>
            </w:pPr>
            <w:r>
              <w:rPr>
                <w:sz w:val="17"/>
              </w:rPr>
              <w:t xml:space="preserve">3</w:t>
            </w:r>
          </w:p>
        </w:tc>
        <w:tc>
          <w:tcPr/>
          <w:p>
            <w:pPr>
              <w:pStyle w:val="Compact"/>
              <w:spacing w:after="20" w:before="20" w:line="240" w:lineRule="auto"/>
              <w:jc w:val="left"/>
            </w:pPr>
            <w:r>
              <w:rPr>
                <w:sz w:val="17"/>
              </w:rPr>
              <w:t xml:space="preserve">Portail contribuable</w:t>
            </w:r>
          </w:p>
        </w:tc>
        <w:tc>
          <w:tcPr/>
          <w:p>
            <w:pPr>
              <w:pStyle w:val="Compact"/>
              <w:spacing w:after="20" w:before="20" w:line="240" w:lineRule="auto"/>
              <w:jc w:val="left"/>
            </w:pPr>
            <w:r>
              <w:rPr>
                <w:sz w:val="17"/>
              </w:rPr>
              <w:t xml:space="preserve">Vue des objets, obligations, paiements, recours</w:t>
            </w:r>
          </w:p>
        </w:tc>
      </w:tr>
      <w:tr>
        <w:tc>
          <w:tcPr>
            <w:shd w:val="clear" w:color="auto" w:fill="F2F9F8"/>
          </w:tcPr>
          <w:p>
            <w:pPr>
              <w:pStyle w:val="Compact"/>
              <w:spacing w:after="20" w:before="20" w:line="240" w:lineRule="auto"/>
              <w:jc w:val="left"/>
            </w:pPr>
            <w:r>
              <w:rPr>
                <w:sz w:val="17"/>
              </w:rPr>
              <w:t xml:space="preserve">4</w:t>
            </w:r>
          </w:p>
        </w:tc>
        <w:tc>
          <w:tcPr>
            <w:shd w:val="clear" w:color="auto" w:fill="F2F9F8"/>
          </w:tcPr>
          <w:p>
            <w:pPr>
              <w:pStyle w:val="Compact"/>
              <w:spacing w:after="20" w:before="20" w:line="240" w:lineRule="auto"/>
              <w:jc w:val="left"/>
            </w:pPr>
            <w:r>
              <w:rPr>
                <w:sz w:val="17"/>
              </w:rPr>
              <w:t xml:space="preserve">Application citoyenne</w:t>
            </w:r>
            <w:r>
              <w:rPr>
                <w:sz w:val="17"/>
              </w:rPr>
              <w:t xml:space="preserve"> </w:t>
            </w:r>
            <w:r>
              <w:rPr>
                <w:sz w:val="17"/>
              </w:rPr>
              <w:t xml:space="preserve">Android</w:t>
            </w:r>
          </w:p>
        </w:tc>
        <w:tc>
          <w:tcPr>
            <w:shd w:val="clear" w:color="auto" w:fill="F2F9F8"/>
          </w:tcPr>
          <w:p>
            <w:pPr>
              <w:pStyle w:val="Compact"/>
              <w:spacing w:after="20" w:before="20" w:line="240" w:lineRule="auto"/>
              <w:jc w:val="left"/>
            </w:pPr>
            <w:r>
              <w:rPr>
                <w:sz w:val="17"/>
              </w:rPr>
              <w:t xml:space="preserve">Accès mobile, paiement, quittance, QR</w:t>
            </w:r>
          </w:p>
        </w:tc>
      </w:tr>
      <w:tr>
        <w:tc>
          <w:tcPr/>
          <w:p>
            <w:pPr>
              <w:pStyle w:val="Compact"/>
              <w:spacing w:after="20" w:before="20" w:line="240" w:lineRule="auto"/>
              <w:jc w:val="left"/>
            </w:pPr>
            <w:r>
              <w:rPr>
                <w:sz w:val="17"/>
              </w:rPr>
              <w:t xml:space="preserve">5</w:t>
            </w:r>
          </w:p>
        </w:tc>
        <w:tc>
          <w:tcPr/>
          <w:p>
            <w:pPr>
              <w:pStyle w:val="Compact"/>
              <w:spacing w:after="20" w:before="20" w:line="240" w:lineRule="auto"/>
              <w:jc w:val="left"/>
            </w:pPr>
            <w:r>
              <w:rPr>
                <w:sz w:val="17"/>
              </w:rPr>
              <w:t xml:space="preserve">Portail web public</w:t>
            </w:r>
          </w:p>
        </w:tc>
        <w:tc>
          <w:tcPr/>
          <w:p>
            <w:pPr>
              <w:pStyle w:val="Compact"/>
              <w:spacing w:after="20" w:before="20" w:line="240" w:lineRule="auto"/>
              <w:jc w:val="left"/>
            </w:pPr>
            <w:r>
              <w:rPr>
                <w:sz w:val="17"/>
              </w:rPr>
              <w:t xml:space="preserve">Information, simulateurs, vérification de</w:t>
            </w:r>
            <w:r>
              <w:rPr>
                <w:sz w:val="17"/>
              </w:rPr>
              <w:t xml:space="preserve"> </w:t>
            </w:r>
            <w:r>
              <w:rPr>
                <w:sz w:val="17"/>
              </w:rPr>
              <w:t xml:space="preserve">quittance</w:t>
            </w:r>
          </w:p>
        </w:tc>
      </w:tr>
      <w:tr>
        <w:tc>
          <w:tcPr>
            <w:shd w:val="clear" w:color="auto" w:fill="F2F9F8"/>
          </w:tcPr>
          <w:p>
            <w:pPr>
              <w:pStyle w:val="Compact"/>
              <w:spacing w:after="20" w:before="20" w:line="240" w:lineRule="auto"/>
              <w:jc w:val="left"/>
            </w:pPr>
            <w:r>
              <w:rPr>
                <w:sz w:val="17"/>
              </w:rPr>
              <w:t xml:space="preserve">6</w:t>
            </w:r>
          </w:p>
        </w:tc>
        <w:tc>
          <w:tcPr>
            <w:shd w:val="clear" w:color="auto" w:fill="F2F9F8"/>
          </w:tcPr>
          <w:p>
            <w:pPr>
              <w:pStyle w:val="Compact"/>
              <w:spacing w:after="20" w:before="20" w:line="240" w:lineRule="auto"/>
              <w:jc w:val="left"/>
            </w:pPr>
            <w:r>
              <w:rPr>
                <w:sz w:val="17"/>
              </w:rPr>
              <w:t xml:space="preserve">USSD et SMS</w:t>
            </w:r>
          </w:p>
        </w:tc>
        <w:tc>
          <w:tcPr>
            <w:shd w:val="clear" w:color="auto" w:fill="F2F9F8"/>
          </w:tcPr>
          <w:p>
            <w:pPr>
              <w:pStyle w:val="Compact"/>
              <w:spacing w:after="20" w:before="20" w:line="240" w:lineRule="auto"/>
              <w:jc w:val="left"/>
            </w:pPr>
            <w:r>
              <w:rPr>
                <w:sz w:val="17"/>
              </w:rPr>
              <w:t xml:space="preserve">Consultation et paiement sans smartphone,</w:t>
            </w:r>
            <w:r>
              <w:rPr>
                <w:sz w:val="17"/>
              </w:rPr>
              <w:t xml:space="preserve"> </w:t>
            </w:r>
            <w:r>
              <w:rPr>
                <w:sz w:val="17"/>
              </w:rPr>
              <w:t xml:space="preserve">notifications</w:t>
            </w:r>
          </w:p>
        </w:tc>
      </w:tr>
      <w:tr>
        <w:tc>
          <w:tcPr/>
          <w:p>
            <w:pPr>
              <w:pStyle w:val="Compact"/>
              <w:spacing w:after="20" w:before="20" w:line="240" w:lineRule="auto"/>
              <w:jc w:val="left"/>
            </w:pPr>
            <w:r>
              <w:rPr>
                <w:sz w:val="17"/>
              </w:rPr>
              <w:t xml:space="preserve">7</w:t>
            </w:r>
          </w:p>
        </w:tc>
        <w:tc>
          <w:tcPr/>
          <w:p>
            <w:pPr>
              <w:pStyle w:val="Compact"/>
              <w:spacing w:after="20" w:before="20" w:line="240" w:lineRule="auto"/>
              <w:jc w:val="left"/>
            </w:pPr>
            <w:r>
              <w:rPr>
                <w:sz w:val="17"/>
              </w:rPr>
              <w:t xml:space="preserve">Gestionnaire de</w:t>
            </w:r>
            <w:r>
              <w:rPr>
                <w:sz w:val="17"/>
              </w:rPr>
              <w:t xml:space="preserve"> </w:t>
            </w:r>
            <w:r>
              <w:rPr>
                <w:sz w:val="17"/>
              </w:rPr>
              <w:t xml:space="preserve">relations</w:t>
            </w:r>
            <w:r>
              <w:rPr>
                <w:sz w:val="17"/>
              </w:rPr>
              <w:t xml:space="preserve"> </w:t>
            </w:r>
            <w:r>
              <w:rPr>
                <w:sz w:val="17"/>
              </w:rPr>
              <w:t xml:space="preserve">contribuable–objet</w:t>
            </w:r>
          </w:p>
        </w:tc>
        <w:tc>
          <w:tcPr/>
          <w:p>
            <w:pPr>
              <w:pStyle w:val="Compact"/>
              <w:spacing w:after="20" w:before="20" w:line="240" w:lineRule="auto"/>
              <w:jc w:val="left"/>
            </w:pPr>
            <w:r>
              <w:rPr>
                <w:sz w:val="17"/>
              </w:rPr>
              <w:t xml:space="preserve">Rattachement, détachement, preuve, historique</w:t>
            </w:r>
          </w:p>
        </w:tc>
      </w:tr>
      <w:tr>
        <w:tc>
          <w:tcPr>
            <w:shd w:val="clear" w:color="auto" w:fill="F2F9F8"/>
          </w:tcPr>
          <w:p>
            <w:pPr>
              <w:pStyle w:val="Compact"/>
              <w:spacing w:after="20" w:before="20" w:line="240" w:lineRule="auto"/>
              <w:jc w:val="left"/>
            </w:pPr>
            <w:r>
              <w:rPr>
                <w:sz w:val="17"/>
              </w:rPr>
              <w:t xml:space="preserve">8</w:t>
            </w:r>
          </w:p>
        </w:tc>
        <w:tc>
          <w:tcPr>
            <w:shd w:val="clear" w:color="auto" w:fill="F2F9F8"/>
          </w:tcPr>
          <w:p>
            <w:pPr>
              <w:pStyle w:val="Compact"/>
              <w:spacing w:after="20" w:before="20" w:line="240" w:lineRule="auto"/>
              <w:jc w:val="left"/>
            </w:pPr>
            <w:r>
              <w:rPr>
                <w:sz w:val="17"/>
              </w:rPr>
              <w:t xml:space="preserve">Cadastre fiscal</w:t>
            </w:r>
            <w:r>
              <w:rPr>
                <w:sz w:val="17"/>
              </w:rPr>
              <w:t xml:space="preserve"> </w:t>
            </w:r>
            <w:r>
              <w:rPr>
                <w:sz w:val="17"/>
              </w:rPr>
              <w:t xml:space="preserve">géospatial</w:t>
            </w:r>
          </w:p>
        </w:tc>
        <w:tc>
          <w:tcPr>
            <w:shd w:val="clear" w:color="auto" w:fill="F2F9F8"/>
          </w:tcPr>
          <w:p>
            <w:pPr>
              <w:pStyle w:val="Compact"/>
              <w:spacing w:after="20" w:before="20" w:line="240" w:lineRule="auto"/>
              <w:jc w:val="left"/>
            </w:pPr>
            <w:r>
              <w:rPr>
                <w:sz w:val="17"/>
              </w:rPr>
              <w:t xml:space="preserve">Couches, objets, identifiants géographiques,</w:t>
            </w:r>
            <w:r>
              <w:rPr>
                <w:sz w:val="17"/>
              </w:rPr>
              <w:t xml:space="preserve"> </w:t>
            </w:r>
            <w:r>
              <w:rPr>
                <w:sz w:val="17"/>
              </w:rPr>
              <w:t xml:space="preserve">cartes</w:t>
            </w:r>
          </w:p>
        </w:tc>
      </w:tr>
      <w:tr>
        <w:tc>
          <w:tcPr/>
          <w:p>
            <w:pPr>
              <w:pStyle w:val="Compact"/>
              <w:spacing w:after="20" w:before="20" w:line="240" w:lineRule="auto"/>
              <w:jc w:val="left"/>
            </w:pPr>
            <w:r>
              <w:rPr>
                <w:sz w:val="17"/>
              </w:rPr>
              <w:t xml:space="preserve">9</w:t>
            </w:r>
          </w:p>
        </w:tc>
        <w:tc>
          <w:tcPr/>
          <w:p>
            <w:pPr>
              <w:pStyle w:val="Compact"/>
              <w:spacing w:after="20" w:before="20" w:line="240" w:lineRule="auto"/>
              <w:jc w:val="left"/>
            </w:pPr>
            <w:r>
              <w:rPr>
                <w:sz w:val="17"/>
              </w:rPr>
              <w:t xml:space="preserve">Intelligence foncière</w:t>
            </w:r>
            <w:r>
              <w:rPr>
                <w:sz w:val="17"/>
              </w:rPr>
              <w:t xml:space="preserve"> </w:t>
            </w:r>
            <w:r>
              <w:rPr>
                <w:sz w:val="17"/>
              </w:rPr>
              <w:t xml:space="preserve">et locative</w:t>
            </w:r>
          </w:p>
        </w:tc>
        <w:tc>
          <w:tcPr/>
          <w:p>
            <w:pPr>
              <w:pStyle w:val="Compact"/>
              <w:spacing w:after="20" w:before="20" w:line="240" w:lineRule="auto"/>
              <w:jc w:val="left"/>
            </w:pPr>
            <w:r>
              <w:rPr>
                <w:sz w:val="17"/>
              </w:rPr>
              <w:t xml:space="preserve">Unités, baux, occupation, anomalies, couverture</w:t>
            </w:r>
          </w:p>
        </w:tc>
      </w:tr>
      <w:tr>
        <w:tc>
          <w:tcPr>
            <w:shd w:val="clear" w:color="auto" w:fill="F2F9F8"/>
          </w:tcPr>
          <w:p>
            <w:pPr>
              <w:pStyle w:val="Compact"/>
              <w:spacing w:after="20" w:before="20" w:line="240" w:lineRule="auto"/>
              <w:jc w:val="left"/>
            </w:pPr>
            <w:r>
              <w:rPr>
                <w:sz w:val="17"/>
              </w:rPr>
              <w:t xml:space="preserve">10</w:t>
            </w:r>
          </w:p>
        </w:tc>
        <w:tc>
          <w:tcPr>
            <w:shd w:val="clear" w:color="auto" w:fill="F2F9F8"/>
          </w:tcPr>
          <w:p>
            <w:pPr>
              <w:pStyle w:val="Compact"/>
              <w:spacing w:after="20" w:before="20" w:line="240" w:lineRule="auto"/>
              <w:jc w:val="left"/>
            </w:pPr>
            <w:r>
              <w:rPr>
                <w:sz w:val="17"/>
              </w:rPr>
              <w:t xml:space="preserve">Registre des</w:t>
            </w:r>
            <w:r>
              <w:rPr>
                <w:sz w:val="17"/>
              </w:rPr>
              <w:t xml:space="preserve"> </w:t>
            </w:r>
            <w:r>
              <w:rPr>
                <w:sz w:val="17"/>
              </w:rPr>
              <w:t xml:space="preserve">activités et patentes</w:t>
            </w:r>
          </w:p>
        </w:tc>
        <w:tc>
          <w:tcPr>
            <w:shd w:val="clear" w:color="auto" w:fill="F2F9F8"/>
          </w:tcPr>
          <w:p>
            <w:pPr>
              <w:pStyle w:val="Compact"/>
              <w:spacing w:after="20" w:before="20" w:line="240" w:lineRule="auto"/>
              <w:jc w:val="left"/>
            </w:pPr>
            <w:r>
              <w:rPr>
                <w:sz w:val="17"/>
              </w:rPr>
              <w:t xml:space="preserve">Commerces, catégories, marchés, renouvellements</w:t>
            </w:r>
          </w:p>
        </w:tc>
      </w:tr>
      <w:tr>
        <w:tc>
          <w:tcPr/>
          <w:p>
            <w:pPr>
              <w:pStyle w:val="Compact"/>
              <w:spacing w:after="20" w:before="20" w:line="240" w:lineRule="auto"/>
              <w:jc w:val="left"/>
            </w:pPr>
            <w:r>
              <w:rPr>
                <w:sz w:val="17"/>
              </w:rPr>
              <w:t xml:space="preserve">11</w:t>
            </w:r>
          </w:p>
        </w:tc>
        <w:tc>
          <w:tcPr/>
          <w:p>
            <w:pPr>
              <w:pStyle w:val="Compact"/>
              <w:spacing w:after="20" w:before="20" w:line="240" w:lineRule="auto"/>
              <w:jc w:val="left"/>
            </w:pPr>
            <w:r>
              <w:rPr>
                <w:sz w:val="17"/>
              </w:rPr>
              <w:t xml:space="preserve">Véhicules et</w:t>
            </w:r>
            <w:r>
              <w:rPr>
                <w:sz w:val="17"/>
              </w:rPr>
              <w:t xml:space="preserve"> </w:t>
            </w:r>
            <w:r>
              <w:rPr>
                <w:sz w:val="17"/>
              </w:rPr>
              <w:t xml:space="preserve">circulation</w:t>
            </w:r>
          </w:p>
        </w:tc>
        <w:tc>
          <w:tcPr/>
          <w:p>
            <w:pPr>
              <w:pStyle w:val="Compact"/>
              <w:spacing w:after="20" w:before="20" w:line="240" w:lineRule="auto"/>
              <w:jc w:val="left"/>
            </w:pPr>
            <w:r>
              <w:rPr>
                <w:sz w:val="17"/>
              </w:rPr>
              <w:t xml:space="preserve">Vignette, taxe de circulation, mutations,</w:t>
            </w:r>
            <w:r>
              <w:rPr>
                <w:sz w:val="17"/>
              </w:rPr>
              <w:t xml:space="preserve"> </w:t>
            </w:r>
            <w:r>
              <w:rPr>
                <w:sz w:val="17"/>
              </w:rPr>
              <w:t xml:space="preserve">contrôles</w:t>
            </w:r>
          </w:p>
        </w:tc>
      </w:tr>
      <w:tr>
        <w:tc>
          <w:tcPr>
            <w:shd w:val="clear" w:color="auto" w:fill="F2F9F8"/>
          </w:tcPr>
          <w:p>
            <w:pPr>
              <w:pStyle w:val="Compact"/>
              <w:spacing w:after="20" w:before="20" w:line="240" w:lineRule="auto"/>
              <w:jc w:val="left"/>
            </w:pPr>
            <w:r>
              <w:rPr>
                <w:sz w:val="17"/>
              </w:rPr>
              <w:t xml:space="preserve">12</w:t>
            </w:r>
          </w:p>
        </w:tc>
        <w:tc>
          <w:tcPr>
            <w:shd w:val="clear" w:color="auto" w:fill="F2F9F8"/>
          </w:tcPr>
          <w:p>
            <w:pPr>
              <w:pStyle w:val="Compact"/>
              <w:spacing w:after="20" w:before="20" w:line="240" w:lineRule="auto"/>
              <w:jc w:val="left"/>
            </w:pPr>
            <w:r>
              <w:rPr>
                <w:sz w:val="17"/>
              </w:rPr>
              <w:t xml:space="preserve">Autorisations de</w:t>
            </w:r>
            <w:r>
              <w:rPr>
                <w:sz w:val="17"/>
              </w:rPr>
              <w:t xml:space="preserve"> </w:t>
            </w:r>
            <w:r>
              <w:rPr>
                <w:sz w:val="17"/>
              </w:rPr>
              <w:t xml:space="preserve">transport</w:t>
            </w:r>
          </w:p>
        </w:tc>
        <w:tc>
          <w:tcPr>
            <w:shd w:val="clear" w:color="auto" w:fill="F2F9F8"/>
          </w:tcPr>
          <w:p>
            <w:pPr>
              <w:pStyle w:val="Compact"/>
              <w:spacing w:after="20" w:before="20" w:line="240" w:lineRule="auto"/>
              <w:jc w:val="left"/>
            </w:pPr>
            <w:r>
              <w:rPr>
                <w:sz w:val="17"/>
              </w:rPr>
              <w:t xml:space="preserve">Licences, corridors, validité, contrôle</w:t>
            </w:r>
          </w:p>
        </w:tc>
      </w:tr>
      <w:tr>
        <w:tc>
          <w:tcPr/>
          <w:p>
            <w:pPr>
              <w:pStyle w:val="Compact"/>
              <w:spacing w:after="20" w:before="20" w:line="240" w:lineRule="auto"/>
              <w:jc w:val="left"/>
            </w:pPr>
            <w:r>
              <w:rPr>
                <w:sz w:val="17"/>
              </w:rPr>
              <w:t xml:space="preserve">13</w:t>
            </w:r>
          </w:p>
        </w:tc>
        <w:tc>
          <w:tcPr/>
          <w:p>
            <w:pPr>
              <w:pStyle w:val="Compact"/>
              <w:spacing w:after="20" w:before="20" w:line="240" w:lineRule="auto"/>
              <w:jc w:val="left"/>
            </w:pPr>
            <w:r>
              <w:rPr>
                <w:sz w:val="17"/>
              </w:rPr>
              <w:t xml:space="preserve">Embarquement et</w:t>
            </w:r>
            <w:r>
              <w:rPr>
                <w:sz w:val="17"/>
              </w:rPr>
              <w:t xml:space="preserve"> </w:t>
            </w:r>
            <w:r>
              <w:rPr>
                <w:sz w:val="17"/>
              </w:rPr>
              <w:t xml:space="preserve">débarquement</w:t>
            </w:r>
          </w:p>
        </w:tc>
        <w:tc>
          <w:tcPr/>
          <w:p>
            <w:pPr>
              <w:pStyle w:val="Compact"/>
              <w:spacing w:after="20" w:before="20" w:line="240" w:lineRule="auto"/>
              <w:jc w:val="left"/>
            </w:pPr>
            <w:r>
              <w:rPr>
                <w:sz w:val="17"/>
              </w:rPr>
              <w:t xml:space="preserve">Points, flux, perception, reçus</w:t>
            </w:r>
          </w:p>
        </w:tc>
      </w:tr>
      <w:tr>
        <w:tc>
          <w:tcPr>
            <w:shd w:val="clear" w:color="auto" w:fill="F2F9F8"/>
          </w:tcPr>
          <w:p>
            <w:pPr>
              <w:pStyle w:val="Compact"/>
              <w:spacing w:after="20" w:before="20" w:line="240" w:lineRule="auto"/>
              <w:jc w:val="left"/>
            </w:pPr>
            <w:r>
              <w:rPr>
                <w:sz w:val="17"/>
              </w:rPr>
              <w:t xml:space="preserve">14</w:t>
            </w:r>
          </w:p>
        </w:tc>
        <w:tc>
          <w:tcPr>
            <w:shd w:val="clear" w:color="auto" w:fill="F2F9F8"/>
          </w:tcPr>
          <w:p>
            <w:pPr>
              <w:pStyle w:val="Compact"/>
              <w:spacing w:after="20" w:before="20" w:line="240" w:lineRule="auto"/>
              <w:jc w:val="left"/>
            </w:pPr>
            <w:r>
              <w:rPr>
                <w:sz w:val="17"/>
              </w:rPr>
              <w:t xml:space="preserve">Stationnement public</w:t>
            </w:r>
          </w:p>
        </w:tc>
        <w:tc>
          <w:tcPr>
            <w:shd w:val="clear" w:color="auto" w:fill="F2F9F8"/>
          </w:tcPr>
          <w:p>
            <w:pPr>
              <w:pStyle w:val="Compact"/>
              <w:spacing w:after="20" w:before="20" w:line="240" w:lineRule="auto"/>
              <w:jc w:val="left"/>
            </w:pPr>
            <w:r>
              <w:rPr>
                <w:sz w:val="17"/>
              </w:rPr>
              <w:t xml:space="preserve">Zones, places, abonnements, perception mobile</w:t>
            </w:r>
          </w:p>
        </w:tc>
      </w:tr>
      <w:tr>
        <w:tc>
          <w:tcPr/>
          <w:p>
            <w:pPr>
              <w:pStyle w:val="Compact"/>
              <w:spacing w:after="20" w:before="20" w:line="240" w:lineRule="auto"/>
              <w:jc w:val="left"/>
            </w:pPr>
            <w:r>
              <w:rPr>
                <w:sz w:val="17"/>
              </w:rPr>
              <w:t xml:space="preserve">15</w:t>
            </w:r>
          </w:p>
        </w:tc>
        <w:tc>
          <w:tcPr/>
          <w:p>
            <w:pPr>
              <w:pStyle w:val="Compact"/>
              <w:spacing w:after="20" w:before="20" w:line="240" w:lineRule="auto"/>
              <w:jc w:val="left"/>
            </w:pPr>
            <w:r>
              <w:rPr>
                <w:sz w:val="17"/>
              </w:rPr>
              <w:t xml:space="preserve">Publicité extérieure</w:t>
            </w:r>
          </w:p>
        </w:tc>
        <w:tc>
          <w:tcPr/>
          <w:p>
            <w:pPr>
              <w:pStyle w:val="Compact"/>
              <w:spacing w:after="20" w:before="20" w:line="240" w:lineRule="auto"/>
              <w:jc w:val="left"/>
            </w:pPr>
            <w:r>
              <w:rPr>
                <w:sz w:val="17"/>
              </w:rPr>
              <w:t xml:space="preserve">Panneaux, surfaces, autorisations, plaques QR</w:t>
            </w:r>
          </w:p>
        </w:tc>
      </w:tr>
      <w:tr>
        <w:tc>
          <w:tcPr>
            <w:shd w:val="clear" w:color="auto" w:fill="F2F9F8"/>
          </w:tcPr>
          <w:p>
            <w:pPr>
              <w:pStyle w:val="Compact"/>
              <w:spacing w:after="20" w:before="20" w:line="240" w:lineRule="auto"/>
              <w:jc w:val="left"/>
            </w:pPr>
            <w:r>
              <w:rPr>
                <w:sz w:val="17"/>
              </w:rPr>
              <w:t xml:space="preserve">16</w:t>
            </w:r>
          </w:p>
        </w:tc>
        <w:tc>
          <w:tcPr>
            <w:shd w:val="clear" w:color="auto" w:fill="F2F9F8"/>
          </w:tcPr>
          <w:p>
            <w:pPr>
              <w:pStyle w:val="Compact"/>
              <w:spacing w:after="20" w:before="20" w:line="240" w:lineRule="auto"/>
              <w:jc w:val="left"/>
            </w:pPr>
            <w:r>
              <w:rPr>
                <w:sz w:val="17"/>
              </w:rPr>
              <w:t xml:space="preserve">Antennes et</w:t>
            </w:r>
            <w:r>
              <w:rPr>
                <w:sz w:val="17"/>
              </w:rPr>
              <w:t xml:space="preserve"> </w:t>
            </w:r>
            <w:r>
              <w:rPr>
                <w:sz w:val="17"/>
              </w:rPr>
              <w:t xml:space="preserve">infrastructures</w:t>
            </w:r>
            <w:r>
              <w:rPr>
                <w:sz w:val="17"/>
              </w:rPr>
              <w:t xml:space="preserve"> </w:t>
            </w:r>
            <w:r>
              <w:rPr>
                <w:sz w:val="17"/>
              </w:rPr>
              <w:t xml:space="preserve">télécoms</w:t>
            </w:r>
          </w:p>
        </w:tc>
        <w:tc>
          <w:tcPr>
            <w:shd w:val="clear" w:color="auto" w:fill="F2F9F8"/>
          </w:tcPr>
          <w:p>
            <w:pPr>
              <w:pStyle w:val="Compact"/>
              <w:spacing w:after="20" w:before="20" w:line="240" w:lineRule="auto"/>
              <w:jc w:val="left"/>
            </w:pPr>
            <w:r>
              <w:rPr>
                <w:sz w:val="17"/>
              </w:rPr>
              <w:t xml:space="preserve">Sites, opérateurs, liquidation annuelle</w:t>
            </w:r>
          </w:p>
        </w:tc>
      </w:tr>
      <w:tr>
        <w:tc>
          <w:tcPr/>
          <w:p>
            <w:pPr>
              <w:pStyle w:val="Compact"/>
              <w:spacing w:after="20" w:before="20" w:line="240" w:lineRule="auto"/>
              <w:jc w:val="left"/>
            </w:pPr>
            <w:r>
              <w:rPr>
                <w:sz w:val="17"/>
              </w:rPr>
              <w:t xml:space="preserve">17</w:t>
            </w:r>
          </w:p>
        </w:tc>
        <w:tc>
          <w:tcPr/>
          <w:p>
            <w:pPr>
              <w:pStyle w:val="Compact"/>
              <w:spacing w:after="20" w:before="20" w:line="240" w:lineRule="auto"/>
              <w:jc w:val="left"/>
            </w:pPr>
            <w:r>
              <w:rPr>
                <w:sz w:val="17"/>
              </w:rPr>
              <w:t xml:space="preserve">Boissons, alcools et</w:t>
            </w:r>
            <w:r>
              <w:rPr>
                <w:sz w:val="17"/>
              </w:rPr>
              <w:t xml:space="preserve"> </w:t>
            </w:r>
            <w:r>
              <w:rPr>
                <w:sz w:val="17"/>
              </w:rPr>
              <w:t xml:space="preserve">tabac</w:t>
            </w:r>
          </w:p>
        </w:tc>
        <w:tc>
          <w:tcPr/>
          <w:p>
            <w:pPr>
              <w:pStyle w:val="Compact"/>
              <w:spacing w:after="20" w:before="20" w:line="240" w:lineRule="auto"/>
              <w:jc w:val="left"/>
            </w:pPr>
            <w:r>
              <w:rPr>
                <w:sz w:val="17"/>
              </w:rPr>
              <w:t xml:space="preserve">Volumes, déclarations, rapprochement grands</w:t>
            </w:r>
            <w:r>
              <w:rPr>
                <w:sz w:val="17"/>
              </w:rPr>
              <w:t xml:space="preserve"> </w:t>
            </w:r>
            <w:r>
              <w:rPr>
                <w:sz w:val="17"/>
              </w:rPr>
              <w:t xml:space="preserve">redevables</w:t>
            </w:r>
          </w:p>
        </w:tc>
      </w:tr>
      <w:tr>
        <w:tc>
          <w:tcPr>
            <w:shd w:val="clear" w:color="auto" w:fill="F2F9F8"/>
          </w:tcPr>
          <w:p>
            <w:pPr>
              <w:pStyle w:val="Compact"/>
              <w:spacing w:after="20" w:before="20" w:line="240" w:lineRule="auto"/>
              <w:jc w:val="left"/>
            </w:pPr>
            <w:r>
              <w:rPr>
                <w:sz w:val="17"/>
              </w:rPr>
              <w:t xml:space="preserve">18</w:t>
            </w:r>
          </w:p>
        </w:tc>
        <w:tc>
          <w:tcPr>
            <w:shd w:val="clear" w:color="auto" w:fill="F2F9F8"/>
          </w:tcPr>
          <w:p>
            <w:pPr>
              <w:pStyle w:val="Compact"/>
              <w:spacing w:after="20" w:before="20" w:line="240" w:lineRule="auto"/>
              <w:jc w:val="left"/>
            </w:pPr>
            <w:r>
              <w:rPr>
                <w:sz w:val="17"/>
              </w:rPr>
              <w:t xml:space="preserve">Contribution</w:t>
            </w:r>
            <w:r>
              <w:rPr>
                <w:sz w:val="17"/>
              </w:rPr>
              <w:t xml:space="preserve"> </w:t>
            </w:r>
            <w:r>
              <w:rPr>
                <w:sz w:val="17"/>
              </w:rPr>
              <w:t xml:space="preserve">plastique et</w:t>
            </w:r>
            <w:r>
              <w:rPr>
                <w:sz w:val="17"/>
              </w:rPr>
              <w:t xml:space="preserve"> </w:t>
            </w:r>
            <w:r>
              <w:rPr>
                <w:sz w:val="17"/>
              </w:rPr>
              <w:t xml:space="preserve">environnement</w:t>
            </w:r>
          </w:p>
        </w:tc>
        <w:tc>
          <w:tcPr>
            <w:shd w:val="clear" w:color="auto" w:fill="F2F9F8"/>
          </w:tcPr>
          <w:p>
            <w:pPr>
              <w:pStyle w:val="Compact"/>
              <w:spacing w:after="20" w:before="20" w:line="240" w:lineRule="auto"/>
              <w:jc w:val="left"/>
            </w:pPr>
            <w:r>
              <w:rPr>
                <w:sz w:val="17"/>
              </w:rPr>
              <w:t xml:space="preserve">Assujettis, déclarations, reversements (sous</w:t>
            </w:r>
            <w:r>
              <w:rPr>
                <w:sz w:val="17"/>
              </w:rPr>
              <w:t xml:space="preserve"> </w:t>
            </w:r>
            <w:r>
              <w:rPr>
                <w:sz w:val="17"/>
              </w:rPr>
              <w:t xml:space="preserve">réserve d'édit)</w:t>
            </w:r>
          </w:p>
        </w:tc>
      </w:tr>
      <w:tr>
        <w:tc>
          <w:tcPr/>
          <w:p>
            <w:pPr>
              <w:pStyle w:val="Compact"/>
              <w:spacing w:after="20" w:before="20" w:line="240" w:lineRule="auto"/>
              <w:jc w:val="left"/>
            </w:pPr>
            <w:r>
              <w:rPr>
                <w:sz w:val="17"/>
              </w:rPr>
              <w:t xml:space="preserve">19</w:t>
            </w:r>
          </w:p>
        </w:tc>
        <w:tc>
          <w:tcPr/>
          <w:p>
            <w:pPr>
              <w:pStyle w:val="Compact"/>
              <w:spacing w:after="20" w:before="20" w:line="240" w:lineRule="auto"/>
              <w:jc w:val="left"/>
            </w:pPr>
            <w:r>
              <w:rPr>
                <w:sz w:val="17"/>
              </w:rPr>
              <w:t xml:space="preserve">Assainissement,</w:t>
            </w:r>
            <w:r>
              <w:rPr>
                <w:sz w:val="17"/>
              </w:rPr>
              <w:t xml:space="preserve"> </w:t>
            </w:r>
            <w:r>
              <w:rPr>
                <w:sz w:val="17"/>
              </w:rPr>
              <w:t xml:space="preserve">voirie et drainage</w:t>
            </w:r>
          </w:p>
        </w:tc>
        <w:tc>
          <w:tcPr/>
          <w:p>
            <w:pPr>
              <w:pStyle w:val="Compact"/>
              <w:spacing w:after="20" w:before="20" w:line="240" w:lineRule="auto"/>
              <w:jc w:val="left"/>
            </w:pPr>
            <w:r>
              <w:rPr>
                <w:sz w:val="17"/>
              </w:rPr>
              <w:t xml:space="preserve">Redevances rattachées aux objets existants</w:t>
            </w:r>
          </w:p>
        </w:tc>
      </w:tr>
      <w:tr>
        <w:tc>
          <w:tcPr>
            <w:shd w:val="clear" w:color="auto" w:fill="F2F9F8"/>
          </w:tcPr>
          <w:p>
            <w:pPr>
              <w:pStyle w:val="Compact"/>
              <w:spacing w:after="20" w:before="20" w:line="240" w:lineRule="auto"/>
              <w:jc w:val="left"/>
            </w:pPr>
            <w:r>
              <w:rPr>
                <w:sz w:val="17"/>
              </w:rPr>
              <w:t xml:space="preserve">20</w:t>
            </w:r>
          </w:p>
        </w:tc>
        <w:tc>
          <w:tcPr>
            <w:shd w:val="clear" w:color="auto" w:fill="F2F9F8"/>
          </w:tcPr>
          <w:p>
            <w:pPr>
              <w:pStyle w:val="Compact"/>
              <w:spacing w:after="20" w:before="20" w:line="240" w:lineRule="auto"/>
              <w:jc w:val="left"/>
            </w:pPr>
            <w:r>
              <w:rPr>
                <w:sz w:val="17"/>
              </w:rPr>
              <w:t xml:space="preserve">Marchés et domaine</w:t>
            </w:r>
            <w:r>
              <w:rPr>
                <w:sz w:val="17"/>
              </w:rPr>
              <w:t xml:space="preserve"> </w:t>
            </w:r>
            <w:r>
              <w:rPr>
                <w:sz w:val="17"/>
              </w:rPr>
              <w:t xml:space="preserve">public</w:t>
            </w:r>
          </w:p>
        </w:tc>
        <w:tc>
          <w:tcPr>
            <w:shd w:val="clear" w:color="auto" w:fill="F2F9F8"/>
          </w:tcPr>
          <w:p>
            <w:pPr>
              <w:pStyle w:val="Compact"/>
              <w:spacing w:after="20" w:before="20" w:line="240" w:lineRule="auto"/>
              <w:jc w:val="left"/>
            </w:pPr>
            <w:r>
              <w:rPr>
                <w:sz w:val="17"/>
              </w:rPr>
              <w:t xml:space="preserve">Emprises, étals, places, occupations</w:t>
            </w:r>
            <w:r>
              <w:rPr>
                <w:sz w:val="17"/>
              </w:rPr>
              <w:t xml:space="preserve"> </w:t>
            </w:r>
            <w:r>
              <w:rPr>
                <w:sz w:val="17"/>
              </w:rPr>
              <w:t xml:space="preserve">temporaires</w:t>
            </w:r>
          </w:p>
        </w:tc>
      </w:tr>
      <w:tr>
        <w:tc>
          <w:tcPr/>
          <w:p>
            <w:pPr>
              <w:pStyle w:val="Compact"/>
              <w:spacing w:after="20" w:before="20" w:line="240" w:lineRule="auto"/>
              <w:jc w:val="left"/>
            </w:pPr>
            <w:r>
              <w:rPr>
                <w:sz w:val="17"/>
              </w:rPr>
              <w:t xml:space="preserve">21</w:t>
            </w:r>
          </w:p>
        </w:tc>
        <w:tc>
          <w:tcPr/>
          <w:p>
            <w:pPr>
              <w:pStyle w:val="Compact"/>
              <w:spacing w:after="20" w:before="20" w:line="240" w:lineRule="auto"/>
              <w:jc w:val="left"/>
            </w:pPr>
            <w:r>
              <w:rPr>
                <w:sz w:val="17"/>
              </w:rPr>
              <w:t xml:space="preserve">Spectacles et</w:t>
            </w:r>
            <w:r>
              <w:rPr>
                <w:sz w:val="17"/>
              </w:rPr>
              <w:t xml:space="preserve"> </w:t>
            </w:r>
            <w:r>
              <w:rPr>
                <w:sz w:val="17"/>
              </w:rPr>
              <w:t xml:space="preserve">événements</w:t>
            </w:r>
          </w:p>
        </w:tc>
        <w:tc>
          <w:tcPr/>
          <w:p>
            <w:pPr>
              <w:pStyle w:val="Compact"/>
              <w:spacing w:after="20" w:before="20" w:line="240" w:lineRule="auto"/>
              <w:jc w:val="left"/>
            </w:pPr>
            <w:r>
              <w:rPr>
                <w:sz w:val="17"/>
              </w:rPr>
              <w:t xml:space="preserve">Autorisations, billetterie déclarée,</w:t>
            </w:r>
            <w:r>
              <w:rPr>
                <w:sz w:val="17"/>
              </w:rPr>
              <w:t xml:space="preserve"> </w:t>
            </w:r>
            <w:r>
              <w:rPr>
                <w:sz w:val="17"/>
              </w:rPr>
              <w:t xml:space="preserve">liquidation</w:t>
            </w:r>
          </w:p>
        </w:tc>
      </w:tr>
      <w:tr>
        <w:tc>
          <w:tcPr>
            <w:shd w:val="clear" w:color="auto" w:fill="F2F9F8"/>
          </w:tcPr>
          <w:p>
            <w:pPr>
              <w:pStyle w:val="Compact"/>
              <w:spacing w:after="20" w:before="20" w:line="240" w:lineRule="auto"/>
              <w:jc w:val="left"/>
            </w:pPr>
            <w:r>
              <w:rPr>
                <w:sz w:val="17"/>
              </w:rPr>
              <w:t xml:space="preserve">22</w:t>
            </w:r>
          </w:p>
        </w:tc>
        <w:tc>
          <w:tcPr>
            <w:shd w:val="clear" w:color="auto" w:fill="F2F9F8"/>
          </w:tcPr>
          <w:p>
            <w:pPr>
              <w:pStyle w:val="Compact"/>
              <w:spacing w:after="20" w:before="20" w:line="240" w:lineRule="auto"/>
              <w:jc w:val="left"/>
            </w:pPr>
            <w:r>
              <w:rPr>
                <w:sz w:val="17"/>
              </w:rPr>
              <w:t xml:space="preserve">Carrières et recettes</w:t>
            </w:r>
            <w:r>
              <w:rPr>
                <w:sz w:val="17"/>
              </w:rPr>
              <w:t xml:space="preserve"> </w:t>
            </w:r>
            <w:r>
              <w:rPr>
                <w:sz w:val="17"/>
              </w:rPr>
              <w:t xml:space="preserve">minières</w:t>
            </w:r>
          </w:p>
        </w:tc>
        <w:tc>
          <w:tcPr>
            <w:shd w:val="clear" w:color="auto" w:fill="F2F9F8"/>
          </w:tcPr>
          <w:p>
            <w:pPr>
              <w:pStyle w:val="Compact"/>
              <w:spacing w:after="20" w:before="20" w:line="240" w:lineRule="auto"/>
              <w:jc w:val="left"/>
            </w:pPr>
            <w:r>
              <w:rPr>
                <w:sz w:val="17"/>
              </w:rPr>
              <w:t xml:space="preserve">Sites, superficies, flux, déclarations</w:t>
            </w:r>
          </w:p>
        </w:tc>
      </w:tr>
      <w:tr>
        <w:tc>
          <w:tcPr/>
          <w:p>
            <w:pPr>
              <w:pStyle w:val="Compact"/>
              <w:spacing w:after="20" w:before="20" w:line="240" w:lineRule="auto"/>
              <w:jc w:val="left"/>
            </w:pPr>
            <w:r>
              <w:rPr>
                <w:sz w:val="17"/>
              </w:rPr>
              <w:t xml:space="preserve">23</w:t>
            </w:r>
          </w:p>
        </w:tc>
        <w:tc>
          <w:tcPr/>
          <w:p>
            <w:pPr>
              <w:pStyle w:val="Compact"/>
              <w:spacing w:after="20" w:before="20" w:line="240" w:lineRule="auto"/>
              <w:jc w:val="left"/>
            </w:pPr>
            <w:r>
              <w:rPr>
                <w:sz w:val="17"/>
              </w:rPr>
              <w:t xml:space="preserve">Recettes forestières</w:t>
            </w:r>
          </w:p>
        </w:tc>
        <w:tc>
          <w:tcPr/>
          <w:p>
            <w:pPr>
              <w:pStyle w:val="Compact"/>
              <w:spacing w:after="20" w:before="20" w:line="240" w:lineRule="auto"/>
              <w:jc w:val="left"/>
            </w:pPr>
            <w:r>
              <w:rPr>
                <w:sz w:val="17"/>
              </w:rPr>
              <w:t xml:space="preserve">Concessions, produits non ligneux</w:t>
            </w:r>
          </w:p>
        </w:tc>
      </w:tr>
      <w:tr>
        <w:tc>
          <w:tcPr>
            <w:shd w:val="clear" w:color="auto" w:fill="F2F9F8"/>
          </w:tcPr>
          <w:p>
            <w:pPr>
              <w:pStyle w:val="Compact"/>
              <w:spacing w:after="20" w:before="20" w:line="240" w:lineRule="auto"/>
              <w:jc w:val="left"/>
            </w:pPr>
            <w:r>
              <w:rPr>
                <w:sz w:val="17"/>
              </w:rPr>
              <w:t xml:space="preserve">24</w:t>
            </w:r>
          </w:p>
        </w:tc>
        <w:tc>
          <w:tcPr>
            <w:shd w:val="clear" w:color="auto" w:fill="F2F9F8"/>
          </w:tcPr>
          <w:p>
            <w:pPr>
              <w:pStyle w:val="Compact"/>
              <w:spacing w:after="20" w:before="20" w:line="240" w:lineRule="auto"/>
              <w:jc w:val="left"/>
            </w:pPr>
            <w:r>
              <w:rPr>
                <w:sz w:val="17"/>
              </w:rPr>
              <w:t xml:space="preserve">Ports, embarcations</w:t>
            </w:r>
            <w:r>
              <w:rPr>
                <w:sz w:val="17"/>
              </w:rPr>
              <w:t xml:space="preserve"> </w:t>
            </w:r>
            <w:r>
              <w:rPr>
                <w:sz w:val="17"/>
              </w:rPr>
              <w:t xml:space="preserve">et accostage</w:t>
            </w:r>
          </w:p>
        </w:tc>
        <w:tc>
          <w:tcPr>
            <w:shd w:val="clear" w:color="auto" w:fill="F2F9F8"/>
          </w:tcPr>
          <w:p>
            <w:pPr>
              <w:pStyle w:val="Compact"/>
              <w:spacing w:after="20" w:before="20" w:line="240" w:lineRule="auto"/>
              <w:jc w:val="left"/>
            </w:pPr>
            <w:r>
              <w:rPr>
                <w:sz w:val="17"/>
              </w:rPr>
              <w:t xml:space="preserve">Embarcations, quais, mouvements, redevances</w:t>
            </w:r>
          </w:p>
        </w:tc>
      </w:tr>
      <w:tr>
        <w:tc>
          <w:tcPr/>
          <w:p>
            <w:pPr>
              <w:pStyle w:val="Compact"/>
              <w:spacing w:after="20" w:before="20" w:line="240" w:lineRule="auto"/>
              <w:jc w:val="left"/>
            </w:pPr>
            <w:r>
              <w:rPr>
                <w:sz w:val="17"/>
              </w:rPr>
              <w:t xml:space="preserve">25</w:t>
            </w:r>
          </w:p>
        </w:tc>
        <w:tc>
          <w:tcPr/>
          <w:p>
            <w:pPr>
              <w:pStyle w:val="Compact"/>
              <w:spacing w:after="20" w:before="20" w:line="240" w:lineRule="auto"/>
              <w:jc w:val="left"/>
            </w:pPr>
            <w:r>
              <w:rPr>
                <w:sz w:val="17"/>
              </w:rPr>
              <w:t xml:space="preserve">Péage provincial</w:t>
            </w:r>
          </w:p>
        </w:tc>
        <w:tc>
          <w:tcPr/>
          <w:p>
            <w:pPr>
              <w:pStyle w:val="Compact"/>
              <w:spacing w:after="20" w:before="20" w:line="240" w:lineRule="auto"/>
              <w:jc w:val="left"/>
            </w:pPr>
            <w:r>
              <w:rPr>
                <w:sz w:val="17"/>
              </w:rPr>
              <w:t xml:space="preserve">Axes, passages, reçus électroniques</w:t>
            </w:r>
          </w:p>
        </w:tc>
      </w:tr>
      <w:tr>
        <w:tc>
          <w:tcPr>
            <w:shd w:val="clear" w:color="auto" w:fill="F2F9F8"/>
          </w:tcPr>
          <w:p>
            <w:pPr>
              <w:pStyle w:val="Compact"/>
              <w:spacing w:after="20" w:before="20" w:line="240" w:lineRule="auto"/>
              <w:jc w:val="left"/>
            </w:pPr>
            <w:r>
              <w:rPr>
                <w:sz w:val="17"/>
              </w:rPr>
              <w:t xml:space="preserve">26</w:t>
            </w:r>
          </w:p>
        </w:tc>
        <w:tc>
          <w:tcPr>
            <w:shd w:val="clear" w:color="auto" w:fill="F2F9F8"/>
          </w:tcPr>
          <w:p>
            <w:pPr>
              <w:pStyle w:val="Compact"/>
              <w:spacing w:after="20" w:before="20" w:line="240" w:lineRule="auto"/>
              <w:jc w:val="left"/>
            </w:pPr>
            <w:r>
              <w:rPr>
                <w:sz w:val="17"/>
              </w:rPr>
              <w:t xml:space="preserve">Moteur de règles</w:t>
            </w:r>
            <w:r>
              <w:rPr>
                <w:sz w:val="17"/>
              </w:rPr>
              <w:t xml:space="preserve"> </w:t>
            </w:r>
            <w:r>
              <w:rPr>
                <w:sz w:val="17"/>
              </w:rPr>
              <w:t xml:space="preserve">juridiques et</w:t>
            </w:r>
            <w:r>
              <w:rPr>
                <w:sz w:val="17"/>
              </w:rPr>
              <w:t xml:space="preserve"> </w:t>
            </w:r>
            <w:r>
              <w:rPr>
                <w:sz w:val="17"/>
              </w:rPr>
              <w:t xml:space="preserve">tarifaires</w:t>
            </w:r>
          </w:p>
        </w:tc>
        <w:tc>
          <w:tcPr>
            <w:shd w:val="clear" w:color="auto" w:fill="F2F9F8"/>
          </w:tcPr>
          <w:p>
            <w:pPr>
              <w:pStyle w:val="Compact"/>
              <w:spacing w:after="20" w:before="20" w:line="240" w:lineRule="auto"/>
              <w:jc w:val="left"/>
            </w:pPr>
            <w:r>
              <w:rPr>
                <w:sz w:val="17"/>
              </w:rPr>
              <w:t xml:space="preserve">Fiches, versions, publication, simulation</w:t>
            </w:r>
          </w:p>
        </w:tc>
      </w:tr>
      <w:tr>
        <w:tc>
          <w:tcPr/>
          <w:p>
            <w:pPr>
              <w:pStyle w:val="Compact"/>
              <w:spacing w:after="20" w:before="20" w:line="240" w:lineRule="auto"/>
              <w:jc w:val="left"/>
            </w:pPr>
            <w:r>
              <w:rPr>
                <w:sz w:val="17"/>
              </w:rPr>
              <w:t xml:space="preserve">27</w:t>
            </w:r>
          </w:p>
        </w:tc>
        <w:tc>
          <w:tcPr/>
          <w:p>
            <w:pPr>
              <w:pStyle w:val="Compact"/>
              <w:spacing w:after="20" w:before="20" w:line="240" w:lineRule="auto"/>
              <w:jc w:val="left"/>
            </w:pPr>
            <w:r>
              <w:rPr>
                <w:sz w:val="17"/>
              </w:rPr>
              <w:t xml:space="preserve">Déclaration et</w:t>
            </w:r>
            <w:r>
              <w:rPr>
                <w:sz w:val="17"/>
              </w:rPr>
              <w:t xml:space="preserve"> </w:t>
            </w:r>
            <w:r>
              <w:rPr>
                <w:sz w:val="17"/>
              </w:rPr>
              <w:t xml:space="preserve">liquidation</w:t>
            </w:r>
          </w:p>
        </w:tc>
        <w:tc>
          <w:tcPr/>
          <w:p>
            <w:pPr>
              <w:pStyle w:val="Compact"/>
              <w:spacing w:after="20" w:before="20" w:line="240" w:lineRule="auto"/>
              <w:jc w:val="left"/>
            </w:pPr>
            <w:r>
              <w:rPr>
                <w:sz w:val="17"/>
              </w:rPr>
              <w:t xml:space="preserve">Déclarations, calculs, avis, échéanciers</w:t>
            </w:r>
          </w:p>
        </w:tc>
      </w:tr>
      <w:tr>
        <w:tc>
          <w:tcPr>
            <w:shd w:val="clear" w:color="auto" w:fill="F2F9F8"/>
          </w:tcPr>
          <w:p>
            <w:pPr>
              <w:pStyle w:val="Compact"/>
              <w:spacing w:after="20" w:before="20" w:line="240" w:lineRule="auto"/>
              <w:jc w:val="left"/>
            </w:pPr>
            <w:r>
              <w:rPr>
                <w:sz w:val="17"/>
              </w:rPr>
              <w:t xml:space="preserve">28</w:t>
            </w:r>
          </w:p>
        </w:tc>
        <w:tc>
          <w:tcPr>
            <w:shd w:val="clear" w:color="auto" w:fill="F2F9F8"/>
          </w:tcPr>
          <w:p>
            <w:pPr>
              <w:pStyle w:val="Compact"/>
              <w:spacing w:after="20" w:before="20" w:line="240" w:lineRule="auto"/>
              <w:jc w:val="left"/>
            </w:pPr>
            <w:r>
              <w:rPr>
                <w:sz w:val="17"/>
              </w:rPr>
              <w:t xml:space="preserve">Orchestration des</w:t>
            </w:r>
            <w:r>
              <w:rPr>
                <w:sz w:val="17"/>
              </w:rPr>
              <w:t xml:space="preserve"> </w:t>
            </w:r>
            <w:r>
              <w:rPr>
                <w:sz w:val="17"/>
              </w:rPr>
              <w:t xml:space="preserve">paiements</w:t>
            </w:r>
          </w:p>
        </w:tc>
        <w:tc>
          <w:tcPr>
            <w:shd w:val="clear" w:color="auto" w:fill="F2F9F8"/>
          </w:tcPr>
          <w:p>
            <w:pPr>
              <w:pStyle w:val="Compact"/>
              <w:spacing w:after="20" w:before="20" w:line="240" w:lineRule="auto"/>
              <w:jc w:val="left"/>
            </w:pPr>
            <w:r>
              <w:rPr>
                <w:sz w:val="17"/>
              </w:rPr>
              <w:t xml:space="preserve">Canaux, références, idempotence, états</w:t>
            </w:r>
          </w:p>
        </w:tc>
      </w:tr>
      <w:tr>
        <w:tc>
          <w:tcPr/>
          <w:p>
            <w:pPr>
              <w:pStyle w:val="Compact"/>
              <w:spacing w:after="20" w:before="20" w:line="240" w:lineRule="auto"/>
              <w:jc w:val="left"/>
            </w:pPr>
            <w:r>
              <w:rPr>
                <w:sz w:val="17"/>
              </w:rPr>
              <w:t xml:space="preserve">29</w:t>
            </w:r>
          </w:p>
        </w:tc>
        <w:tc>
          <w:tcPr/>
          <w:p>
            <w:pPr>
              <w:pStyle w:val="Compact"/>
              <w:spacing w:after="20" w:before="20" w:line="240" w:lineRule="auto"/>
              <w:jc w:val="left"/>
            </w:pPr>
            <w:r>
              <w:rPr>
                <w:sz w:val="17"/>
              </w:rPr>
              <w:t xml:space="preserve">Règlement en</w:t>
            </w:r>
            <w:r>
              <w:rPr>
                <w:sz w:val="17"/>
              </w:rPr>
              <w:t xml:space="preserve"> </w:t>
            </w:r>
            <w:r>
              <w:rPr>
                <w:sz w:val="17"/>
              </w:rPr>
              <w:t xml:space="preserve">trésorerie</w:t>
            </w:r>
          </w:p>
        </w:tc>
        <w:tc>
          <w:tcPr/>
          <w:p>
            <w:pPr>
              <w:pStyle w:val="Compact"/>
              <w:spacing w:after="20" w:before="20" w:line="240" w:lineRule="auto"/>
              <w:jc w:val="left"/>
            </w:pPr>
            <w:r>
              <w:rPr>
                <w:sz w:val="17"/>
              </w:rPr>
              <w:t xml:space="preserve">Comptes publics, relevés, imputations</w:t>
            </w:r>
          </w:p>
        </w:tc>
      </w:tr>
      <w:tr>
        <w:tc>
          <w:tcPr>
            <w:shd w:val="clear" w:color="auto" w:fill="F2F9F8"/>
          </w:tcPr>
          <w:p>
            <w:pPr>
              <w:pStyle w:val="Compact"/>
              <w:spacing w:after="20" w:before="20" w:line="240" w:lineRule="auto"/>
              <w:jc w:val="left"/>
            </w:pPr>
            <w:r>
              <w:rPr>
                <w:sz w:val="17"/>
              </w:rPr>
              <w:t xml:space="preserve">30</w:t>
            </w:r>
          </w:p>
        </w:tc>
        <w:tc>
          <w:tcPr>
            <w:shd w:val="clear" w:color="auto" w:fill="F2F9F8"/>
          </w:tcPr>
          <w:p>
            <w:pPr>
              <w:pStyle w:val="Compact"/>
              <w:spacing w:after="20" w:before="20" w:line="240" w:lineRule="auto"/>
              <w:jc w:val="left"/>
            </w:pPr>
            <w:r>
              <w:rPr>
                <w:sz w:val="17"/>
              </w:rPr>
              <w:t xml:space="preserve">Rapprochement</w:t>
            </w:r>
          </w:p>
        </w:tc>
        <w:tc>
          <w:tcPr>
            <w:shd w:val="clear" w:color="auto" w:fill="F2F9F8"/>
          </w:tcPr>
          <w:p>
            <w:pPr>
              <w:pStyle w:val="Compact"/>
              <w:spacing w:after="20" w:before="20" w:line="240" w:lineRule="auto"/>
              <w:jc w:val="left"/>
            </w:pPr>
            <w:r>
              <w:rPr>
                <w:sz w:val="17"/>
              </w:rPr>
              <w:t xml:space="preserve">Appariement</w:t>
            </w:r>
            <w:r>
              <w:rPr>
                <w:sz w:val="17"/>
              </w:rPr>
              <w:t xml:space="preserve"> </w:t>
            </w:r>
            <w:r>
              <w:rPr>
                <w:sz w:val="17"/>
              </w:rPr>
              <w:t xml:space="preserve">obligation–paiement–règlement–comptabilité</w:t>
            </w:r>
          </w:p>
        </w:tc>
      </w:tr>
      <w:tr>
        <w:tc>
          <w:tcPr/>
          <w:p>
            <w:pPr>
              <w:pStyle w:val="Compact"/>
              <w:spacing w:after="20" w:before="20" w:line="240" w:lineRule="auto"/>
              <w:jc w:val="left"/>
            </w:pPr>
            <w:r>
              <w:rPr>
                <w:sz w:val="17"/>
              </w:rPr>
              <w:t xml:space="preserve">31</w:t>
            </w:r>
          </w:p>
        </w:tc>
        <w:tc>
          <w:tcPr/>
          <w:p>
            <w:pPr>
              <w:pStyle w:val="Compact"/>
              <w:spacing w:after="20" w:before="20" w:line="240" w:lineRule="auto"/>
              <w:jc w:val="left"/>
            </w:pPr>
            <w:r>
              <w:rPr>
                <w:sz w:val="17"/>
              </w:rPr>
              <w:t xml:space="preserve">Quittances</w:t>
            </w:r>
            <w:r>
              <w:rPr>
                <w:sz w:val="17"/>
              </w:rPr>
              <w:t xml:space="preserve"> </w:t>
            </w:r>
            <w:r>
              <w:rPr>
                <w:sz w:val="17"/>
              </w:rPr>
              <w:t xml:space="preserve">électroniques</w:t>
            </w:r>
          </w:p>
        </w:tc>
        <w:tc>
          <w:tcPr/>
          <w:p>
            <w:pPr>
              <w:pStyle w:val="Compact"/>
              <w:spacing w:after="20" w:before="20" w:line="240" w:lineRule="auto"/>
              <w:jc w:val="left"/>
            </w:pPr>
            <w:r>
              <w:rPr>
                <w:sz w:val="17"/>
              </w:rPr>
              <w:t xml:space="preserve">Génération, signature, vérification QR, statuts</w:t>
            </w:r>
          </w:p>
        </w:tc>
      </w:tr>
      <w:tr>
        <w:tc>
          <w:tcPr>
            <w:shd w:val="clear" w:color="auto" w:fill="F2F9F8"/>
          </w:tcPr>
          <w:p>
            <w:pPr>
              <w:pStyle w:val="Compact"/>
              <w:spacing w:after="20" w:before="20" w:line="240" w:lineRule="auto"/>
              <w:jc w:val="left"/>
            </w:pPr>
            <w:r>
              <w:rPr>
                <w:sz w:val="17"/>
              </w:rPr>
              <w:t xml:space="preserve">32</w:t>
            </w:r>
          </w:p>
        </w:tc>
        <w:tc>
          <w:tcPr>
            <w:shd w:val="clear" w:color="auto" w:fill="F2F9F8"/>
          </w:tcPr>
          <w:p>
            <w:pPr>
              <w:pStyle w:val="Compact"/>
              <w:spacing w:after="20" w:before="20" w:line="240" w:lineRule="auto"/>
              <w:jc w:val="left"/>
            </w:pPr>
            <w:r>
              <w:rPr>
                <w:sz w:val="17"/>
              </w:rPr>
              <w:t xml:space="preserve">Arriérés et créances</w:t>
            </w:r>
          </w:p>
        </w:tc>
        <w:tc>
          <w:tcPr>
            <w:shd w:val="clear" w:color="auto" w:fill="F2F9F8"/>
          </w:tcPr>
          <w:p>
            <w:pPr>
              <w:pStyle w:val="Compact"/>
              <w:spacing w:after="20" w:before="20" w:line="240" w:lineRule="auto"/>
              <w:jc w:val="left"/>
            </w:pPr>
            <w:r>
              <w:rPr>
                <w:sz w:val="17"/>
              </w:rPr>
              <w:t xml:space="preserve">Encours, âge de la dette, priorisation</w:t>
            </w:r>
          </w:p>
        </w:tc>
      </w:tr>
      <w:tr>
        <w:tc>
          <w:tcPr/>
          <w:p>
            <w:pPr>
              <w:pStyle w:val="Compact"/>
              <w:spacing w:after="20" w:before="20" w:line="240" w:lineRule="auto"/>
              <w:jc w:val="left"/>
            </w:pPr>
            <w:r>
              <w:rPr>
                <w:sz w:val="17"/>
              </w:rPr>
              <w:t xml:space="preserve">33</w:t>
            </w:r>
          </w:p>
        </w:tc>
        <w:tc>
          <w:tcPr/>
          <w:p>
            <w:pPr>
              <w:pStyle w:val="Compact"/>
              <w:spacing w:after="20" w:before="20" w:line="240" w:lineRule="auto"/>
              <w:jc w:val="left"/>
            </w:pPr>
            <w:r>
              <w:rPr>
                <w:sz w:val="17"/>
              </w:rPr>
              <w:t xml:space="preserve">Campagnes de</w:t>
            </w:r>
            <w:r>
              <w:rPr>
                <w:sz w:val="17"/>
              </w:rPr>
              <w:t xml:space="preserve"> </w:t>
            </w:r>
            <w:r>
              <w:rPr>
                <w:sz w:val="17"/>
              </w:rPr>
              <w:t xml:space="preserve">recouvrement</w:t>
            </w:r>
          </w:p>
        </w:tc>
        <w:tc>
          <w:tcPr/>
          <w:p>
            <w:pPr>
              <w:pStyle w:val="Compact"/>
              <w:spacing w:after="20" w:before="20" w:line="240" w:lineRule="auto"/>
              <w:jc w:val="left"/>
            </w:pPr>
            <w:r>
              <w:rPr>
                <w:sz w:val="17"/>
              </w:rPr>
              <w:t xml:space="preserve">Relances graduées, segments, canaux, résultats</w:t>
            </w:r>
          </w:p>
        </w:tc>
      </w:tr>
      <w:tr>
        <w:tc>
          <w:tcPr>
            <w:shd w:val="clear" w:color="auto" w:fill="F2F9F8"/>
          </w:tcPr>
          <w:p>
            <w:pPr>
              <w:pStyle w:val="Compact"/>
              <w:spacing w:after="20" w:before="20" w:line="240" w:lineRule="auto"/>
              <w:jc w:val="left"/>
            </w:pPr>
            <w:r>
              <w:rPr>
                <w:sz w:val="17"/>
              </w:rPr>
              <w:t xml:space="preserve">34</w:t>
            </w:r>
          </w:p>
        </w:tc>
        <w:tc>
          <w:tcPr>
            <w:shd w:val="clear" w:color="auto" w:fill="F2F9F8"/>
          </w:tcPr>
          <w:p>
            <w:pPr>
              <w:pStyle w:val="Compact"/>
              <w:spacing w:after="20" w:before="20" w:line="240" w:lineRule="auto"/>
              <w:jc w:val="left"/>
            </w:pPr>
            <w:r>
              <w:rPr>
                <w:sz w:val="17"/>
              </w:rPr>
              <w:t xml:space="preserve">Recensement terrain</w:t>
            </w:r>
          </w:p>
        </w:tc>
        <w:tc>
          <w:tcPr>
            <w:shd w:val="clear" w:color="auto" w:fill="F2F9F8"/>
          </w:tcPr>
          <w:p>
            <w:pPr>
              <w:pStyle w:val="Compact"/>
              <w:spacing w:after="20" w:before="20" w:line="240" w:lineRule="auto"/>
              <w:jc w:val="left"/>
            </w:pPr>
            <w:r>
              <w:rPr>
                <w:sz w:val="17"/>
              </w:rPr>
              <w:t xml:space="preserve">Missions, zones, objets provisoires, preuves</w:t>
            </w:r>
          </w:p>
        </w:tc>
      </w:tr>
      <w:tr>
        <w:tc>
          <w:tcPr/>
          <w:p>
            <w:pPr>
              <w:pStyle w:val="Compact"/>
              <w:spacing w:after="20" w:before="20" w:line="240" w:lineRule="auto"/>
              <w:jc w:val="left"/>
            </w:pPr>
            <w:r>
              <w:rPr>
                <w:sz w:val="17"/>
              </w:rPr>
              <w:t xml:space="preserve">35</w:t>
            </w:r>
          </w:p>
        </w:tc>
        <w:tc>
          <w:tcPr/>
          <w:p>
            <w:pPr>
              <w:pStyle w:val="Compact"/>
              <w:spacing w:after="20" w:before="20" w:line="240" w:lineRule="auto"/>
              <w:jc w:val="left"/>
            </w:pPr>
            <w:r>
              <w:rPr>
                <w:sz w:val="17"/>
              </w:rPr>
              <w:t xml:space="preserve">Inspection et constat</w:t>
            </w:r>
          </w:p>
        </w:tc>
        <w:tc>
          <w:tcPr/>
          <w:p>
            <w:pPr>
              <w:pStyle w:val="Compact"/>
              <w:spacing w:after="20" w:before="20" w:line="240" w:lineRule="auto"/>
              <w:jc w:val="left"/>
            </w:pPr>
            <w:r>
              <w:rPr>
                <w:sz w:val="17"/>
              </w:rPr>
              <w:t xml:space="preserve">Dossiers, procès-verbaux, notifications</w:t>
            </w:r>
          </w:p>
        </w:tc>
      </w:tr>
      <w:tr>
        <w:tc>
          <w:tcPr>
            <w:shd w:val="clear" w:color="auto" w:fill="F2F9F8"/>
          </w:tcPr>
          <w:p>
            <w:pPr>
              <w:pStyle w:val="Compact"/>
              <w:spacing w:after="20" w:before="20" w:line="240" w:lineRule="auto"/>
              <w:jc w:val="left"/>
            </w:pPr>
            <w:r>
              <w:rPr>
                <w:sz w:val="17"/>
              </w:rPr>
              <w:t xml:space="preserve">36</w:t>
            </w:r>
          </w:p>
        </w:tc>
        <w:tc>
          <w:tcPr>
            <w:shd w:val="clear" w:color="auto" w:fill="F2F9F8"/>
          </w:tcPr>
          <w:p>
            <w:pPr>
              <w:pStyle w:val="Compact"/>
              <w:spacing w:after="20" w:before="20" w:line="240" w:lineRule="auto"/>
              <w:jc w:val="left"/>
            </w:pPr>
            <w:r>
              <w:rPr>
                <w:sz w:val="17"/>
              </w:rPr>
              <w:t xml:space="preserve">Gestion des dossiers</w:t>
            </w:r>
            <w:r>
              <w:rPr>
                <w:sz w:val="17"/>
              </w:rPr>
              <w:t xml:space="preserve"> </w:t>
            </w:r>
            <w:r>
              <w:rPr>
                <w:sz w:val="17"/>
              </w:rPr>
              <w:t xml:space="preserve">d'exécution</w:t>
            </w:r>
          </w:p>
        </w:tc>
        <w:tc>
          <w:tcPr>
            <w:shd w:val="clear" w:color="auto" w:fill="F2F9F8"/>
          </w:tcPr>
          <w:p>
            <w:pPr>
              <w:pStyle w:val="Compact"/>
              <w:spacing w:after="20" w:before="20" w:line="240" w:lineRule="auto"/>
              <w:jc w:val="left"/>
            </w:pPr>
            <w:r>
              <w:rPr>
                <w:sz w:val="17"/>
              </w:rPr>
              <w:t xml:space="preserve">Mise en demeure, mesures légales, suivi</w:t>
            </w:r>
          </w:p>
        </w:tc>
      </w:tr>
      <w:tr>
        <w:tc>
          <w:tcPr/>
          <w:p>
            <w:pPr>
              <w:pStyle w:val="Compact"/>
              <w:spacing w:after="20" w:before="20" w:line="240" w:lineRule="auto"/>
              <w:jc w:val="left"/>
            </w:pPr>
            <w:r>
              <w:rPr>
                <w:sz w:val="17"/>
              </w:rPr>
              <w:t xml:space="preserve">37</w:t>
            </w:r>
          </w:p>
        </w:tc>
        <w:tc>
          <w:tcPr/>
          <w:p>
            <w:pPr>
              <w:pStyle w:val="Compact"/>
              <w:spacing w:after="20" w:before="20" w:line="240" w:lineRule="auto"/>
              <w:jc w:val="left"/>
            </w:pPr>
            <w:r>
              <w:rPr>
                <w:sz w:val="17"/>
              </w:rPr>
              <w:t xml:space="preserve">Réclamations et</w:t>
            </w:r>
            <w:r>
              <w:rPr>
                <w:sz w:val="17"/>
              </w:rPr>
              <w:t xml:space="preserve"> </w:t>
            </w:r>
            <w:r>
              <w:rPr>
                <w:sz w:val="17"/>
              </w:rPr>
              <w:t xml:space="preserve">recours</w:t>
            </w:r>
          </w:p>
        </w:tc>
        <w:tc>
          <w:tcPr/>
          <w:p>
            <w:pPr>
              <w:pStyle w:val="Compact"/>
              <w:spacing w:after="20" w:before="20" w:line="240" w:lineRule="auto"/>
              <w:jc w:val="left"/>
            </w:pPr>
            <w:r>
              <w:rPr>
                <w:sz w:val="17"/>
              </w:rPr>
              <w:t xml:space="preserve">Contestations, délais, décisions, voies de</w:t>
            </w:r>
            <w:r>
              <w:rPr>
                <w:sz w:val="17"/>
              </w:rPr>
              <w:t xml:space="preserve"> </w:t>
            </w:r>
            <w:r>
              <w:rPr>
                <w:sz w:val="17"/>
              </w:rPr>
              <w:t xml:space="preserve">recours</w:t>
            </w:r>
          </w:p>
        </w:tc>
      </w:tr>
      <w:tr>
        <w:tc>
          <w:tcPr>
            <w:shd w:val="clear" w:color="auto" w:fill="F2F9F8"/>
          </w:tcPr>
          <w:p>
            <w:pPr>
              <w:pStyle w:val="Compact"/>
              <w:spacing w:after="20" w:before="20" w:line="240" w:lineRule="auto"/>
              <w:jc w:val="left"/>
            </w:pPr>
            <w:r>
              <w:rPr>
                <w:sz w:val="17"/>
              </w:rPr>
              <w:t xml:space="preserve">38</w:t>
            </w:r>
          </w:p>
        </w:tc>
        <w:tc>
          <w:tcPr>
            <w:shd w:val="clear" w:color="auto" w:fill="F2F9F8"/>
          </w:tcPr>
          <w:p>
            <w:pPr>
              <w:pStyle w:val="Compact"/>
              <w:spacing w:after="20" w:before="20" w:line="240" w:lineRule="auto"/>
              <w:jc w:val="left"/>
            </w:pPr>
            <w:r>
              <w:rPr>
                <w:sz w:val="17"/>
              </w:rPr>
              <w:t xml:space="preserve">Gestion documentaire</w:t>
            </w:r>
          </w:p>
        </w:tc>
        <w:tc>
          <w:tcPr>
            <w:shd w:val="clear" w:color="auto" w:fill="F2F9F8"/>
          </w:tcPr>
          <w:p>
            <w:pPr>
              <w:pStyle w:val="Compact"/>
              <w:spacing w:after="20" w:before="20" w:line="240" w:lineRule="auto"/>
              <w:jc w:val="left"/>
            </w:pPr>
            <w:r>
              <w:rPr>
                <w:sz w:val="17"/>
              </w:rPr>
              <w:t xml:space="preserve">Pièces, versions, intégrité, conservation</w:t>
            </w:r>
          </w:p>
        </w:tc>
      </w:tr>
      <w:tr>
        <w:tc>
          <w:tcPr/>
          <w:p>
            <w:pPr>
              <w:pStyle w:val="Compact"/>
              <w:spacing w:after="20" w:before="20" w:line="240" w:lineRule="auto"/>
              <w:jc w:val="left"/>
            </w:pPr>
            <w:r>
              <w:rPr>
                <w:sz w:val="17"/>
              </w:rPr>
              <w:t xml:space="preserve">39</w:t>
            </w:r>
          </w:p>
        </w:tc>
        <w:tc>
          <w:tcPr/>
          <w:p>
            <w:pPr>
              <w:pStyle w:val="Compact"/>
              <w:spacing w:after="20" w:before="20" w:line="240" w:lineRule="auto"/>
              <w:jc w:val="left"/>
            </w:pPr>
            <w:r>
              <w:rPr>
                <w:sz w:val="17"/>
              </w:rPr>
              <w:t xml:space="preserve">Notifications et</w:t>
            </w:r>
            <w:r>
              <w:rPr>
                <w:sz w:val="17"/>
              </w:rPr>
              <w:t xml:space="preserve"> </w:t>
            </w:r>
            <w:r>
              <w:rPr>
                <w:sz w:val="17"/>
              </w:rPr>
              <w:t xml:space="preserve">communication</w:t>
            </w:r>
          </w:p>
        </w:tc>
        <w:tc>
          <w:tcPr/>
          <w:p>
            <w:pPr>
              <w:pStyle w:val="Compact"/>
              <w:spacing w:after="20" w:before="20" w:line="240" w:lineRule="auto"/>
              <w:jc w:val="left"/>
            </w:pPr>
            <w:r>
              <w:rPr>
                <w:sz w:val="17"/>
              </w:rPr>
              <w:t xml:space="preserve">SMS, courriel, application, courrier, preuve</w:t>
            </w:r>
            <w:r>
              <w:rPr>
                <w:sz w:val="17"/>
              </w:rPr>
              <w:t xml:space="preserve"> </w:t>
            </w:r>
            <w:r>
              <w:rPr>
                <w:sz w:val="17"/>
              </w:rPr>
              <w:t xml:space="preserve">d'envoi</w:t>
            </w:r>
          </w:p>
        </w:tc>
      </w:tr>
      <w:tr>
        <w:tc>
          <w:tcPr>
            <w:shd w:val="clear" w:color="auto" w:fill="F2F9F8"/>
          </w:tcPr>
          <w:p>
            <w:pPr>
              <w:pStyle w:val="Compact"/>
              <w:spacing w:after="20" w:before="20" w:line="240" w:lineRule="auto"/>
              <w:jc w:val="left"/>
            </w:pPr>
            <w:r>
              <w:rPr>
                <w:sz w:val="17"/>
              </w:rPr>
              <w:t xml:space="preserve">40</w:t>
            </w:r>
          </w:p>
        </w:tc>
        <w:tc>
          <w:tcPr>
            <w:shd w:val="clear" w:color="auto" w:fill="F2F9F8"/>
          </w:tcPr>
          <w:p>
            <w:pPr>
              <w:pStyle w:val="Compact"/>
              <w:spacing w:after="20" w:before="20" w:line="240" w:lineRule="auto"/>
              <w:jc w:val="left"/>
            </w:pPr>
            <w:r>
              <w:rPr>
                <w:sz w:val="17"/>
              </w:rPr>
              <w:t xml:space="preserve">Renseignement</w:t>
            </w:r>
            <w:r>
              <w:rPr>
                <w:sz w:val="17"/>
              </w:rPr>
              <w:t xml:space="preserve"> </w:t>
            </w:r>
            <w:r>
              <w:rPr>
                <w:sz w:val="17"/>
              </w:rPr>
              <w:t xml:space="preserve">anti-fraude</w:t>
            </w:r>
          </w:p>
        </w:tc>
        <w:tc>
          <w:tcPr>
            <w:shd w:val="clear" w:color="auto" w:fill="F2F9F8"/>
          </w:tcPr>
          <w:p>
            <w:pPr>
              <w:pStyle w:val="Compact"/>
              <w:spacing w:after="20" w:before="20" w:line="240" w:lineRule="auto"/>
              <w:jc w:val="left"/>
            </w:pPr>
            <w:r>
              <w:rPr>
                <w:sz w:val="17"/>
              </w:rPr>
              <w:t xml:space="preserve">Signaux, alertes, enquêtes, preuves</w:t>
            </w:r>
          </w:p>
        </w:tc>
      </w:tr>
      <w:tr>
        <w:tc>
          <w:tcPr/>
          <w:p>
            <w:pPr>
              <w:pStyle w:val="Compact"/>
              <w:spacing w:after="20" w:before="20" w:line="240" w:lineRule="auto"/>
              <w:jc w:val="left"/>
            </w:pPr>
            <w:r>
              <w:rPr>
                <w:sz w:val="17"/>
              </w:rPr>
              <w:t xml:space="preserve">41</w:t>
            </w:r>
          </w:p>
        </w:tc>
        <w:tc>
          <w:tcPr/>
          <w:p>
            <w:pPr>
              <w:pStyle w:val="Compact"/>
              <w:spacing w:after="20" w:before="20" w:line="240" w:lineRule="auto"/>
              <w:jc w:val="left"/>
            </w:pPr>
            <w:r>
              <w:rPr>
                <w:sz w:val="17"/>
              </w:rPr>
              <w:t xml:space="preserve">Centre de</w:t>
            </w:r>
            <w:r>
              <w:rPr>
                <w:sz w:val="17"/>
              </w:rPr>
              <w:t xml:space="preserve"> </w:t>
            </w:r>
            <w:r>
              <w:rPr>
                <w:sz w:val="17"/>
              </w:rPr>
              <w:t xml:space="preserve">commandement exécutif</w:t>
            </w:r>
          </w:p>
        </w:tc>
        <w:tc>
          <w:tcPr/>
          <w:p>
            <w:pPr>
              <w:pStyle w:val="Compact"/>
              <w:spacing w:after="20" w:before="20" w:line="240" w:lineRule="auto"/>
              <w:jc w:val="left"/>
            </w:pPr>
            <w:r>
              <w:rPr>
                <w:sz w:val="17"/>
              </w:rPr>
              <w:t xml:space="preserve">Vue Gouverneur, alertes, décisions</w:t>
            </w:r>
          </w:p>
        </w:tc>
      </w:tr>
      <w:tr>
        <w:tc>
          <w:tcPr>
            <w:shd w:val="clear" w:color="auto" w:fill="F2F9F8"/>
          </w:tcPr>
          <w:p>
            <w:pPr>
              <w:pStyle w:val="Compact"/>
              <w:spacing w:after="20" w:before="20" w:line="240" w:lineRule="auto"/>
              <w:jc w:val="left"/>
            </w:pPr>
            <w:r>
              <w:rPr>
                <w:sz w:val="17"/>
              </w:rPr>
              <w:t xml:space="preserve">42</w:t>
            </w:r>
          </w:p>
        </w:tc>
        <w:tc>
          <w:tcPr>
            <w:shd w:val="clear" w:color="auto" w:fill="F2F9F8"/>
          </w:tcPr>
          <w:p>
            <w:pPr>
              <w:pStyle w:val="Compact"/>
              <w:spacing w:after="20" w:before="20" w:line="240" w:lineRule="auto"/>
              <w:jc w:val="left"/>
            </w:pPr>
            <w:r>
              <w:rPr>
                <w:sz w:val="17"/>
              </w:rPr>
              <w:t xml:space="preserve">Tableau de bord régie</w:t>
            </w:r>
            <w:r>
              <w:rPr>
                <w:sz w:val="17"/>
              </w:rPr>
              <w:t xml:space="preserve"> </w:t>
            </w:r>
            <w:r>
              <w:rPr>
                <w:sz w:val="17"/>
              </w:rPr>
              <w:t xml:space="preserve">fiscale</w:t>
            </w:r>
          </w:p>
        </w:tc>
        <w:tc>
          <w:tcPr>
            <w:shd w:val="clear" w:color="auto" w:fill="F2F9F8"/>
          </w:tcPr>
          <w:p>
            <w:pPr>
              <w:pStyle w:val="Compact"/>
              <w:spacing w:after="20" w:before="20" w:line="240" w:lineRule="auto"/>
              <w:jc w:val="left"/>
            </w:pPr>
            <w:r>
              <w:rPr>
                <w:sz w:val="17"/>
              </w:rPr>
              <w:t xml:space="preserve">Assiette, liquidation, recouvrement,</w:t>
            </w:r>
            <w:r>
              <w:rPr>
                <w:sz w:val="17"/>
              </w:rPr>
              <w:t xml:space="preserve"> </w:t>
            </w:r>
            <w:r>
              <w:rPr>
                <w:sz w:val="17"/>
              </w:rPr>
              <w:t xml:space="preserve">contentieux</w:t>
            </w:r>
          </w:p>
        </w:tc>
      </w:tr>
      <w:tr>
        <w:tc>
          <w:tcPr/>
          <w:p>
            <w:pPr>
              <w:pStyle w:val="Compact"/>
              <w:spacing w:after="20" w:before="20" w:line="240" w:lineRule="auto"/>
              <w:jc w:val="left"/>
            </w:pPr>
            <w:r>
              <w:rPr>
                <w:sz w:val="17"/>
              </w:rPr>
              <w:t xml:space="preserve">43</w:t>
            </w:r>
          </w:p>
        </w:tc>
        <w:tc>
          <w:tcPr/>
          <w:p>
            <w:pPr>
              <w:pStyle w:val="Compact"/>
              <w:spacing w:after="20" w:before="20" w:line="240" w:lineRule="auto"/>
              <w:jc w:val="left"/>
            </w:pPr>
            <w:r>
              <w:rPr>
                <w:sz w:val="17"/>
              </w:rPr>
              <w:t xml:space="preserve">Tableau de bord régie</w:t>
            </w:r>
            <w:r>
              <w:rPr>
                <w:sz w:val="17"/>
              </w:rPr>
              <w:t xml:space="preserve"> </w:t>
            </w:r>
            <w:r>
              <w:rPr>
                <w:sz w:val="17"/>
              </w:rPr>
              <w:t xml:space="preserve">des taxes</w:t>
            </w:r>
          </w:p>
        </w:tc>
        <w:tc>
          <w:tcPr/>
          <w:p>
            <w:pPr>
              <w:pStyle w:val="Compact"/>
              <w:spacing w:after="20" w:before="20" w:line="240" w:lineRule="auto"/>
              <w:jc w:val="left"/>
            </w:pPr>
            <w:r>
              <w:rPr>
                <w:sz w:val="17"/>
              </w:rPr>
              <w:t xml:space="preserve">Droits, taxes et redevances urbaines</w:t>
            </w:r>
          </w:p>
        </w:tc>
      </w:tr>
      <w:tr>
        <w:tc>
          <w:tcPr>
            <w:shd w:val="clear" w:color="auto" w:fill="F2F9F8"/>
          </w:tcPr>
          <w:p>
            <w:pPr>
              <w:pStyle w:val="Compact"/>
              <w:spacing w:after="20" w:before="20" w:line="240" w:lineRule="auto"/>
              <w:jc w:val="left"/>
            </w:pPr>
            <w:r>
              <w:rPr>
                <w:sz w:val="17"/>
              </w:rPr>
              <w:t xml:space="preserve">44</w:t>
            </w:r>
          </w:p>
        </w:tc>
        <w:tc>
          <w:tcPr>
            <w:shd w:val="clear" w:color="auto" w:fill="F2F9F8"/>
          </w:tcPr>
          <w:p>
            <w:pPr>
              <w:pStyle w:val="Compact"/>
              <w:spacing w:after="20" w:before="20" w:line="240" w:lineRule="auto"/>
              <w:jc w:val="left"/>
            </w:pPr>
            <w:r>
              <w:rPr>
                <w:sz w:val="17"/>
              </w:rPr>
              <w:t xml:space="preserve">Tableaux de bord</w:t>
            </w:r>
            <w:r>
              <w:rPr>
                <w:sz w:val="17"/>
              </w:rPr>
              <w:t xml:space="preserve"> </w:t>
            </w:r>
            <w:r>
              <w:rPr>
                <w:sz w:val="17"/>
              </w:rPr>
              <w:t xml:space="preserve">ministériels</w:t>
            </w:r>
          </w:p>
        </w:tc>
        <w:tc>
          <w:tcPr>
            <w:shd w:val="clear" w:color="auto" w:fill="F2F9F8"/>
          </w:tcPr>
          <w:p>
            <w:pPr>
              <w:pStyle w:val="Compact"/>
              <w:spacing w:after="20" w:before="20" w:line="240" w:lineRule="auto"/>
              <w:jc w:val="left"/>
            </w:pPr>
            <w:r>
              <w:rPr>
                <w:sz w:val="17"/>
              </w:rPr>
              <w:t xml:space="preserve">Périmètre légal de chaque ministère</w:t>
            </w:r>
          </w:p>
        </w:tc>
      </w:tr>
      <w:tr>
        <w:tc>
          <w:tcPr/>
          <w:p>
            <w:pPr>
              <w:pStyle w:val="Compact"/>
              <w:spacing w:after="20" w:before="20" w:line="240" w:lineRule="auto"/>
              <w:jc w:val="left"/>
            </w:pPr>
            <w:r>
              <w:rPr>
                <w:sz w:val="17"/>
              </w:rPr>
              <w:t xml:space="preserve">45</w:t>
            </w:r>
          </w:p>
        </w:tc>
        <w:tc>
          <w:tcPr/>
          <w:p>
            <w:pPr>
              <w:pStyle w:val="Compact"/>
              <w:spacing w:after="20" w:before="20" w:line="240" w:lineRule="auto"/>
              <w:jc w:val="left"/>
            </w:pPr>
            <w:r>
              <w:rPr>
                <w:sz w:val="17"/>
              </w:rPr>
              <w:t xml:space="preserve">Salle de contrôle</w:t>
            </w:r>
            <w:r>
              <w:rPr>
                <w:sz w:val="17"/>
              </w:rPr>
              <w:t xml:space="preserve"> </w:t>
            </w:r>
            <w:r>
              <w:rPr>
                <w:sz w:val="17"/>
              </w:rPr>
              <w:t xml:space="preserve">finances et</w:t>
            </w:r>
            <w:r>
              <w:rPr>
                <w:sz w:val="17"/>
              </w:rPr>
              <w:t xml:space="preserve"> </w:t>
            </w:r>
            <w:r>
              <w:rPr>
                <w:sz w:val="17"/>
              </w:rPr>
              <w:t xml:space="preserve">trésorerie</w:t>
            </w:r>
          </w:p>
        </w:tc>
        <w:tc>
          <w:tcPr/>
          <w:p>
            <w:pPr>
              <w:pStyle w:val="Compact"/>
              <w:spacing w:after="20" w:before="20" w:line="240" w:lineRule="auto"/>
              <w:jc w:val="left"/>
            </w:pPr>
            <w:r>
              <w:rPr>
                <w:sz w:val="17"/>
              </w:rPr>
              <w:t xml:space="preserve">Encaissements, écarts, exceptions</w:t>
            </w:r>
          </w:p>
        </w:tc>
      </w:tr>
      <w:tr>
        <w:tc>
          <w:tcPr>
            <w:shd w:val="clear" w:color="auto" w:fill="F2F9F8"/>
          </w:tcPr>
          <w:p>
            <w:pPr>
              <w:pStyle w:val="Compact"/>
              <w:spacing w:after="20" w:before="20" w:line="240" w:lineRule="auto"/>
              <w:jc w:val="left"/>
            </w:pPr>
            <w:r>
              <w:rPr>
                <w:sz w:val="17"/>
              </w:rPr>
              <w:t xml:space="preserve">46</w:t>
            </w:r>
          </w:p>
        </w:tc>
        <w:tc>
          <w:tcPr>
            <w:shd w:val="clear" w:color="auto" w:fill="F2F9F8"/>
          </w:tcPr>
          <w:p>
            <w:pPr>
              <w:pStyle w:val="Compact"/>
              <w:spacing w:after="20" w:before="20" w:line="240" w:lineRule="auto"/>
              <w:jc w:val="left"/>
            </w:pPr>
            <w:r>
              <w:rPr>
                <w:sz w:val="17"/>
              </w:rPr>
              <w:t xml:space="preserve">Audit et</w:t>
            </w:r>
            <w:r>
              <w:rPr>
                <w:sz w:val="17"/>
              </w:rPr>
              <w:t xml:space="preserve"> </w:t>
            </w:r>
            <w:r>
              <w:rPr>
                <w:sz w:val="17"/>
              </w:rPr>
              <w:t xml:space="preserve">investigation</w:t>
            </w:r>
          </w:p>
        </w:tc>
        <w:tc>
          <w:tcPr>
            <w:shd w:val="clear" w:color="auto" w:fill="F2F9F8"/>
          </w:tcPr>
          <w:p>
            <w:pPr>
              <w:pStyle w:val="Compact"/>
              <w:spacing w:after="20" w:before="20" w:line="240" w:lineRule="auto"/>
              <w:jc w:val="left"/>
            </w:pPr>
            <w:r>
              <w:rPr>
                <w:sz w:val="17"/>
              </w:rPr>
              <w:t xml:space="preserve">Accès en lecture, pistes, extractions probantes</w:t>
            </w:r>
          </w:p>
        </w:tc>
      </w:tr>
      <w:tr>
        <w:tc>
          <w:tcPr/>
          <w:p>
            <w:pPr>
              <w:pStyle w:val="Compact"/>
              <w:spacing w:after="20" w:before="20" w:line="240" w:lineRule="auto"/>
              <w:jc w:val="left"/>
            </w:pPr>
            <w:r>
              <w:rPr>
                <w:sz w:val="17"/>
              </w:rPr>
              <w:t xml:space="preserve">47</w:t>
            </w:r>
          </w:p>
        </w:tc>
        <w:tc>
          <w:tcPr/>
          <w:p>
            <w:pPr>
              <w:pStyle w:val="Compact"/>
              <w:spacing w:after="20" w:before="20" w:line="240" w:lineRule="auto"/>
              <w:jc w:val="left"/>
            </w:pPr>
            <w:r>
              <w:rPr>
                <w:sz w:val="17"/>
              </w:rPr>
              <w:t xml:space="preserve">Prévision des</w:t>
            </w:r>
            <w:r>
              <w:rPr>
                <w:sz w:val="17"/>
              </w:rPr>
              <w:t xml:space="preserve"> </w:t>
            </w:r>
            <w:r>
              <w:rPr>
                <w:sz w:val="17"/>
              </w:rPr>
              <w:t xml:space="preserve">recettes</w:t>
            </w:r>
          </w:p>
        </w:tc>
        <w:tc>
          <w:tcPr/>
          <w:p>
            <w:pPr>
              <w:pStyle w:val="Compact"/>
              <w:spacing w:after="20" w:before="20" w:line="240" w:lineRule="auto"/>
              <w:jc w:val="left"/>
            </w:pPr>
            <w:r>
              <w:rPr>
                <w:sz w:val="17"/>
              </w:rPr>
              <w:t xml:space="preserve">Scénarios, hypothèses, sensibilité</w:t>
            </w:r>
          </w:p>
        </w:tc>
      </w:tr>
      <w:tr>
        <w:tc>
          <w:tcPr>
            <w:shd w:val="clear" w:color="auto" w:fill="F2F9F8"/>
          </w:tcPr>
          <w:p>
            <w:pPr>
              <w:pStyle w:val="Compact"/>
              <w:spacing w:after="20" w:before="20" w:line="240" w:lineRule="auto"/>
              <w:jc w:val="left"/>
            </w:pPr>
            <w:r>
              <w:rPr>
                <w:sz w:val="17"/>
              </w:rPr>
              <w:t xml:space="preserve">48</w:t>
            </w:r>
          </w:p>
        </w:tc>
        <w:tc>
          <w:tcPr>
            <w:shd w:val="clear" w:color="auto" w:fill="F2F9F8"/>
          </w:tcPr>
          <w:p>
            <w:pPr>
              <w:pStyle w:val="Compact"/>
              <w:spacing w:after="20" w:before="20" w:line="240" w:lineRule="auto"/>
              <w:jc w:val="left"/>
            </w:pPr>
            <w:r>
              <w:rPr>
                <w:sz w:val="17"/>
              </w:rPr>
              <w:t xml:space="preserve">Recommandation</w:t>
            </w:r>
            <w:r>
              <w:rPr>
                <w:sz w:val="17"/>
              </w:rPr>
              <w:t xml:space="preserve"> </w:t>
            </w:r>
            <w:r>
              <w:rPr>
                <w:sz w:val="17"/>
              </w:rPr>
              <w:t xml:space="preserve">d'investissement</w:t>
            </w:r>
            <w:r>
              <w:rPr>
                <w:sz w:val="17"/>
              </w:rPr>
              <w:t xml:space="preserve"> </w:t>
            </w:r>
            <w:r>
              <w:rPr>
                <w:sz w:val="17"/>
              </w:rPr>
              <w:t xml:space="preserve">public</w:t>
            </w:r>
          </w:p>
        </w:tc>
        <w:tc>
          <w:tcPr>
            <w:shd w:val="clear" w:color="auto" w:fill="F2F9F8"/>
          </w:tcPr>
          <w:p>
            <w:pPr>
              <w:pStyle w:val="Compact"/>
              <w:spacing w:after="20" w:before="20" w:line="240" w:lineRule="auto"/>
              <w:jc w:val="left"/>
            </w:pPr>
            <w:r>
              <w:rPr>
                <w:sz w:val="17"/>
              </w:rPr>
              <w:t xml:space="preserve">Capacité disponible, projets, scénarios</w:t>
            </w:r>
            <w:r>
              <w:rPr>
                <w:sz w:val="17"/>
              </w:rPr>
              <w:t xml:space="preserve"> </w:t>
            </w:r>
            <w:r>
              <w:rPr>
                <w:sz w:val="17"/>
              </w:rPr>
              <w:t xml:space="preserve">d'affectation</w:t>
            </w:r>
          </w:p>
        </w:tc>
      </w:tr>
      <w:tr>
        <w:tc>
          <w:tcPr/>
          <w:p>
            <w:pPr>
              <w:pStyle w:val="Compact"/>
              <w:spacing w:after="20" w:before="20" w:line="240" w:lineRule="auto"/>
              <w:jc w:val="left"/>
            </w:pPr>
            <w:r>
              <w:rPr>
                <w:sz w:val="17"/>
              </w:rPr>
              <w:t xml:space="preserve">49</w:t>
            </w:r>
          </w:p>
        </w:tc>
        <w:tc>
          <w:tcPr/>
          <w:p>
            <w:pPr>
              <w:pStyle w:val="Compact"/>
              <w:spacing w:after="20" w:before="20" w:line="240" w:lineRule="auto"/>
              <w:jc w:val="left"/>
            </w:pPr>
            <w:r>
              <w:rPr>
                <w:sz w:val="17"/>
              </w:rPr>
              <w:t xml:space="preserve">Gestion des agents IA</w:t>
            </w:r>
          </w:p>
        </w:tc>
        <w:tc>
          <w:tcPr/>
          <w:p>
            <w:pPr>
              <w:pStyle w:val="Compact"/>
              <w:spacing w:after="20" w:before="20" w:line="240" w:lineRule="auto"/>
              <w:jc w:val="left"/>
            </w:pPr>
            <w:r>
              <w:rPr>
                <w:sz w:val="17"/>
              </w:rPr>
              <w:t xml:space="preserve">Modèles, versions, validations, journaux</w:t>
            </w:r>
          </w:p>
        </w:tc>
      </w:tr>
      <w:tr>
        <w:tc>
          <w:tcPr>
            <w:shd w:val="clear" w:color="auto" w:fill="F2F9F8"/>
          </w:tcPr>
          <w:p>
            <w:pPr>
              <w:pStyle w:val="Compact"/>
              <w:spacing w:after="20" w:before="20" w:line="240" w:lineRule="auto"/>
              <w:jc w:val="left"/>
            </w:pPr>
            <w:r>
              <w:rPr>
                <w:sz w:val="17"/>
              </w:rPr>
              <w:t xml:space="preserve">50</w:t>
            </w:r>
          </w:p>
        </w:tc>
        <w:tc>
          <w:tcPr>
            <w:shd w:val="clear" w:color="auto" w:fill="F2F9F8"/>
          </w:tcPr>
          <w:p>
            <w:pPr>
              <w:pStyle w:val="Compact"/>
              <w:spacing w:after="20" w:before="20" w:line="240" w:lineRule="auto"/>
              <w:jc w:val="left"/>
            </w:pPr>
            <w:r>
              <w:rPr>
                <w:sz w:val="17"/>
              </w:rPr>
              <w:t xml:space="preserve">Apprentissage et</w:t>
            </w:r>
            <w:r>
              <w:rPr>
                <w:sz w:val="17"/>
              </w:rPr>
              <w:t xml:space="preserve"> </w:t>
            </w:r>
            <w:r>
              <w:rPr>
                <w:sz w:val="17"/>
              </w:rPr>
              <w:t xml:space="preserve">connaissance</w:t>
            </w:r>
          </w:p>
        </w:tc>
        <w:tc>
          <w:tcPr>
            <w:shd w:val="clear" w:color="auto" w:fill="F2F9F8"/>
          </w:tcPr>
          <w:p>
            <w:pPr>
              <w:pStyle w:val="Compact"/>
              <w:spacing w:after="20" w:before="20" w:line="240" w:lineRule="auto"/>
              <w:jc w:val="left"/>
            </w:pPr>
            <w:r>
              <w:rPr>
                <w:sz w:val="17"/>
              </w:rPr>
              <w:t xml:space="preserve">Formation, procédures, certification</w:t>
            </w:r>
          </w:p>
        </w:tc>
      </w:tr>
      <w:tr>
        <w:tc>
          <w:tcPr/>
          <w:p>
            <w:pPr>
              <w:pStyle w:val="Compact"/>
              <w:spacing w:after="20" w:before="20" w:line="240" w:lineRule="auto"/>
              <w:jc w:val="left"/>
            </w:pPr>
            <w:r>
              <w:rPr>
                <w:sz w:val="17"/>
              </w:rPr>
              <w:t xml:space="preserve">51</w:t>
            </w:r>
          </w:p>
        </w:tc>
        <w:tc>
          <w:tcPr/>
          <w:p>
            <w:pPr>
              <w:pStyle w:val="Compact"/>
              <w:spacing w:after="20" w:before="20" w:line="240" w:lineRule="auto"/>
              <w:jc w:val="left"/>
            </w:pPr>
            <w:r>
              <w:rPr>
                <w:sz w:val="17"/>
              </w:rPr>
              <w:t xml:space="preserve">Accès et délégations</w:t>
            </w:r>
          </w:p>
        </w:tc>
        <w:tc>
          <w:tcPr/>
          <w:p>
            <w:pPr>
              <w:pStyle w:val="Compact"/>
              <w:spacing w:after="20" w:before="20" w:line="240" w:lineRule="auto"/>
              <w:jc w:val="left"/>
            </w:pPr>
            <w:r>
              <w:rPr>
                <w:sz w:val="17"/>
              </w:rPr>
              <w:t xml:space="preserve">Rôles, attributs, habilitations temporaires,</w:t>
            </w:r>
            <w:r>
              <w:rPr>
                <w:sz w:val="17"/>
              </w:rPr>
              <w:t xml:space="preserve"> </w:t>
            </w:r>
            <w:r>
              <w:rPr>
                <w:sz w:val="17"/>
              </w:rPr>
              <w:t xml:space="preserve">revues</w:t>
            </w:r>
          </w:p>
        </w:tc>
      </w:tr>
      <w:tr>
        <w:tc>
          <w:tcPr>
            <w:shd w:val="clear" w:color="auto" w:fill="F2F9F8"/>
          </w:tcPr>
          <w:p>
            <w:pPr>
              <w:pStyle w:val="Compact"/>
              <w:spacing w:after="20" w:before="20" w:line="240" w:lineRule="auto"/>
              <w:jc w:val="left"/>
            </w:pPr>
            <w:r>
              <w:rPr>
                <w:sz w:val="17"/>
              </w:rPr>
              <w:t xml:space="preserve">52</w:t>
            </w:r>
          </w:p>
        </w:tc>
        <w:tc>
          <w:tcPr>
            <w:shd w:val="clear" w:color="auto" w:fill="F2F9F8"/>
          </w:tcPr>
          <w:p>
            <w:pPr>
              <w:pStyle w:val="Compact"/>
              <w:spacing w:after="20" w:before="20" w:line="240" w:lineRule="auto"/>
              <w:jc w:val="left"/>
            </w:pPr>
            <w:r>
              <w:rPr>
                <w:sz w:val="17"/>
              </w:rPr>
              <w:t xml:space="preserve">Intégration et API</w:t>
            </w:r>
          </w:p>
        </w:tc>
        <w:tc>
          <w:tcPr>
            <w:shd w:val="clear" w:color="auto" w:fill="F2F9F8"/>
          </w:tcPr>
          <w:p>
            <w:pPr>
              <w:pStyle w:val="Compact"/>
              <w:spacing w:after="20" w:before="20" w:line="240" w:lineRule="auto"/>
              <w:jc w:val="left"/>
            </w:pPr>
            <w:r>
              <w:rPr>
                <w:sz w:val="17"/>
              </w:rPr>
              <w:t xml:space="preserve">Partenaires, quotas, clés, journaux d'appels</w:t>
            </w:r>
          </w:p>
        </w:tc>
      </w:tr>
      <w:tr>
        <w:tc>
          <w:tcPr/>
          <w:p>
            <w:pPr>
              <w:pStyle w:val="Compact"/>
              <w:spacing w:after="20" w:before="20" w:line="240" w:lineRule="auto"/>
              <w:jc w:val="left"/>
            </w:pPr>
            <w:r>
              <w:rPr>
                <w:sz w:val="17"/>
              </w:rPr>
              <w:t xml:space="preserve">53</w:t>
            </w:r>
          </w:p>
        </w:tc>
        <w:tc>
          <w:tcPr/>
          <w:p>
            <w:pPr>
              <w:pStyle w:val="Compact"/>
              <w:spacing w:after="20" w:before="20" w:line="240" w:lineRule="auto"/>
              <w:jc w:val="left"/>
            </w:pPr>
            <w:r>
              <w:rPr>
                <w:sz w:val="17"/>
              </w:rPr>
              <w:t xml:space="preserve">Administration de la</w:t>
            </w:r>
            <w:r>
              <w:rPr>
                <w:sz w:val="17"/>
              </w:rPr>
              <w:t xml:space="preserve"> </w:t>
            </w:r>
            <w:r>
              <w:rPr>
                <w:sz w:val="17"/>
              </w:rPr>
              <w:t xml:space="preserve">plateforme</w:t>
            </w:r>
          </w:p>
        </w:tc>
        <w:tc>
          <w:tcPr/>
          <w:p>
            <w:pPr>
              <w:pStyle w:val="Compact"/>
              <w:spacing w:after="20" w:before="20" w:line="240" w:lineRule="auto"/>
              <w:jc w:val="left"/>
            </w:pPr>
            <w:r>
              <w:rPr>
                <w:sz w:val="17"/>
              </w:rPr>
              <w:t xml:space="preserve">Environnements, versions, configuration</w:t>
            </w:r>
            <w:r>
              <w:rPr>
                <w:sz w:val="17"/>
              </w:rPr>
              <w:t xml:space="preserve"> </w:t>
            </w:r>
            <w:r>
              <w:rPr>
                <w:sz w:val="17"/>
              </w:rPr>
              <w:t xml:space="preserve">technique</w:t>
            </w:r>
          </w:p>
        </w:tc>
      </w:tr>
      <w:tr>
        <w:tc>
          <w:tcPr>
            <w:shd w:val="clear" w:color="auto" w:fill="F2F9F8"/>
          </w:tcPr>
          <w:p>
            <w:pPr>
              <w:pStyle w:val="Compact"/>
              <w:spacing w:after="20" w:before="20" w:line="240" w:lineRule="auto"/>
              <w:jc w:val="left"/>
            </w:pPr>
            <w:r>
              <w:rPr>
                <w:sz w:val="17"/>
              </w:rPr>
              <w:t xml:space="preserve">54</w:t>
            </w:r>
          </w:p>
        </w:tc>
        <w:tc>
          <w:tcPr>
            <w:shd w:val="clear" w:color="auto" w:fill="F2F9F8"/>
          </w:tcPr>
          <w:p>
            <w:pPr>
              <w:pStyle w:val="Compact"/>
              <w:spacing w:after="20" w:before="20" w:line="240" w:lineRule="auto"/>
              <w:jc w:val="left"/>
            </w:pPr>
            <w:r>
              <w:rPr>
                <w:sz w:val="17"/>
              </w:rPr>
              <w:t xml:space="preserve">Transparence publique</w:t>
            </w:r>
          </w:p>
        </w:tc>
        <w:tc>
          <w:tcPr>
            <w:shd w:val="clear" w:color="auto" w:fill="F2F9F8"/>
          </w:tcPr>
          <w:p>
            <w:pPr>
              <w:pStyle w:val="Compact"/>
              <w:spacing w:after="20" w:before="20" w:line="240" w:lineRule="auto"/>
              <w:jc w:val="left"/>
            </w:pPr>
            <w:r>
              <w:rPr>
                <w:sz w:val="17"/>
              </w:rPr>
              <w:t xml:space="preserve">Recettes agrégées et réalisations, sans données</w:t>
            </w:r>
            <w:r>
              <w:rPr>
                <w:sz w:val="17"/>
              </w:rPr>
              <w:t xml:space="preserve"> </w:t>
            </w:r>
            <w:r>
              <w:rPr>
                <w:sz w:val="17"/>
              </w:rPr>
              <w:t xml:space="preserve">personnelles</w:t>
            </w:r>
          </w:p>
        </w:tc>
      </w:tr>
      <w:tr>
        <w:tc>
          <w:tcPr/>
          <w:p>
            <w:pPr>
              <w:pStyle w:val="Compact"/>
              <w:spacing w:after="20" w:before="20" w:line="240" w:lineRule="auto"/>
              <w:jc w:val="left"/>
            </w:pPr>
            <w:r>
              <w:rPr>
                <w:sz w:val="17"/>
              </w:rPr>
              <w:t xml:space="preserve">55</w:t>
            </w:r>
          </w:p>
        </w:tc>
        <w:tc>
          <w:tcPr/>
          <w:p>
            <w:pPr>
              <w:pStyle w:val="Compact"/>
              <w:spacing w:after="20" w:before="20" w:line="240" w:lineRule="auto"/>
              <w:jc w:val="left"/>
            </w:pPr>
            <w:r>
              <w:rPr>
                <w:sz w:val="17"/>
              </w:rPr>
              <w:t xml:space="preserve">Supervision et santé</w:t>
            </w:r>
            <w:r>
              <w:rPr>
                <w:sz w:val="17"/>
              </w:rPr>
              <w:t xml:space="preserve"> </w:t>
            </w:r>
            <w:r>
              <w:rPr>
                <w:sz w:val="17"/>
              </w:rPr>
              <w:t xml:space="preserve">du système</w:t>
            </w:r>
          </w:p>
        </w:tc>
        <w:tc>
          <w:tcPr/>
          <w:p>
            <w:pPr>
              <w:pStyle w:val="Compact"/>
              <w:spacing w:after="20" w:before="20" w:line="240" w:lineRule="auto"/>
              <w:jc w:val="left"/>
            </w:pPr>
            <w:r>
              <w:rPr>
                <w:sz w:val="17"/>
              </w:rPr>
              <w:t xml:space="preserve">Disponibilité, performance, incidents</w:t>
            </w:r>
          </w:p>
        </w:tc>
      </w:tr>
      <w:tr>
        <w:tc>
          <w:tcPr>
            <w:shd w:val="clear" w:color="auto" w:fill="F2F9F8"/>
          </w:tcPr>
          <w:p>
            <w:pPr>
              <w:pStyle w:val="Compact"/>
              <w:spacing w:after="20" w:before="20" w:line="240" w:lineRule="auto"/>
              <w:jc w:val="left"/>
            </w:pPr>
            <w:r>
              <w:rPr>
                <w:sz w:val="17"/>
              </w:rPr>
              <w:t xml:space="preserve">56</w:t>
            </w:r>
          </w:p>
        </w:tc>
        <w:tc>
          <w:tcPr>
            <w:shd w:val="clear" w:color="auto" w:fill="F2F9F8"/>
          </w:tcPr>
          <w:p>
            <w:pPr>
              <w:pStyle w:val="Compact"/>
              <w:spacing w:after="20" w:before="20" w:line="240" w:lineRule="auto"/>
              <w:jc w:val="left"/>
            </w:pPr>
            <w:r>
              <w:rPr>
                <w:sz w:val="17"/>
              </w:rPr>
              <w:t xml:space="preserve">Grands redevables</w:t>
            </w:r>
          </w:p>
        </w:tc>
        <w:tc>
          <w:tcPr>
            <w:shd w:val="clear" w:color="auto" w:fill="F2F9F8"/>
          </w:tcPr>
          <w:p>
            <w:pPr>
              <w:pStyle w:val="Compact"/>
              <w:spacing w:after="20" w:before="20" w:line="240" w:lineRule="auto"/>
              <w:jc w:val="left"/>
            </w:pPr>
            <w:r>
              <w:rPr>
                <w:sz w:val="17"/>
              </w:rPr>
              <w:t xml:space="preserve">Suivi dédié des redevables à fort enjeu</w:t>
            </w:r>
          </w:p>
        </w:tc>
      </w:tr>
      <w:tr>
        <w:tc>
          <w:tcPr/>
          <w:p>
            <w:pPr>
              <w:pStyle w:val="Compact"/>
              <w:spacing w:after="20" w:before="20" w:line="240" w:lineRule="auto"/>
              <w:jc w:val="left"/>
            </w:pPr>
            <w:r>
              <w:rPr>
                <w:sz w:val="17"/>
              </w:rPr>
              <w:t xml:space="preserve">57</w:t>
            </w:r>
          </w:p>
        </w:tc>
        <w:tc>
          <w:tcPr/>
          <w:p>
            <w:pPr>
              <w:pStyle w:val="Compact"/>
              <w:spacing w:after="20" w:before="20" w:line="240" w:lineRule="auto"/>
              <w:jc w:val="left"/>
            </w:pPr>
            <w:r>
              <w:rPr>
                <w:sz w:val="17"/>
              </w:rPr>
              <w:t xml:space="preserve">Registre des</w:t>
            </w:r>
            <w:r>
              <w:rPr>
                <w:sz w:val="17"/>
              </w:rPr>
              <w:t xml:space="preserve"> </w:t>
            </w:r>
            <w:r>
              <w:rPr>
                <w:sz w:val="17"/>
              </w:rPr>
              <w:t xml:space="preserve">exonérations</w:t>
            </w:r>
          </w:p>
        </w:tc>
        <w:tc>
          <w:tcPr/>
          <w:p>
            <w:pPr>
              <w:pStyle w:val="Compact"/>
              <w:spacing w:after="20" w:before="20" w:line="240" w:lineRule="auto"/>
              <w:jc w:val="left"/>
            </w:pPr>
            <w:r>
              <w:rPr>
                <w:sz w:val="17"/>
              </w:rPr>
              <w:t xml:space="preserve">Fondement, preuve, durée, révision</w:t>
            </w:r>
          </w:p>
        </w:tc>
      </w:tr>
      <w:tr>
        <w:tc>
          <w:tcPr>
            <w:shd w:val="clear" w:color="auto" w:fill="F2F9F8"/>
          </w:tcPr>
          <w:p>
            <w:pPr>
              <w:pStyle w:val="Compact"/>
              <w:spacing w:after="20" w:before="20" w:line="240" w:lineRule="auto"/>
              <w:jc w:val="left"/>
            </w:pPr>
            <w:r>
              <w:rPr>
                <w:sz w:val="17"/>
              </w:rPr>
              <w:t xml:space="preserve">58</w:t>
            </w:r>
          </w:p>
        </w:tc>
        <w:tc>
          <w:tcPr>
            <w:shd w:val="clear" w:color="auto" w:fill="F2F9F8"/>
          </w:tcPr>
          <w:p>
            <w:pPr>
              <w:pStyle w:val="Compact"/>
              <w:spacing w:after="20" w:before="20" w:line="240" w:lineRule="auto"/>
              <w:jc w:val="left"/>
            </w:pPr>
            <w:r>
              <w:rPr>
                <w:sz w:val="17"/>
              </w:rPr>
              <w:t xml:space="preserve">Gestion des</w:t>
            </w:r>
            <w:r>
              <w:rPr>
                <w:sz w:val="17"/>
              </w:rPr>
              <w:t xml:space="preserve"> </w:t>
            </w:r>
            <w:r>
              <w:rPr>
                <w:sz w:val="17"/>
              </w:rPr>
              <w:t xml:space="preserve">équipements terrain</w:t>
            </w:r>
          </w:p>
        </w:tc>
        <w:tc>
          <w:tcPr>
            <w:shd w:val="clear" w:color="auto" w:fill="F2F9F8"/>
          </w:tcPr>
          <w:p>
            <w:pPr>
              <w:pStyle w:val="Compact"/>
              <w:spacing w:after="20" w:before="20" w:line="240" w:lineRule="auto"/>
              <w:jc w:val="left"/>
            </w:pPr>
            <w:r>
              <w:rPr>
                <w:sz w:val="17"/>
              </w:rPr>
              <w:t xml:space="preserve">Terminaux, révocation, chiffrement, expiration</w:t>
            </w:r>
            <w:r>
              <w:rPr>
                <w:sz w:val="17"/>
              </w:rPr>
              <w:t xml:space="preserve"> </w:t>
            </w:r>
            <w:r>
              <w:rPr>
                <w:sz w:val="17"/>
              </w:rPr>
              <w:t xml:space="preserve">des données</w:t>
            </w:r>
          </w:p>
        </w:tc>
      </w:tr>
    </w:tbl>
    <w:bookmarkStart w:id="77" w:name="modules-complémentaires"/>
    <w:p>
      <w:pPr>
        <w:pStyle w:val="Heading3"/>
      </w:pPr>
      <w:r>
        <w:t xml:space="preserve">Modules complémentaires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N°</w:t>
            </w:r>
          </w:p>
        </w:tc>
        <w:tc>
          <w:tcPr>
            <w:shd w:val="clear" w:color="auto" w:fill="1BA996"/>
          </w:tcPr>
          <w:p>
            <w:pPr>
              <w:pStyle w:val="Compact"/>
              <w:spacing w:after="20" w:before="20" w:line="240" w:lineRule="auto"/>
              <w:jc w:val="left"/>
            </w:pPr>
            <w:r>
              <w:rPr>
                <w:b/>
                <w:color w:val="FFFFFF"/>
                <w:sz w:val="17"/>
              </w:rPr>
              <w:t xml:space="preserve">Module</w:t>
            </w:r>
          </w:p>
        </w:tc>
        <w:tc>
          <w:tcPr>
            <w:shd w:val="clear" w:color="auto" w:fill="1BA996"/>
          </w:tcPr>
          <w:p>
            <w:pPr>
              <w:pStyle w:val="Compact"/>
              <w:spacing w:after="20" w:before="20" w:line="240" w:lineRule="auto"/>
              <w:jc w:val="left"/>
            </w:pPr>
            <w:r>
              <w:rPr>
                <w:b/>
                <w:color w:val="FFFFFF"/>
                <w:sz w:val="17"/>
              </w:rPr>
              <w:t xml:space="preserve">Fonction principale</w:t>
            </w:r>
          </w:p>
        </w:tc>
      </w:tr>
      <w:tr>
        <w:tc>
          <w:tcPr/>
          <w:p>
            <w:pPr>
              <w:pStyle w:val="Compact"/>
              <w:spacing w:after="20" w:before="20" w:line="240" w:lineRule="auto"/>
              <w:jc w:val="left"/>
            </w:pPr>
            <w:r>
              <w:rPr>
                <w:sz w:val="17"/>
              </w:rPr>
              <w:t xml:space="preserve">59</w:t>
            </w:r>
          </w:p>
        </w:tc>
        <w:tc>
          <w:tcPr/>
          <w:p>
            <w:pPr>
              <w:pStyle w:val="Compact"/>
              <w:spacing w:after="20" w:before="20" w:line="240" w:lineRule="auto"/>
              <w:jc w:val="left"/>
            </w:pPr>
            <w:r>
              <w:rPr>
                <w:sz w:val="17"/>
              </w:rPr>
              <w:t xml:space="preserve">Grand livre public</w:t>
            </w:r>
          </w:p>
        </w:tc>
        <w:tc>
          <w:tcPr/>
          <w:p>
            <w:pPr>
              <w:pStyle w:val="Compact"/>
              <w:spacing w:after="20" w:before="20" w:line="240" w:lineRule="auto"/>
              <w:jc w:val="left"/>
            </w:pPr>
            <w:r>
              <w:rPr>
                <w:sz w:val="17"/>
              </w:rPr>
              <w:t xml:space="preserve">Écritures en partie double, suspense, contre-écritures, clôtures (§ 20.1)</w:t>
            </w:r>
          </w:p>
        </w:tc>
      </w:tr>
      <w:tr>
        <w:tc>
          <w:tcPr>
            <w:shd w:val="clear" w:color="auto" w:fill="F2F9F8"/>
          </w:tcPr>
          <w:p>
            <w:pPr>
              <w:pStyle w:val="Compact"/>
              <w:spacing w:after="20" w:before="20" w:line="240" w:lineRule="auto"/>
              <w:jc w:val="left"/>
            </w:pPr>
            <w:r>
              <w:rPr>
                <w:sz w:val="17"/>
              </w:rPr>
              <w:t xml:space="preserve">60</w:t>
            </w:r>
          </w:p>
        </w:tc>
        <w:tc>
          <w:tcPr>
            <w:shd w:val="clear" w:color="auto" w:fill="F2F9F8"/>
          </w:tcPr>
          <w:p>
            <w:pPr>
              <w:pStyle w:val="Compact"/>
              <w:spacing w:after="20" w:before="20" w:line="240" w:lineRule="auto"/>
              <w:jc w:val="left"/>
            </w:pPr>
            <w:r>
              <w:rPr>
                <w:sz w:val="17"/>
              </w:rPr>
              <w:t xml:space="preserve">Coffre des comptes bénéficiaires</w:t>
            </w:r>
          </w:p>
        </w:tc>
        <w:tc>
          <w:tcPr>
            <w:shd w:val="clear" w:color="auto" w:fill="F2F9F8"/>
          </w:tcPr>
          <w:p>
            <w:pPr>
              <w:pStyle w:val="Compact"/>
              <w:spacing w:after="20" w:before="20" w:line="240" w:lineRule="auto"/>
              <w:jc w:val="left"/>
            </w:pPr>
            <w:r>
              <w:rPr>
                <w:sz w:val="17"/>
              </w:rPr>
              <w:t xml:space="preserve">Comptes publics approuvés, changements sous quorum (§ 12.3)</w:t>
            </w:r>
          </w:p>
        </w:tc>
      </w:tr>
      <w:tr>
        <w:tc>
          <w:tcPr/>
          <w:p>
            <w:pPr>
              <w:pStyle w:val="Compact"/>
              <w:spacing w:after="20" w:before="20" w:line="240" w:lineRule="auto"/>
              <w:jc w:val="left"/>
            </w:pPr>
            <w:r>
              <w:rPr>
                <w:sz w:val="17"/>
              </w:rPr>
              <w:t xml:space="preserve">61</w:t>
            </w:r>
          </w:p>
        </w:tc>
        <w:tc>
          <w:tcPr/>
          <w:p>
            <w:pPr>
              <w:pStyle w:val="Compact"/>
              <w:spacing w:after="20" w:before="20" w:line="240" w:lineRule="auto"/>
              <w:jc w:val="left"/>
            </w:pPr>
            <w:r>
              <w:rPr>
                <w:sz w:val="17"/>
              </w:rPr>
              <w:t xml:space="preserve">Moteur de découverte des recettes</w:t>
            </w:r>
          </w:p>
        </w:tc>
        <w:tc>
          <w:tcPr/>
          <w:p>
            <w:pPr>
              <w:pStyle w:val="Compact"/>
              <w:spacing w:after="20" w:before="20" w:line="240" w:lineRule="auto"/>
              <w:jc w:val="left"/>
            </w:pPr>
            <w:r>
              <w:rPr>
                <w:sz w:val="17"/>
              </w:rPr>
              <w:t xml:space="preserve">Signaux, fiches d’opportunité, pipeline de décision (§ 8.4)</w:t>
            </w:r>
          </w:p>
        </w:tc>
      </w:tr>
      <w:tr>
        <w:tc>
          <w:tcPr>
            <w:shd w:val="clear" w:color="auto" w:fill="F2F9F8"/>
          </w:tcPr>
          <w:p>
            <w:pPr>
              <w:pStyle w:val="Compact"/>
              <w:spacing w:after="20" w:before="20" w:line="240" w:lineRule="auto"/>
              <w:jc w:val="left"/>
            </w:pPr>
            <w:r>
              <w:rPr>
                <w:sz w:val="17"/>
              </w:rPr>
              <w:t xml:space="preserve">62</w:t>
            </w:r>
          </w:p>
        </w:tc>
        <w:tc>
          <w:tcPr>
            <w:shd w:val="clear" w:color="auto" w:fill="F2F9F8"/>
          </w:tcPr>
          <w:p>
            <w:pPr>
              <w:pStyle w:val="Compact"/>
              <w:spacing w:after="20" w:before="20" w:line="240" w:lineRule="auto"/>
              <w:jc w:val="left"/>
            </w:pPr>
            <w:r>
              <w:rPr>
                <w:sz w:val="17"/>
              </w:rPr>
              <w:t xml:space="preserve">Rapprochement aérien (MOSOLO AVIA — KIN-AVIA FISCUS)</w:t>
            </w:r>
          </w:p>
        </w:tc>
        <w:tc>
          <w:tcPr>
            <w:shd w:val="clear" w:color="auto" w:fill="F2F9F8"/>
          </w:tcPr>
          <w:p>
            <w:pPr>
              <w:pStyle w:val="Compact"/>
              <w:spacing w:after="20" w:before="20" w:line="240" w:lineRule="auto"/>
              <w:jc w:val="left"/>
            </w:pPr>
            <w:r>
              <w:rPr>
                <w:sz w:val="17"/>
              </w:rPr>
              <w:t xml:space="preserve">Rapprochement des flux aériens, sous validation juridique (§ 11.1)</w:t>
            </w:r>
          </w:p>
        </w:tc>
      </w:tr>
      <w:tr>
        <w:tc>
          <w:tcPr/>
          <w:p>
            <w:pPr>
              <w:pStyle w:val="Compact"/>
              <w:spacing w:after="20" w:before="20" w:line="240" w:lineRule="auto"/>
              <w:jc w:val="left"/>
            </w:pPr>
            <w:r>
              <w:rPr>
                <w:sz w:val="17"/>
              </w:rPr>
              <w:t xml:space="preserve">63</w:t>
            </w:r>
          </w:p>
        </w:tc>
        <w:tc>
          <w:tcPr/>
          <w:p>
            <w:pPr>
              <w:pStyle w:val="Compact"/>
              <w:spacing w:after="20" w:before="20" w:line="240" w:lineRule="auto"/>
              <w:jc w:val="left"/>
            </w:pPr>
            <w:r>
              <w:rPr>
                <w:sz w:val="17"/>
              </w:rPr>
              <w:t xml:space="preserve">Enrôlement assisté et guichets MOSOLO</w:t>
            </w:r>
          </w:p>
        </w:tc>
        <w:tc>
          <w:tcPr/>
          <w:p>
            <w:pPr>
              <w:pStyle w:val="Compact"/>
              <w:spacing w:after="20" w:before="20" w:line="240" w:lineRule="auto"/>
              <w:jc w:val="left"/>
            </w:pPr>
            <w:r>
              <w:rPr>
                <w:sz w:val="17"/>
              </w:rPr>
              <w:t xml:space="preserve">Enrôlement sans téléphone, consentement oral et par empreinte, guichets communaux (§ 13A)</w:t>
            </w:r>
          </w:p>
        </w:tc>
      </w:tr>
      <w:tr>
        <w:tc>
          <w:tcPr>
            <w:shd w:val="clear" w:color="auto" w:fill="F2F9F8"/>
          </w:tcPr>
          <w:p>
            <w:pPr>
              <w:pStyle w:val="Compact"/>
              <w:spacing w:after="20" w:before="20" w:line="240" w:lineRule="auto"/>
              <w:jc w:val="left"/>
            </w:pPr>
            <w:r>
              <w:rPr>
                <w:sz w:val="17"/>
              </w:rPr>
              <w:t xml:space="preserve">64</w:t>
            </w:r>
          </w:p>
        </w:tc>
        <w:tc>
          <w:tcPr>
            <w:shd w:val="clear" w:color="auto" w:fill="F2F9F8"/>
          </w:tcPr>
          <w:p>
            <w:pPr>
              <w:pStyle w:val="Compact"/>
              <w:spacing w:after="20" w:before="20" w:line="240" w:lineRule="auto"/>
              <w:jc w:val="left"/>
            </w:pPr>
            <w:r>
              <w:rPr>
                <w:sz w:val="17"/>
              </w:rPr>
              <w:t xml:space="preserve">Serveur vocal interactif multilingue</w:t>
            </w:r>
          </w:p>
        </w:tc>
        <w:tc>
          <w:tcPr>
            <w:shd w:val="clear" w:color="auto" w:fill="F2F9F8"/>
          </w:tcPr>
          <w:p>
            <w:pPr>
              <w:pStyle w:val="Compact"/>
              <w:spacing w:after="20" w:before="20" w:line="240" w:lineRule="auto"/>
              <w:jc w:val="left"/>
            </w:pPr>
            <w:r>
              <w:rPr>
                <w:sz w:val="17"/>
              </w:rPr>
              <w:t xml:space="preserve">Consultation, enrôlement simplifié, paiement et vérification à la voix (§ 13A.1)</w:t>
            </w:r>
          </w:p>
        </w:tc>
      </w:tr>
      <w:tr>
        <w:tc>
          <w:tcPr/>
          <w:p>
            <w:pPr>
              <w:pStyle w:val="Compact"/>
              <w:spacing w:after="20" w:before="20" w:line="240" w:lineRule="auto"/>
              <w:jc w:val="left"/>
            </w:pPr>
            <w:r>
              <w:rPr>
                <w:sz w:val="17"/>
              </w:rPr>
              <w:t xml:space="preserve">65</w:t>
            </w:r>
          </w:p>
        </w:tc>
        <w:tc>
          <w:tcPr/>
          <w:p>
            <w:pPr>
              <w:pStyle w:val="Compact"/>
              <w:spacing w:after="20" w:before="20" w:line="240" w:lineRule="auto"/>
              <w:jc w:val="left"/>
            </w:pPr>
            <w:r>
              <w:rPr>
                <w:sz w:val="17"/>
              </w:rPr>
              <w:t xml:space="preserve">Carte MOSOLO</w:t>
            </w:r>
          </w:p>
        </w:tc>
        <w:tc>
          <w:tcPr/>
          <w:p>
            <w:pPr>
              <w:pStyle w:val="Compact"/>
              <w:spacing w:after="20" w:before="20" w:line="240" w:lineRule="auto"/>
              <w:jc w:val="left"/>
            </w:pPr>
            <w:r>
              <w:rPr>
                <w:sz w:val="17"/>
              </w:rPr>
              <w:t xml:space="preserve">Émission, révocation, réémission, vérification (§ 13A.2)</w:t>
            </w:r>
          </w:p>
        </w:tc>
      </w:tr>
      <w:tr>
        <w:tc>
          <w:tcPr>
            <w:shd w:val="clear" w:color="auto" w:fill="F2F9F8"/>
          </w:tcPr>
          <w:p>
            <w:pPr>
              <w:pStyle w:val="Compact"/>
              <w:spacing w:after="20" w:before="20" w:line="240" w:lineRule="auto"/>
              <w:jc w:val="left"/>
            </w:pPr>
            <w:r>
              <w:rPr>
                <w:sz w:val="17"/>
              </w:rPr>
              <w:t xml:space="preserve">66</w:t>
            </w:r>
          </w:p>
        </w:tc>
        <w:tc>
          <w:tcPr>
            <w:shd w:val="clear" w:color="auto" w:fill="F2F9F8"/>
          </w:tcPr>
          <w:p>
            <w:pPr>
              <w:pStyle w:val="Compact"/>
              <w:spacing w:after="20" w:before="20" w:line="240" w:lineRule="auto"/>
              <w:jc w:val="left"/>
            </w:pPr>
            <w:r>
              <w:rPr>
                <w:sz w:val="17"/>
              </w:rPr>
              <w:t xml:space="preserve">Réseau des points de paiement agréés</w:t>
            </w:r>
          </w:p>
        </w:tc>
        <w:tc>
          <w:tcPr>
            <w:shd w:val="clear" w:color="auto" w:fill="F2F9F8"/>
          </w:tcPr>
          <w:p>
            <w:pPr>
              <w:pStyle w:val="Compact"/>
              <w:spacing w:after="20" w:before="20" w:line="240" w:lineRule="auto"/>
              <w:jc w:val="left"/>
            </w:pPr>
            <w:r>
              <w:rPr>
                <w:sz w:val="17"/>
              </w:rPr>
              <w:t xml:space="preserve">Référencement, encaissement sur référence, délais de règlement (§ 18A.2)</w:t>
            </w:r>
          </w:p>
        </w:tc>
      </w:tr>
      <w:tr>
        <w:tc>
          <w:tcPr/>
          <w:p>
            <w:pPr>
              <w:pStyle w:val="Compact"/>
              <w:spacing w:after="20" w:before="20" w:line="240" w:lineRule="auto"/>
              <w:jc w:val="left"/>
            </w:pPr>
            <w:r>
              <w:rPr>
                <w:sz w:val="17"/>
              </w:rPr>
              <w:t xml:space="preserve">67</w:t>
            </w:r>
          </w:p>
        </w:tc>
        <w:tc>
          <w:tcPr/>
          <w:p>
            <w:pPr>
              <w:pStyle w:val="Compact"/>
              <w:spacing w:after="20" w:before="20" w:line="240" w:lineRule="auto"/>
              <w:jc w:val="left"/>
            </w:pPr>
            <w:r>
              <w:rPr>
                <w:sz w:val="17"/>
              </w:rPr>
              <w:t xml:space="preserve">Portail des partenaires et gestion des équipes terrain</w:t>
            </w:r>
          </w:p>
        </w:tc>
        <w:tc>
          <w:tcPr/>
          <w:p>
            <w:pPr>
              <w:pStyle w:val="Compact"/>
              <w:spacing w:after="20" w:before="20" w:line="240" w:lineRule="auto"/>
              <w:jc w:val="left"/>
            </w:pPr>
            <w:r>
              <w:rPr>
                <w:sz w:val="17"/>
              </w:rPr>
              <w:t xml:space="preserve">Accréditation des sous-traitants, invitation et habilitation des agents, lots, missions, qualité (§ 15A)</w:t>
            </w:r>
          </w:p>
        </w:tc>
      </w:tr>
      <w:tr>
        <w:tc>
          <w:tcPr>
            <w:shd w:val="clear" w:color="auto" w:fill="F2F9F8"/>
          </w:tcPr>
          <w:p>
            <w:pPr>
              <w:pStyle w:val="Compact"/>
              <w:spacing w:after="20" w:before="20" w:line="240" w:lineRule="auto"/>
              <w:jc w:val="left"/>
            </w:pPr>
            <w:r>
              <w:rPr>
                <w:sz w:val="17"/>
              </w:rPr>
              <w:t xml:space="preserve">68</w:t>
            </w:r>
          </w:p>
        </w:tc>
        <w:tc>
          <w:tcPr>
            <w:shd w:val="clear" w:color="auto" w:fill="F2F9F8"/>
          </w:tcPr>
          <w:p>
            <w:pPr>
              <w:pStyle w:val="Compact"/>
              <w:spacing w:after="20" w:before="20" w:line="240" w:lineRule="auto"/>
              <w:jc w:val="left"/>
            </w:pPr>
            <w:r>
              <w:rPr>
                <w:sz w:val="17"/>
              </w:rPr>
              <w:t xml:space="preserve">Vérification publique par code court</w:t>
            </w:r>
          </w:p>
        </w:tc>
        <w:tc>
          <w:tcPr>
            <w:shd w:val="clear" w:color="auto" w:fill="F2F9F8"/>
          </w:tcPr>
          <w:p>
            <w:pPr>
              <w:pStyle w:val="Compact"/>
              <w:spacing w:after="20" w:before="20" w:line="240" w:lineRule="auto"/>
              <w:jc w:val="left"/>
            </w:pPr>
            <w:r>
              <w:rPr>
                <w:sz w:val="17"/>
              </w:rPr>
              <w:t xml:space="preserve">Quittances, cartes et badges d’agents vérifiables par SMS, USSD et SVI (§ 18A.5)</w:t>
            </w:r>
          </w:p>
        </w:tc>
      </w:tr>
      <w:tr>
        <w:tc>
          <w:tcPr/>
          <w:p>
            <w:pPr>
              <w:pStyle w:val="Compact"/>
              <w:spacing w:after="20" w:before="20" w:line="240" w:lineRule="auto"/>
              <w:jc w:val="left"/>
            </w:pPr>
            <w:r>
              <w:rPr>
                <w:sz w:val="17"/>
              </w:rPr>
              <w:t xml:space="preserve">69</w:t>
            </w:r>
          </w:p>
        </w:tc>
        <w:tc>
          <w:tcPr/>
          <w:p>
            <w:pPr>
              <w:pStyle w:val="Compact"/>
              <w:spacing w:after="20" w:before="20" w:line="240" w:lineRule="auto"/>
              <w:jc w:val="left"/>
            </w:pPr>
            <w:r>
              <w:rPr>
                <w:sz w:val="17"/>
              </w:rPr>
              <w:t xml:space="preserve">Ligne de signalement et contrôles mystère</w:t>
            </w:r>
          </w:p>
        </w:tc>
        <w:tc>
          <w:tcPr/>
          <w:p>
            <w:pPr>
              <w:pStyle w:val="Compact"/>
              <w:spacing w:after="20" w:before="20" w:line="240" w:lineRule="auto"/>
              <w:jc w:val="left"/>
            </w:pPr>
            <w:r>
              <w:rPr>
                <w:sz w:val="17"/>
              </w:rPr>
              <w:t xml:space="preserve">Signalements protégés, contrôles périodiques (§ 18A.8)</w:t>
            </w:r>
          </w:p>
        </w:tc>
      </w:tr>
      <w:tr>
        <w:tc>
          <w:tcPr>
            <w:shd w:val="clear" w:color="auto" w:fill="F2F9F8"/>
          </w:tcPr>
          <w:p>
            <w:pPr>
              <w:pStyle w:val="Compact"/>
              <w:spacing w:after="20" w:before="20" w:line="240" w:lineRule="auto"/>
              <w:jc w:val="left"/>
            </w:pPr>
            <w:r>
              <w:rPr>
                <w:sz w:val="17"/>
              </w:rPr>
              <w:t xml:space="preserve">70</w:t>
            </w:r>
          </w:p>
        </w:tc>
        <w:tc>
          <w:tcPr>
            <w:shd w:val="clear" w:color="auto" w:fill="F2F9F8"/>
          </w:tcPr>
          <w:p>
            <w:pPr>
              <w:pStyle w:val="Compact"/>
              <w:spacing w:after="20" w:before="20" w:line="240" w:lineRule="auto"/>
              <w:jc w:val="left"/>
            </w:pPr>
            <w:r>
              <w:rPr>
                <w:sz w:val="17"/>
              </w:rPr>
              <w:t xml:space="preserve">Moteur de titres et de validité</w:t>
            </w:r>
          </w:p>
        </w:tc>
        <w:tc>
          <w:tcPr>
            <w:shd w:val="clear" w:color="auto" w:fill="F2F9F8"/>
          </w:tcPr>
          <w:p>
            <w:pPr>
              <w:pStyle w:val="Compact"/>
              <w:spacing w:after="20" w:before="20" w:line="240" w:lineRule="auto"/>
              <w:jc w:val="left"/>
            </w:pPr>
            <w:r>
              <w:rPr>
                <w:sz w:val="17"/>
              </w:rPr>
              <w:t xml:space="preserve">Titres temporaires, statuts vert, ambre et rouge, usage unique, prolongation (§ 19A)</w:t>
            </w:r>
          </w:p>
        </w:tc>
      </w:tr>
      <w:tr>
        <w:tc>
          <w:tcPr/>
          <w:p>
            <w:pPr>
              <w:pStyle w:val="Compact"/>
              <w:spacing w:after="20" w:before="20" w:line="240" w:lineRule="auto"/>
              <w:jc w:val="left"/>
            </w:pPr>
            <w:r>
              <w:rPr>
                <w:sz w:val="17"/>
              </w:rPr>
              <w:t xml:space="preserve">71</w:t>
            </w:r>
          </w:p>
        </w:tc>
        <w:tc>
          <w:tcPr/>
          <w:p>
            <w:pPr>
              <w:pStyle w:val="Compact"/>
              <w:spacing w:after="20" w:before="20" w:line="240" w:lineRule="auto"/>
              <w:jc w:val="left"/>
            </w:pPr>
            <w:r>
              <w:rPr>
                <w:sz w:val="17"/>
              </w:rPr>
              <w:t xml:space="preserve">Contrôle des titres</w:t>
            </w:r>
          </w:p>
        </w:tc>
        <w:tc>
          <w:tcPr/>
          <w:p>
            <w:pPr>
              <w:pStyle w:val="Compact"/>
              <w:spacing w:after="20" w:before="20" w:line="240" w:lineRule="auto"/>
              <w:jc w:val="left"/>
            </w:pPr>
            <w:r>
              <w:rPr>
                <w:sz w:val="17"/>
              </w:rPr>
              <w:t xml:space="preserve">Contrôle par plaque, QR ou code, en ligne et hors ligne, journal des contrôles (§ 19A.6)</w:t>
            </w:r>
          </w:p>
        </w:tc>
      </w:tr>
      <w:tr>
        <w:tc>
          <w:tcPr>
            <w:shd w:val="clear" w:color="auto" w:fill="F2F9F8"/>
          </w:tcPr>
          <w:p>
            <w:pPr>
              <w:pStyle w:val="Compact"/>
              <w:spacing w:after="20" w:before="20" w:line="240" w:lineRule="auto"/>
              <w:jc w:val="left"/>
            </w:pPr>
            <w:r>
              <w:rPr>
                <w:sz w:val="17"/>
              </w:rPr>
              <w:t xml:space="preserve">72</w:t>
            </w:r>
          </w:p>
        </w:tc>
        <w:tc>
          <w:tcPr>
            <w:shd w:val="clear" w:color="auto" w:fill="F2F9F8"/>
          </w:tcPr>
          <w:p>
            <w:pPr>
              <w:pStyle w:val="Compact"/>
              <w:spacing w:after="20" w:before="20" w:line="240" w:lineRule="auto"/>
              <w:jc w:val="left"/>
            </w:pPr>
            <w:r>
              <w:rPr>
                <w:sz w:val="17"/>
              </w:rPr>
              <w:t xml:space="preserve">Espaces d’entité et configuration des modules</w:t>
            </w:r>
          </w:p>
        </w:tc>
        <w:tc>
          <w:tcPr>
            <w:shd w:val="clear" w:color="auto" w:fill="F2F9F8"/>
          </w:tcPr>
          <w:p>
            <w:pPr>
              <w:pStyle w:val="Compact"/>
              <w:spacing w:after="20" w:before="20" w:line="240" w:lineRule="auto"/>
              <w:jc w:val="left"/>
            </w:pPr>
            <w:r>
              <w:rPr>
                <w:sz w:val="17"/>
              </w:rPr>
              <w:t xml:space="preserve">Cloisonnement, fiches de configuration, arbitrage entre entités (§ 10A)</w:t>
            </w:r>
          </w:p>
        </w:tc>
      </w:tr>
      <w:tr>
        <w:tc>
          <w:tcPr/>
          <w:p>
            <w:pPr>
              <w:pStyle w:val="Compact"/>
              <w:spacing w:after="20" w:before="20" w:line="240" w:lineRule="auto"/>
              <w:jc w:val="left"/>
            </w:pPr>
            <w:r>
              <w:rPr>
                <w:sz w:val="17"/>
              </w:rPr>
              <w:t xml:space="preserve">73</w:t>
            </w:r>
          </w:p>
        </w:tc>
        <w:tc>
          <w:tcPr/>
          <w:p>
            <w:pPr>
              <w:pStyle w:val="Compact"/>
              <w:spacing w:after="20" w:before="20" w:line="240" w:lineRule="auto"/>
              <w:jc w:val="left"/>
            </w:pPr>
            <w:r>
              <w:rPr>
                <w:sz w:val="17"/>
              </w:rPr>
              <w:t xml:space="preserve">Répartition des recettes</w:t>
            </w:r>
          </w:p>
        </w:tc>
        <w:tc>
          <w:tcPr/>
          <w:p>
            <w:pPr>
              <w:pStyle w:val="Compact"/>
              <w:spacing w:after="20" w:before="20" w:line="240" w:lineRule="auto"/>
              <w:jc w:val="left"/>
            </w:pPr>
            <w:r>
              <w:rPr>
                <w:sz w:val="17"/>
              </w:rPr>
              <w:t xml:space="preserve">Clé versionnée, calcul sur recettes rapprochées, deux flux de décaissement, tableau de répartition (§ 37A)</w:t>
            </w:r>
          </w:p>
        </w:tc>
      </w:tr>
      <w:tr>
        <w:tc>
          <w:tcPr>
            <w:shd w:val="clear" w:color="auto" w:fill="F2F9F8"/>
          </w:tcPr>
          <w:p>
            <w:pPr>
              <w:pStyle w:val="Compact"/>
              <w:spacing w:after="20" w:before="20" w:line="240" w:lineRule="auto"/>
              <w:jc w:val="left"/>
            </w:pPr>
            <w:r>
              <w:rPr>
                <w:sz w:val="17"/>
              </w:rPr>
              <w:t xml:space="preserve">74</w:t>
            </w:r>
          </w:p>
        </w:tc>
        <w:tc>
          <w:tcPr>
            <w:shd w:val="clear" w:color="auto" w:fill="F2F9F8"/>
          </w:tcPr>
          <w:p>
            <w:pPr>
              <w:pStyle w:val="Compact"/>
              <w:spacing w:after="20" w:before="20" w:line="240" w:lineRule="auto"/>
              <w:jc w:val="left"/>
            </w:pPr>
            <w:r>
              <w:rPr>
                <w:sz w:val="17"/>
              </w:rPr>
              <w:t xml:space="preserve">Invitations et gestion des accès</w:t>
            </w:r>
          </w:p>
        </w:tc>
        <w:tc>
          <w:tcPr>
            <w:shd w:val="clear" w:color="auto" w:fill="F2F9F8"/>
          </w:tcPr>
          <w:p>
            <w:pPr>
              <w:pStyle w:val="Compact"/>
              <w:spacing w:after="20" w:before="20" w:line="240" w:lineRule="auto"/>
              <w:jc w:val="left"/>
            </w:pPr>
            <w:r>
              <w:rPr>
                <w:sz w:val="17"/>
              </w:rPr>
              <w:t xml:space="preserve">Espaces d’entité, rattachement des modules, invitations en cascade, niveaux d’accès, inscription publique réservée aux contribuables (§ 12A)</w:t>
            </w:r>
          </w:p>
        </w:tc>
      </w:tr>
      <w:tr>
        <w:tc>
          <w:tcPr/>
          <w:p>
            <w:pPr>
              <w:pStyle w:val="Compact"/>
              <w:spacing w:after="20" w:before="20" w:line="240" w:lineRule="auto"/>
              <w:jc w:val="left"/>
            </w:pPr>
            <w:r>
              <w:rPr>
                <w:sz w:val="17"/>
              </w:rPr>
              <w:t xml:space="preserve">75</w:t>
            </w:r>
          </w:p>
        </w:tc>
        <w:tc>
          <w:tcPr/>
          <w:p>
            <w:pPr>
              <w:pStyle w:val="Compact"/>
              <w:spacing w:after="20" w:before="20" w:line="240" w:lineRule="auto"/>
              <w:jc w:val="left"/>
            </w:pPr>
            <w:r>
              <w:rPr>
                <w:sz w:val="17"/>
              </w:rPr>
              <w:t xml:space="preserve">Stationnement intelligent (ParkSmart)</w:t>
            </w:r>
          </w:p>
        </w:tc>
        <w:tc>
          <w:tcPr/>
          <w:p>
            <w:pPr>
              <w:pStyle w:val="Compact"/>
              <w:spacing w:after="20" w:before="20" w:line="240" w:lineRule="auto"/>
              <w:jc w:val="left"/>
            </w:pPr>
            <w:r>
              <w:rPr>
                <w:sz w:val="17"/>
              </w:rPr>
              <w:t xml:space="preserve">Zones payantes, tarification dynamique, réservations de voirie, capteurs et LPR (§ 11A)</w:t>
            </w:r>
          </w:p>
        </w:tc>
      </w:tr>
      <w:tr>
        <w:tc>
          <w:tcPr>
            <w:shd w:val="clear" w:color="auto" w:fill="F2F9F8"/>
          </w:tcPr>
          <w:p>
            <w:pPr>
              <w:pStyle w:val="Compact"/>
              <w:spacing w:after="20" w:before="20" w:line="240" w:lineRule="auto"/>
              <w:jc w:val="left"/>
            </w:pPr>
            <w:r>
              <w:rPr>
                <w:sz w:val="17"/>
              </w:rPr>
              <w:t xml:space="preserve">76</w:t>
            </w:r>
          </w:p>
        </w:tc>
        <w:tc>
          <w:tcPr>
            <w:shd w:val="clear" w:color="auto" w:fill="F2F9F8"/>
          </w:tcPr>
          <w:p>
            <w:pPr>
              <w:pStyle w:val="Compact"/>
              <w:spacing w:after="20" w:before="20" w:line="240" w:lineRule="auto"/>
              <w:jc w:val="left"/>
            </w:pPr>
            <w:r>
              <w:rPr>
                <w:sz w:val="17"/>
              </w:rPr>
              <w:t xml:space="preserve">Billetterie multi-opérateurs (RakaPay)</w:t>
            </w:r>
          </w:p>
        </w:tc>
        <w:tc>
          <w:tcPr>
            <w:shd w:val="clear" w:color="auto" w:fill="F2F9F8"/>
          </w:tcPr>
          <w:p>
            <w:pPr>
              <w:pStyle w:val="Compact"/>
              <w:spacing w:after="20" w:before="20" w:line="240" w:lineRule="auto"/>
              <w:jc w:val="left"/>
            </w:pPr>
            <w:r>
              <w:rPr>
                <w:sz w:val="17"/>
              </w:rPr>
              <w:t xml:space="preserve">Opérateurs, tickets à durée, vente assistée, contrôle et pénalités (§ 11D)</w:t>
            </w:r>
          </w:p>
        </w:tc>
      </w:tr>
      <w:tr>
        <w:tc>
          <w:tcPr/>
          <w:p>
            <w:pPr>
              <w:pStyle w:val="Compact"/>
              <w:spacing w:after="20" w:before="20" w:line="240" w:lineRule="auto"/>
              <w:jc w:val="left"/>
            </w:pPr>
            <w:r>
              <w:rPr>
                <w:sz w:val="17"/>
              </w:rPr>
              <w:t xml:space="preserve">77</w:t>
            </w:r>
          </w:p>
        </w:tc>
        <w:tc>
          <w:tcPr/>
          <w:p>
            <w:pPr>
              <w:pStyle w:val="Compact"/>
              <w:spacing w:after="20" w:before="20" w:line="240" w:lineRule="auto"/>
              <w:jc w:val="left"/>
            </w:pPr>
            <w:r>
              <w:rPr>
                <w:sz w:val="17"/>
              </w:rPr>
              <w:t xml:space="preserve">Publicité extérieure augmentée (KIN PUB CONTROL)</w:t>
            </w:r>
          </w:p>
        </w:tc>
        <w:tc>
          <w:tcPr/>
          <w:p>
            <w:pPr>
              <w:pStyle w:val="Compact"/>
              <w:spacing w:after="20" w:before="20" w:line="240" w:lineRule="auto"/>
              <w:jc w:val="left"/>
            </w:pPr>
            <w:r>
              <w:rPr>
                <w:sz w:val="17"/>
              </w:rPr>
              <w:t xml:space="preserve">Registre et carte des supports, OCR, dossiers de constat, supervision (§ 11B)</w:t>
            </w:r>
          </w:p>
        </w:tc>
      </w:tr>
      <w:tr>
        <w:tc>
          <w:tcPr>
            <w:shd w:val="clear" w:color="auto" w:fill="F2F9F8"/>
          </w:tcPr>
          <w:p>
            <w:pPr>
              <w:pStyle w:val="Compact"/>
              <w:spacing w:after="20" w:before="20" w:line="240" w:lineRule="auto"/>
              <w:jc w:val="left"/>
            </w:pPr>
            <w:r>
              <w:rPr>
                <w:sz w:val="17"/>
              </w:rPr>
              <w:t xml:space="preserve">78</w:t>
            </w:r>
          </w:p>
        </w:tc>
        <w:tc>
          <w:tcPr>
            <w:shd w:val="clear" w:color="auto" w:fill="F2F9F8"/>
          </w:tcPr>
          <w:p>
            <w:pPr>
              <w:pStyle w:val="Compact"/>
              <w:spacing w:after="20" w:before="20" w:line="240" w:lineRule="auto"/>
              <w:jc w:val="left"/>
            </w:pPr>
            <w:r>
              <w:rPr>
                <w:sz w:val="17"/>
              </w:rPr>
              <w:t xml:space="preserve">Hub de réconciliation aérienne (KIN-AVIA FISCUS)</w:t>
            </w:r>
          </w:p>
        </w:tc>
        <w:tc>
          <w:tcPr>
            <w:shd w:val="clear" w:color="auto" w:fill="F2F9F8"/>
          </w:tcPr>
          <w:p>
            <w:pPr>
              <w:pStyle w:val="Compact"/>
              <w:spacing w:after="20" w:before="20" w:line="240" w:lineRule="auto"/>
              <w:jc w:val="left"/>
            </w:pPr>
            <w:r>
              <w:rPr>
                <w:sz w:val="17"/>
              </w:rPr>
              <w:t xml:space="preserve">RRH, connecteurs BSP/GDS, IFA, rapprochement RVA et DGM (§ 11C)</w:t>
            </w:r>
          </w:p>
        </w:tc>
      </w:tr>
      <w:tr>
        <w:tc>
          <w:tcPr/>
          <w:p>
            <w:pPr>
              <w:pStyle w:val="Compact"/>
              <w:spacing w:after="20" w:before="20" w:line="240" w:lineRule="auto"/>
              <w:jc w:val="left"/>
            </w:pPr>
            <w:r>
              <w:rPr>
                <w:sz w:val="17"/>
              </w:rPr>
              <w:t xml:space="preserve">79</w:t>
            </w:r>
          </w:p>
        </w:tc>
        <w:tc>
          <w:tcPr/>
          <w:p>
            <w:pPr>
              <w:pStyle w:val="Compact"/>
              <w:spacing w:after="20" w:before="20" w:line="240" w:lineRule="auto"/>
              <w:jc w:val="left"/>
            </w:pPr>
            <w:r>
              <w:rPr>
                <w:sz w:val="17"/>
              </w:rPr>
              <w:t xml:space="preserve">Plaque fiscale immobilière (NFIU)</w:t>
            </w:r>
          </w:p>
        </w:tc>
        <w:tc>
          <w:tcPr/>
          <w:p>
            <w:pPr>
              <w:pStyle w:val="Compact"/>
              <w:spacing w:after="20" w:before="20" w:line="240" w:lineRule="auto"/>
              <w:jc w:val="left"/>
            </w:pPr>
            <w:r>
              <w:rPr>
                <w:sz w:val="17"/>
              </w:rPr>
              <w:t xml:space="preserve">Émission, scan, statut occupé ou loué (§ 16.7)</w:t>
            </w:r>
          </w:p>
        </w:tc>
      </w:tr>
      <w:tr>
        <w:tc>
          <w:tcPr>
            <w:shd w:val="clear" w:color="auto" w:fill="F2F9F8"/>
          </w:tcPr>
          <w:p>
            <w:pPr>
              <w:pStyle w:val="Compact"/>
              <w:spacing w:after="20" w:before="20" w:line="240" w:lineRule="auto"/>
              <w:jc w:val="left"/>
            </w:pPr>
            <w:r>
              <w:rPr>
                <w:sz w:val="17"/>
              </w:rPr>
              <w:t xml:space="preserve">80</w:t>
            </w:r>
          </w:p>
        </w:tc>
        <w:tc>
          <w:tcPr>
            <w:shd w:val="clear" w:color="auto" w:fill="F2F9F8"/>
          </w:tcPr>
          <w:p>
            <w:pPr>
              <w:pStyle w:val="Compact"/>
              <w:spacing w:after="20" w:before="20" w:line="240" w:lineRule="auto"/>
              <w:jc w:val="left"/>
            </w:pPr>
            <w:r>
              <w:rPr>
                <w:sz w:val="17"/>
              </w:rPr>
              <w:t xml:space="preserve">Contrôle de la dépense publique (CALCU)</w:t>
            </w:r>
          </w:p>
        </w:tc>
        <w:tc>
          <w:tcPr>
            <w:shd w:val="clear" w:color="auto" w:fill="F2F9F8"/>
          </w:tcPr>
          <w:p>
            <w:pPr>
              <w:pStyle w:val="Compact"/>
              <w:spacing w:after="20" w:before="20" w:line="240" w:lineRule="auto"/>
              <w:jc w:val="left"/>
            </w:pPr>
            <w:r>
              <w:rPr>
                <w:sz w:val="17"/>
              </w:rPr>
              <w:t xml:space="preserve">Registre des comptes publics, passerelle bancaire, justificatifs, moteur de correspondance (§ 27A)</w:t>
            </w:r>
          </w:p>
        </w:tc>
      </w:tr>
      <w:tr>
        <w:tc>
          <w:tcPr/>
          <w:p>
            <w:pPr>
              <w:pStyle w:val="Compact"/>
              <w:spacing w:after="20" w:before="20" w:line="240" w:lineRule="auto"/>
              <w:jc w:val="left"/>
            </w:pPr>
            <w:r>
              <w:rPr>
                <w:sz w:val="17"/>
              </w:rPr>
              <w:t xml:space="preserve">81</w:t>
            </w:r>
          </w:p>
        </w:tc>
        <w:tc>
          <w:tcPr/>
          <w:p>
            <w:pPr>
              <w:pStyle w:val="Compact"/>
              <w:spacing w:after="20" w:before="20" w:line="240" w:lineRule="auto"/>
              <w:jc w:val="left"/>
            </w:pPr>
            <w:r>
              <w:rPr>
                <w:sz w:val="17"/>
              </w:rPr>
              <w:t xml:space="preserve">Pass moto-taxis (wewa) — extension de la billetterie RakaPay</w:t>
            </w:r>
          </w:p>
        </w:tc>
        <w:tc>
          <w:tcPr/>
          <w:p>
            <w:pPr>
              <w:pStyle w:val="Compact"/>
              <w:spacing w:after="20" w:before="20" w:line="240" w:lineRule="auto"/>
              <w:jc w:val="left"/>
            </w:pPr>
            <w:r>
              <w:rPr>
                <w:sz w:val="17"/>
              </w:rPr>
              <w:t xml:space="preserve">Registre des motos, conducteurs et stations ; pass jour, semaine, mois ; gilet et autocollant QR ; coopératives ; contrôle protecteur (§ 11D.8)</w:t>
            </w:r>
          </w:p>
        </w:tc>
      </w:tr>
    </w:tbl>
    <w:p>
      <w:pPr>
        <w:pStyle w:val="BodyText"/>
      </w:pPr>
      <w:r>
        <w:t xml:space="preserve">Correspondance avec les modules M01 à M20 de la spécification KIN RECETTES : M01 → 1–2 ; M02 → 7 ; M03 → 8 ; M04 → 26 ; M05 → 27 ; M06 (facturation publique, échéances, acomptes autorisés) → 27, 32 ; M07 → 28 ; M08 → 30, 59 ; M09 → 31 ; M10 → 34, 35, 58 ; M11 → 32, 33 ; M12 → 37 ; M13 → 40 ; M14 → 41–45 ; M15 → 46 ; M16 → 51, 74 ; M17 → 52 ; M18 (SMS, push, courriel, WhatsApp autorisé) → 39 ; M19 (pièces, OCR, signature) → 38 ; M20 (communes, zones, calendriers, devises, langues) → 53, 72.</w:t>
      </w:r>
    </w:p>
    <w:bookmarkEnd w:id="77"/>
    <w:bookmarkStart w:id="78" w:name="verticales-mosolo"/>
    <w:p>
      <w:pPr>
        <w:pStyle w:val="Heading2"/>
      </w:pPr>
      <w:r>
        <w:t xml:space="preserve">11.1 Verticales MOSOLO</w:t>
      </w:r>
    </w:p>
    <w:p>
      <w:pPr>
        <w:pStyle w:val="FirstParagraph"/>
      </w:pPr>
      <w:r>
        <w:t xml:space="preserve">Les modules sectoriels sont regroupés en verticales configurables, toutes branchées sur le même socle : identité, droit, paiement, grand livre, audit et GIS communs. Aucune verticale ne possède son propre compte contribuable, ses propres règles hors registre ou son propre circuit de paiement. D’autres secteurs légalement couverts peuvent être ajoutés sans redéveloppement du socle.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Verticale</w:t>
            </w:r>
          </w:p>
        </w:tc>
        <w:tc>
          <w:tcPr>
            <w:shd w:val="clear" w:color="auto" w:fill="1BA996"/>
          </w:tcPr>
          <w:p>
            <w:pPr>
              <w:pStyle w:val="Compact"/>
              <w:spacing w:after="20" w:before="20" w:line="240" w:lineRule="auto"/>
              <w:jc w:val="left"/>
            </w:pPr>
            <w:r>
              <w:rPr>
                <w:b/>
                <w:color w:val="FFFFFF"/>
                <w:sz w:val="17"/>
              </w:rPr>
              <w:t xml:space="preserve">Modules</w:t>
            </w:r>
          </w:p>
        </w:tc>
        <w:tc>
          <w:tcPr>
            <w:shd w:val="clear" w:color="auto" w:fill="1BA996"/>
          </w:tcPr>
          <w:p>
            <w:pPr>
              <w:pStyle w:val="Compact"/>
              <w:spacing w:after="20" w:before="20" w:line="240" w:lineRule="auto"/>
              <w:jc w:val="left"/>
            </w:pPr>
            <w:r>
              <w:rPr>
                <w:b/>
                <w:color w:val="FFFFFF"/>
                <w:sz w:val="17"/>
              </w:rPr>
              <w:t xml:space="preserve">Exigences spécifiques</w:t>
            </w:r>
          </w:p>
        </w:tc>
      </w:tr>
      <w:tr>
        <w:tc>
          <w:tcPr/>
          <w:p>
            <w:pPr>
              <w:pStyle w:val="Compact"/>
              <w:spacing w:after="20" w:before="20" w:line="240" w:lineRule="auto"/>
              <w:jc w:val="left"/>
            </w:pPr>
            <w:r>
              <w:rPr>
                <w:sz w:val="17"/>
              </w:rPr>
              <w:t xml:space="preserve">MOSOLO Property</w:t>
            </w:r>
          </w:p>
        </w:tc>
        <w:tc>
          <w:tcPr/>
          <w:p>
            <w:pPr>
              <w:pStyle w:val="Compact"/>
              <w:spacing w:after="20" w:before="20" w:line="240" w:lineRule="auto"/>
              <w:jc w:val="left"/>
            </w:pPr>
            <w:r>
              <w:rPr>
                <w:sz w:val="17"/>
              </w:rPr>
              <w:t xml:space="preserve">7, 8, 9</w:t>
            </w:r>
          </w:p>
        </w:tc>
        <w:tc>
          <w:tcPr/>
          <w:p>
            <w:pPr>
              <w:pStyle w:val="Compact"/>
              <w:spacing w:after="20" w:before="20" w:line="240" w:lineRule="auto"/>
              <w:jc w:val="left"/>
            </w:pPr>
            <w:r>
              <w:rPr>
                <w:sz w:val="17"/>
              </w:rPr>
              <w:t xml:space="preserve">Parcelle, bâtiment, unité, usage, occupation ; propriété déclarée, observée, vérifiée ou contestée (§ 16)</w:t>
            </w:r>
          </w:p>
        </w:tc>
      </w:tr>
      <w:tr>
        <w:tc>
          <w:tcPr>
            <w:shd w:val="clear" w:color="auto" w:fill="F2F9F8"/>
          </w:tcPr>
          <w:p>
            <w:pPr>
              <w:pStyle w:val="Compact"/>
              <w:spacing w:after="20" w:before="20" w:line="240" w:lineRule="auto"/>
              <w:jc w:val="left"/>
            </w:pPr>
            <w:r>
              <w:rPr>
                <w:sz w:val="17"/>
              </w:rPr>
              <w:t xml:space="preserve">MOSOLO Rental</w:t>
            </w:r>
          </w:p>
        </w:tc>
        <w:tc>
          <w:tcPr>
            <w:shd w:val="clear" w:color="auto" w:fill="F2F9F8"/>
          </w:tcPr>
          <w:p>
            <w:pPr>
              <w:pStyle w:val="Compact"/>
              <w:spacing w:after="20" w:before="20" w:line="240" w:lineRule="auto"/>
              <w:jc w:val="left"/>
            </w:pPr>
            <w:r>
              <w:rPr>
                <w:sz w:val="17"/>
              </w:rPr>
              <w:t xml:space="preserve">9</w:t>
            </w:r>
          </w:p>
        </w:tc>
        <w:tc>
          <w:tcPr>
            <w:shd w:val="clear" w:color="auto" w:fill="F2F9F8"/>
          </w:tcPr>
          <w:p>
            <w:pPr>
              <w:pStyle w:val="Compact"/>
              <w:spacing w:after="20" w:before="20" w:line="240" w:lineRule="auto"/>
              <w:jc w:val="left"/>
            </w:pPr>
            <w:r>
              <w:rPr>
                <w:sz w:val="17"/>
              </w:rPr>
              <w:t xml:space="preserve">Baux, loyers, retenue, détection d’anomalies locatives (§ 16.4)</w:t>
            </w:r>
          </w:p>
        </w:tc>
      </w:tr>
      <w:tr>
        <w:tc>
          <w:tcPr/>
          <w:p>
            <w:pPr>
              <w:pStyle w:val="Compact"/>
              <w:spacing w:after="20" w:before="20" w:line="240" w:lineRule="auto"/>
              <w:jc w:val="left"/>
            </w:pPr>
            <w:r>
              <w:rPr>
                <w:sz w:val="17"/>
              </w:rPr>
              <w:t xml:space="preserve">MOSOLO Business</w:t>
            </w:r>
          </w:p>
        </w:tc>
        <w:tc>
          <w:tcPr/>
          <w:p>
            <w:pPr>
              <w:pStyle w:val="Compact"/>
              <w:spacing w:after="20" w:before="20" w:line="240" w:lineRule="auto"/>
              <w:jc w:val="left"/>
            </w:pPr>
            <w:r>
              <w:rPr>
                <w:sz w:val="17"/>
              </w:rPr>
              <w:t xml:space="preserve">10, 17, 56</w:t>
            </w:r>
          </w:p>
        </w:tc>
        <w:tc>
          <w:tcPr/>
          <w:p>
            <w:pPr>
              <w:pStyle w:val="Compact"/>
              <w:spacing w:after="20" w:before="20" w:line="240" w:lineRule="auto"/>
              <w:jc w:val="left"/>
            </w:pPr>
            <w:r>
              <w:rPr>
                <w:sz w:val="17"/>
              </w:rPr>
              <w:t xml:space="preserve">Relier entreprise, établissement, activité, localisation, autorisations, dirigeants, objets taxables et historique ; ne jamais confondre existence d’une activité et assujettissement : la règle juridique reste déterminante</w:t>
            </w:r>
          </w:p>
        </w:tc>
      </w:tr>
      <w:tr>
        <w:tc>
          <w:tcPr>
            <w:shd w:val="clear" w:color="auto" w:fill="F2F9F8"/>
          </w:tcPr>
          <w:p>
            <w:pPr>
              <w:pStyle w:val="Compact"/>
              <w:spacing w:after="20" w:before="20" w:line="240" w:lineRule="auto"/>
              <w:jc w:val="left"/>
            </w:pPr>
            <w:r>
              <w:rPr>
                <w:sz w:val="17"/>
              </w:rPr>
              <w:t xml:space="preserve">MOSOLO Mobility</w:t>
            </w:r>
          </w:p>
        </w:tc>
        <w:tc>
          <w:tcPr>
            <w:shd w:val="clear" w:color="auto" w:fill="F2F9F8"/>
          </w:tcPr>
          <w:p>
            <w:pPr>
              <w:pStyle w:val="Compact"/>
              <w:spacing w:after="20" w:before="20" w:line="240" w:lineRule="auto"/>
              <w:jc w:val="left"/>
            </w:pPr>
            <w:r>
              <w:rPr>
                <w:sz w:val="17"/>
              </w:rPr>
              <w:t xml:space="preserve">11, 12, 25</w:t>
            </w:r>
          </w:p>
        </w:tc>
        <w:tc>
          <w:tcPr>
            <w:shd w:val="clear" w:color="auto" w:fill="F2F9F8"/>
          </w:tcPr>
          <w:p>
            <w:pPr>
              <w:pStyle w:val="Compact"/>
              <w:spacing w:after="20" w:before="20" w:line="240" w:lineRule="auto"/>
              <w:jc w:val="left"/>
            </w:pPr>
            <w:r>
              <w:rPr>
                <w:sz w:val="17"/>
              </w:rPr>
              <w:t xml:space="preserve">Référentiel des véhicules et objets de mobilité, autorisations et obligations applicables</w:t>
            </w:r>
          </w:p>
        </w:tc>
      </w:tr>
      <w:tr>
        <w:tc>
          <w:tcPr/>
          <w:p>
            <w:pPr>
              <w:pStyle w:val="Compact"/>
              <w:spacing w:after="20" w:before="20" w:line="240" w:lineRule="auto"/>
              <w:jc w:val="left"/>
            </w:pPr>
            <w:r>
              <w:rPr>
                <w:sz w:val="17"/>
              </w:rPr>
              <w:t xml:space="preserve">MOSOLO Parking</w:t>
            </w:r>
          </w:p>
        </w:tc>
        <w:tc>
          <w:tcPr/>
          <w:p>
            <w:pPr>
              <w:pStyle w:val="Compact"/>
              <w:spacing w:after="20" w:before="20" w:line="240" w:lineRule="auto"/>
              <w:jc w:val="left"/>
            </w:pPr>
            <w:r>
              <w:rPr>
                <w:sz w:val="17"/>
              </w:rPr>
              <w:t xml:space="preserve">14, 75 (chapitre 11A)</w:t>
            </w:r>
          </w:p>
        </w:tc>
        <w:tc>
          <w:tcPr/>
          <w:p>
            <w:pPr>
              <w:pStyle w:val="Compact"/>
              <w:spacing w:after="20" w:before="20" w:line="240" w:lineRule="auto"/>
              <w:jc w:val="left"/>
            </w:pPr>
            <w:r>
              <w:rPr>
                <w:sz w:val="17"/>
              </w:rPr>
              <w:t xml:space="preserve">Zones, sessions, paiement par QR, USSD ou application, contrôle, exemptions, rapprochement ; architecture ouverte permettant l’intégration de ParkSmart comme verticale MOSOLO</w:t>
            </w:r>
          </w:p>
        </w:tc>
      </w:tr>
      <w:tr>
        <w:tc>
          <w:tcPr>
            <w:shd w:val="clear" w:color="auto" w:fill="F2F9F8"/>
          </w:tcPr>
          <w:p>
            <w:pPr>
              <w:pStyle w:val="Compact"/>
              <w:spacing w:after="20" w:before="20" w:line="240" w:lineRule="auto"/>
              <w:jc w:val="left"/>
            </w:pPr>
            <w:r>
              <w:rPr>
                <w:sz w:val="17"/>
              </w:rPr>
              <w:t xml:space="preserve">MOSOLO Advertising</w:t>
            </w:r>
          </w:p>
        </w:tc>
        <w:tc>
          <w:tcPr>
            <w:shd w:val="clear" w:color="auto" w:fill="F2F9F8"/>
          </w:tcPr>
          <w:p>
            <w:pPr>
              <w:pStyle w:val="Compact"/>
              <w:spacing w:after="20" w:before="20" w:line="240" w:lineRule="auto"/>
              <w:jc w:val="left"/>
            </w:pPr>
            <w:r>
              <w:rPr>
                <w:sz w:val="17"/>
              </w:rPr>
              <w:t xml:space="preserve">15, 77 (chapitre 11B)</w:t>
            </w:r>
          </w:p>
        </w:tc>
        <w:tc>
          <w:tcPr>
            <w:shd w:val="clear" w:color="auto" w:fill="F2F9F8"/>
          </w:tcPr>
          <w:p>
            <w:pPr>
              <w:pStyle w:val="Compact"/>
              <w:spacing w:after="20" w:before="20" w:line="240" w:lineRule="auto"/>
              <w:jc w:val="left"/>
            </w:pPr>
            <w:r>
              <w:rPr>
                <w:sz w:val="17"/>
              </w:rPr>
              <w:t xml:space="preserve">Inventaire géolocalisé des panneaux et enseignes ; croisement autorisation ↔ objet observé ↔ obligation ↔ paiement ↔ échéance</w:t>
            </w:r>
          </w:p>
        </w:tc>
      </w:tr>
      <w:tr>
        <w:tc>
          <w:tcPr/>
          <w:p>
            <w:pPr>
              <w:pStyle w:val="Compact"/>
              <w:spacing w:after="20" w:before="20" w:line="240" w:lineRule="auto"/>
              <w:jc w:val="left"/>
            </w:pPr>
            <w:r>
              <w:rPr>
                <w:sz w:val="17"/>
              </w:rPr>
              <w:t xml:space="preserve">MOSOLO Telecom</w:t>
            </w:r>
          </w:p>
        </w:tc>
        <w:tc>
          <w:tcPr/>
          <w:p>
            <w:pPr>
              <w:pStyle w:val="Compact"/>
              <w:spacing w:after="20" w:before="20" w:line="240" w:lineRule="auto"/>
              <w:jc w:val="left"/>
            </w:pPr>
            <w:r>
              <w:rPr>
                <w:sz w:val="17"/>
              </w:rPr>
              <w:t xml:space="preserve">16</w:t>
            </w:r>
          </w:p>
        </w:tc>
        <w:tc>
          <w:tcPr/>
          <w:p>
            <w:pPr>
              <w:pStyle w:val="Compact"/>
              <w:spacing w:after="20" w:before="20" w:line="240" w:lineRule="auto"/>
              <w:jc w:val="left"/>
            </w:pPr>
            <w:r>
              <w:rPr>
                <w:sz w:val="17"/>
              </w:rPr>
              <w:t xml:space="preserve">Antennes et emprises ; même croisement autorisation ↔ objet ↔ obligation ↔ paiement ↔ échéance</w:t>
            </w:r>
          </w:p>
        </w:tc>
      </w:tr>
      <w:tr>
        <w:tc>
          <w:tcPr>
            <w:shd w:val="clear" w:color="auto" w:fill="F2F9F8"/>
          </w:tcPr>
          <w:p>
            <w:pPr>
              <w:pStyle w:val="Compact"/>
              <w:spacing w:after="20" w:before="20" w:line="240" w:lineRule="auto"/>
              <w:jc w:val="left"/>
            </w:pPr>
            <w:r>
              <w:rPr>
                <w:sz w:val="17"/>
              </w:rPr>
              <w:t xml:space="preserve">MOSOLO Markets</w:t>
            </w:r>
          </w:p>
        </w:tc>
        <w:tc>
          <w:tcPr>
            <w:shd w:val="clear" w:color="auto" w:fill="F2F9F8"/>
          </w:tcPr>
          <w:p>
            <w:pPr>
              <w:pStyle w:val="Compact"/>
              <w:spacing w:after="20" w:before="20" w:line="240" w:lineRule="auto"/>
              <w:jc w:val="left"/>
            </w:pPr>
            <w:r>
              <w:rPr>
                <w:sz w:val="17"/>
              </w:rPr>
              <w:t xml:space="preserve">20</w:t>
            </w:r>
          </w:p>
        </w:tc>
        <w:tc>
          <w:tcPr>
            <w:shd w:val="clear" w:color="auto" w:fill="F2F9F8"/>
          </w:tcPr>
          <w:p>
            <w:pPr>
              <w:pStyle w:val="Compact"/>
              <w:spacing w:after="20" w:before="20" w:line="240" w:lineRule="auto"/>
              <w:jc w:val="left"/>
            </w:pPr>
            <w:r>
              <w:rPr>
                <w:sz w:val="17"/>
              </w:rPr>
              <w:t xml:space="preserve">Stands, étals, places, digitalisation de la collecte</w:t>
            </w:r>
          </w:p>
        </w:tc>
      </w:tr>
      <w:tr>
        <w:tc>
          <w:tcPr/>
          <w:p>
            <w:pPr>
              <w:pStyle w:val="Compact"/>
              <w:spacing w:after="20" w:before="20" w:line="240" w:lineRule="auto"/>
              <w:jc w:val="left"/>
            </w:pPr>
            <w:r>
              <w:rPr>
                <w:sz w:val="17"/>
              </w:rPr>
              <w:t xml:space="preserve">MOSOLO Public Domain</w:t>
            </w:r>
          </w:p>
        </w:tc>
        <w:tc>
          <w:tcPr/>
          <w:p>
            <w:pPr>
              <w:pStyle w:val="Compact"/>
              <w:spacing w:after="20" w:before="20" w:line="240" w:lineRule="auto"/>
              <w:jc w:val="left"/>
            </w:pPr>
            <w:r>
              <w:rPr>
                <w:sz w:val="17"/>
              </w:rPr>
              <w:t xml:space="preserve">19, 20</w:t>
            </w:r>
          </w:p>
        </w:tc>
        <w:tc>
          <w:tcPr/>
          <w:p>
            <w:pPr>
              <w:pStyle w:val="Compact"/>
              <w:spacing w:after="20" w:before="20" w:line="240" w:lineRule="auto"/>
              <w:jc w:val="left"/>
            </w:pPr>
            <w:r>
              <w:rPr>
                <w:sz w:val="17"/>
              </w:rPr>
              <w:t xml:space="preserve">Emprises, occupations temporaires et permanentes</w:t>
            </w:r>
          </w:p>
        </w:tc>
      </w:tr>
      <w:tr>
        <w:tc>
          <w:tcPr>
            <w:shd w:val="clear" w:color="auto" w:fill="F2F9F8"/>
          </w:tcPr>
          <w:p>
            <w:pPr>
              <w:pStyle w:val="Compact"/>
              <w:spacing w:after="20" w:before="20" w:line="240" w:lineRule="auto"/>
              <w:jc w:val="left"/>
            </w:pPr>
            <w:r>
              <w:rPr>
                <w:sz w:val="17"/>
              </w:rPr>
              <w:t xml:space="preserve">MOSOLO Environment</w:t>
            </w:r>
          </w:p>
        </w:tc>
        <w:tc>
          <w:tcPr>
            <w:shd w:val="clear" w:color="auto" w:fill="F2F9F8"/>
          </w:tcPr>
          <w:p>
            <w:pPr>
              <w:pStyle w:val="Compact"/>
              <w:spacing w:after="20" w:before="20" w:line="240" w:lineRule="auto"/>
              <w:jc w:val="left"/>
            </w:pPr>
            <w:r>
              <w:rPr>
                <w:sz w:val="17"/>
              </w:rPr>
              <w:t xml:space="preserve">18, 19</w:t>
            </w:r>
          </w:p>
        </w:tc>
        <w:tc>
          <w:tcPr>
            <w:shd w:val="clear" w:color="auto" w:fill="F2F9F8"/>
          </w:tcPr>
          <w:p>
            <w:pPr>
              <w:pStyle w:val="Compact"/>
              <w:spacing w:after="20" w:before="20" w:line="240" w:lineRule="auto"/>
              <w:jc w:val="left"/>
            </w:pPr>
            <w:r>
              <w:rPr>
                <w:sz w:val="17"/>
              </w:rPr>
              <w:t xml:space="preserve">Assainissement, déchets, contribution plastique sous réserve d’édit</w:t>
            </w:r>
          </w:p>
        </w:tc>
      </w:tr>
      <w:tr>
        <w:tc>
          <w:tcPr/>
          <w:p>
            <w:pPr>
              <w:pStyle w:val="Compact"/>
              <w:spacing w:after="20" w:before="20" w:line="240" w:lineRule="auto"/>
              <w:jc w:val="left"/>
            </w:pPr>
            <w:r>
              <w:rPr>
                <w:sz w:val="17"/>
              </w:rPr>
              <w:t xml:space="preserve">MOSOLO Ports</w:t>
            </w:r>
          </w:p>
        </w:tc>
        <w:tc>
          <w:tcPr/>
          <w:p>
            <w:pPr>
              <w:pStyle w:val="Compact"/>
              <w:spacing w:after="20" w:before="20" w:line="240" w:lineRule="auto"/>
              <w:jc w:val="left"/>
            </w:pPr>
            <w:r>
              <w:rPr>
                <w:sz w:val="17"/>
              </w:rPr>
              <w:t xml:space="preserve">13, 24</w:t>
            </w:r>
          </w:p>
        </w:tc>
        <w:tc>
          <w:tcPr/>
          <w:p>
            <w:pPr>
              <w:pStyle w:val="Compact"/>
              <w:spacing w:after="20" w:before="20" w:line="240" w:lineRule="auto"/>
              <w:jc w:val="left"/>
            </w:pPr>
            <w:r>
              <w:rPr>
                <w:sz w:val="17"/>
              </w:rPr>
              <w:t xml:space="preserve">Ports et fluvial, embarcations, quais, mouvements ; pilote après cadrage sectoriel</w:t>
            </w:r>
          </w:p>
        </w:tc>
      </w:tr>
      <w:tr>
        <w:tc>
          <w:tcPr>
            <w:shd w:val="clear" w:color="auto" w:fill="F2F9F8"/>
          </w:tcPr>
          <w:p>
            <w:pPr>
              <w:pStyle w:val="Compact"/>
              <w:spacing w:after="20" w:before="20" w:line="240" w:lineRule="auto"/>
              <w:jc w:val="left"/>
            </w:pPr>
            <w:r>
              <w:rPr>
                <w:sz w:val="17"/>
              </w:rPr>
              <w:t xml:space="preserve">MOSOLO AVIA</w:t>
            </w:r>
          </w:p>
        </w:tc>
        <w:tc>
          <w:tcPr>
            <w:shd w:val="clear" w:color="auto" w:fill="F2F9F8"/>
          </w:tcPr>
          <w:p>
            <w:pPr>
              <w:pStyle w:val="Compact"/>
              <w:spacing w:after="20" w:before="20" w:line="240" w:lineRule="auto"/>
              <w:jc w:val="left"/>
            </w:pPr>
            <w:r>
              <w:rPr>
                <w:sz w:val="17"/>
              </w:rPr>
              <w:t xml:space="preserve">62, 78 (chapitre 11C)</w:t>
            </w:r>
          </w:p>
        </w:tc>
        <w:tc>
          <w:tcPr>
            <w:shd w:val="clear" w:color="auto" w:fill="F2F9F8"/>
          </w:tcPr>
          <w:p>
            <w:pPr>
              <w:pStyle w:val="Compact"/>
              <w:spacing w:after="20" w:before="20" w:line="240" w:lineRule="auto"/>
              <w:jc w:val="left"/>
            </w:pPr>
            <w:r>
              <w:rPr>
                <w:sz w:val="17"/>
              </w:rPr>
              <w:t xml:space="preserve">KIN-AVIA FISCUS devient une verticale spécialisée de rapprochement aérien (données BSP, GDS et opérateurs), sous validation juridique de ses mécanismes ; pilote après cadrage</w:t>
            </w:r>
          </w:p>
        </w:tc>
      </w:tr>
      <w:tr>
        <w:tc>
          <w:tcPr/>
          <w:p>
            <w:pPr>
              <w:pStyle w:val="Compact"/>
              <w:spacing w:after="20" w:before="20" w:line="240" w:lineRule="auto"/>
              <w:jc w:val="left"/>
            </w:pPr>
            <w:r>
              <w:rPr>
                <w:sz w:val="17"/>
              </w:rPr>
              <w:t xml:space="preserve">MOSOLO Events</w:t>
            </w:r>
          </w:p>
        </w:tc>
        <w:tc>
          <w:tcPr/>
          <w:p>
            <w:pPr>
              <w:pStyle w:val="Compact"/>
              <w:spacing w:after="20" w:before="20" w:line="240" w:lineRule="auto"/>
              <w:jc w:val="left"/>
            </w:pPr>
            <w:r>
              <w:rPr>
                <w:sz w:val="17"/>
              </w:rPr>
              <w:t xml:space="preserve">21</w:t>
            </w:r>
          </w:p>
        </w:tc>
        <w:tc>
          <w:tcPr/>
          <w:p>
            <w:pPr>
              <w:pStyle w:val="Compact"/>
              <w:spacing w:after="20" w:before="20" w:line="240" w:lineRule="auto"/>
              <w:jc w:val="left"/>
            </w:pPr>
            <w:r>
              <w:rPr>
                <w:sz w:val="17"/>
              </w:rPr>
              <w:t xml:space="preserve">Autorisations d’événements, billetterie déclarée</w:t>
            </w:r>
          </w:p>
        </w:tc>
      </w:tr>
      <w:tr>
        <w:tc>
          <w:tcPr>
            <w:shd w:val="clear" w:color="auto" w:fill="F2F9F8"/>
          </w:tcPr>
          <w:p>
            <w:pPr>
              <w:pStyle w:val="Compact"/>
              <w:spacing w:after="20" w:before="20" w:line="240" w:lineRule="auto"/>
              <w:jc w:val="left"/>
            </w:pPr>
            <w:r>
              <w:rPr>
                <w:sz w:val="17"/>
              </w:rPr>
              <w:t xml:space="preserve">MOSOLO Construction</w:t>
            </w:r>
          </w:p>
        </w:tc>
        <w:tc>
          <w:tcPr>
            <w:shd w:val="clear" w:color="auto" w:fill="F2F9F8"/>
          </w:tcPr>
          <w:p>
            <w:pPr>
              <w:pStyle w:val="Compact"/>
              <w:spacing w:after="20" w:before="20" w:line="240" w:lineRule="auto"/>
              <w:jc w:val="left"/>
            </w:pPr>
            <w:r>
              <w:rPr>
                <w:sz w:val="17"/>
              </w:rPr>
              <w:t xml:space="preserve">22</w:t>
            </w:r>
          </w:p>
        </w:tc>
        <w:tc>
          <w:tcPr>
            <w:shd w:val="clear" w:color="auto" w:fill="F2F9F8"/>
          </w:tcPr>
          <w:p>
            <w:pPr>
              <w:pStyle w:val="Compact"/>
              <w:spacing w:after="20" w:before="20" w:line="240" w:lineRule="auto"/>
              <w:jc w:val="left"/>
            </w:pPr>
            <w:r>
              <w:rPr>
                <w:sz w:val="17"/>
              </w:rPr>
              <w:t xml:space="preserve">Carrières, droits de voirie liés aux chantiers et permis de bâtir, quitus fiscal (§ 8.2)</w:t>
            </w:r>
          </w:p>
        </w:tc>
      </w:tr>
      <w:tr>
        <w:tc>
          <w:tcPr/>
          <w:p>
            <w:pPr>
              <w:pStyle w:val="Compact"/>
              <w:spacing w:after="20" w:before="20" w:line="240" w:lineRule="auto"/>
              <w:jc w:val="left"/>
            </w:pPr>
            <w:r>
              <w:rPr>
                <w:sz w:val="17"/>
              </w:rPr>
              <w:t xml:space="preserve">MOSOLO Assets</w:t>
            </w:r>
          </w:p>
        </w:tc>
        <w:tc>
          <w:tcPr/>
          <w:p>
            <w:pPr>
              <w:pStyle w:val="Compact"/>
              <w:spacing w:after="20" w:before="20" w:line="240" w:lineRule="auto"/>
              <w:jc w:val="left"/>
            </w:pPr>
            <w:r>
              <w:rPr>
                <w:sz w:val="17"/>
              </w:rPr>
              <w:t xml:space="preserve">48, 61</w:t>
            </w:r>
          </w:p>
        </w:tc>
        <w:tc>
          <w:tcPr/>
          <w:p>
            <w:pPr>
              <w:pStyle w:val="Compact"/>
              <w:spacing w:after="20" w:before="20" w:line="240" w:lineRule="auto"/>
              <w:jc w:val="left"/>
            </w:pPr>
            <w:r>
              <w:rPr>
                <w:sz w:val="17"/>
              </w:rPr>
              <w:t xml:space="preserve">Patrimoine provincial, droits d’usage d’actifs publics (§ 8.2)</w:t>
            </w:r>
          </w:p>
        </w:tc>
      </w:tr>
      <w:tr>
        <w:tc>
          <w:tcPr>
            <w:shd w:val="clear" w:color="auto" w:fill="F2F9F8"/>
          </w:tcPr>
          <w:p>
            <w:pPr>
              <w:pStyle w:val="Compact"/>
              <w:spacing w:after="20" w:before="20" w:line="240" w:lineRule="auto"/>
              <w:jc w:val="left"/>
            </w:pPr>
            <w:r>
              <w:rPr>
                <w:sz w:val="17"/>
              </w:rPr>
              <w:t xml:space="preserve">MOSOLO Billetterie et moto-taxis (RakaPay)</w:t>
            </w:r>
          </w:p>
        </w:tc>
        <w:tc>
          <w:tcPr>
            <w:shd w:val="clear" w:color="auto" w:fill="F2F9F8"/>
          </w:tcPr>
          <w:p>
            <w:pPr>
              <w:pStyle w:val="Compact"/>
              <w:spacing w:after="20" w:before="20" w:line="240" w:lineRule="auto"/>
              <w:jc w:val="left"/>
            </w:pPr>
            <w:r>
              <w:rPr>
                <w:sz w:val="17"/>
              </w:rPr>
              <w:t xml:space="preserve">12, 14, 20, 25, 76, 81 (§ 11D)</w:t>
            </w:r>
          </w:p>
        </w:tc>
        <w:tc>
          <w:tcPr>
            <w:shd w:val="clear" w:color="auto" w:fill="F2F9F8"/>
          </w:tcPr>
          <w:p>
            <w:pPr>
              <w:pStyle w:val="Compact"/>
              <w:spacing w:after="20" w:before="20" w:line="240" w:lineRule="auto"/>
              <w:jc w:val="left"/>
            </w:pPr>
            <w:r>
              <w:rPr>
                <w:sz w:val="17"/>
              </w:rPr>
              <w:t xml:space="preserve">Tickets urbains à durée pour tous les usages payants, dont le pass des plus d’un million de wewa : identification des motos et conducteurs, pass légal, paiement sans espèces, coopératives, contrôle protecteur</w:t>
            </w:r>
          </w:p>
        </w:tc>
      </w:tr>
      <w:tr>
        <w:tc>
          <w:tcPr/>
          <w:p>
            <w:pPr>
              <w:pStyle w:val="Compact"/>
              <w:spacing w:after="20" w:before="20" w:line="240" w:lineRule="auto"/>
              <w:jc w:val="left"/>
            </w:pPr>
            <w:r>
              <w:rPr>
                <w:sz w:val="17"/>
              </w:rPr>
              <w:t xml:space="preserve">MOSOLO Recovery</w:t>
            </w:r>
          </w:p>
        </w:tc>
        <w:tc>
          <w:tcPr/>
          <w:p>
            <w:pPr>
              <w:pStyle w:val="Compact"/>
              <w:spacing w:after="20" w:before="20" w:line="240" w:lineRule="auto"/>
              <w:jc w:val="left"/>
            </w:pPr>
            <w:r>
              <w:rPr>
                <w:sz w:val="17"/>
              </w:rPr>
              <w:t xml:space="preserve">32, 33, 36</w:t>
            </w:r>
          </w:p>
        </w:tc>
        <w:tc>
          <w:tcPr/>
          <w:p>
            <w:pPr>
              <w:pStyle w:val="Compact"/>
              <w:spacing w:after="20" w:before="20" w:line="240" w:lineRule="auto"/>
              <w:jc w:val="left"/>
            </w:pPr>
            <w:r>
              <w:rPr>
                <w:sz w:val="17"/>
              </w:rPr>
              <w:t xml:space="preserve">Arriérés, campagnes, dossiers d’exécution (§ 21)</w:t>
            </w:r>
          </w:p>
        </w:tc>
      </w:tr>
    </w:tbl>
    <w:bookmarkEnd w:id="78"/>
    <w:bookmarkStart w:id="79" w:name="moteur-de-liquidation-assessment-engine"/>
    <w:p>
      <w:pPr>
        <w:pStyle w:val="Heading2"/>
      </w:pPr>
      <w:r>
        <w:t xml:space="preserve">11.2 Moteur de liquidation (Assessment Engine)</w:t>
      </w:r>
    </w:p>
    <w:p>
      <w:pPr>
        <w:pStyle w:val="Compact"/>
        <w:numPr>
          <w:ilvl w:val="0"/>
          <w:numId w:val="1010"/>
        </w:numPr>
      </w:pPr>
      <w:r>
        <w:t xml:space="preserve">Calcul déterministe, versionné, testable et explicable, exécuté uniquement à partir de règles publiées du registre (§ 6.2).</w:t>
      </w:r>
    </w:p>
    <w:p>
      <w:pPr>
        <w:pStyle w:val="Compact"/>
        <w:numPr>
          <w:ilvl w:val="0"/>
          <w:numId w:val="1010"/>
        </w:numPr>
      </w:pPr>
      <w:r>
        <w:t xml:space="preserve">Chaque obligation conserve : les données d’entrée, la formule, la version exacte de la règle, les arrondis, la date, l’auteur ou l’automate, les preuves et le résultat.</w:t>
      </w:r>
    </w:p>
    <w:p>
      <w:pPr>
        <w:pStyle w:val="Compact"/>
        <w:numPr>
          <w:ilvl w:val="0"/>
          <w:numId w:val="1010"/>
        </w:numPr>
      </w:pPr>
      <w:r>
        <w:t xml:space="preserve">Recalcul contrôlé lors d’un changement légal, avec historique complet et motif ; l’ancienne liquidation n’est jamais écrasée.</w:t>
      </w:r>
    </w:p>
    <w:p>
      <w:pPr>
        <w:pStyle w:val="Compact"/>
        <w:numPr>
          <w:ilvl w:val="0"/>
          <w:numId w:val="1010"/>
        </w:numPr>
      </w:pPr>
      <w:r>
        <w:t xml:space="preserve">Aucune logique fiscale cachée dans l’interface (front-end) ni dans un modèle d’IA.</w:t>
      </w:r>
    </w:p>
    <w:p>
      <w:pPr>
        <w:pStyle w:val="Compact"/>
        <w:numPr>
          <w:ilvl w:val="0"/>
          <w:numId w:val="1010"/>
        </w:numPr>
      </w:pPr>
      <w:r>
        <w:t xml:space="preserve">Tests par jeux de cas juridiques validés par les juristes provinciaux (§ 44).</w:t>
      </w:r>
    </w:p>
    <w:bookmarkEnd w:id="79"/>
    <w:bookmarkStart w:id="80" w:name="moteur-de-notification"/>
    <w:p>
      <w:pPr>
        <w:pStyle w:val="Heading2"/>
      </w:pPr>
      <w:r>
        <w:t xml:space="preserve">11.3 Moteur de notification</w:t>
      </w:r>
    </w:p>
    <w:p>
      <w:pPr>
        <w:pStyle w:val="Compact"/>
        <w:numPr>
          <w:ilvl w:val="0"/>
          <w:numId w:val="1011"/>
        </w:numPr>
      </w:pPr>
      <w:r>
        <w:t xml:space="preserve">Avis numériques et imprimables, échéances, rappels, pièces demandées, historique et explication du calcul.</w:t>
      </w:r>
    </w:p>
    <w:p>
      <w:pPr>
        <w:pStyle w:val="Compact"/>
        <w:numPr>
          <w:ilvl w:val="0"/>
          <w:numId w:val="1011"/>
        </w:numPr>
      </w:pPr>
      <w:r>
        <w:t xml:space="preserve">Mises en demeure uniquement lorsqu’elles sont légalement autorisées, avec double validation (§ 21).</w:t>
      </w:r>
    </w:p>
    <w:p>
      <w:pPr>
        <w:pStyle w:val="Compact"/>
        <w:numPr>
          <w:ilvl w:val="0"/>
          <w:numId w:val="1011"/>
        </w:numPr>
      </w:pPr>
      <w:r>
        <w:t xml:space="preserve">Canaux : SMS, courriel, application, USSD et courrier selon disponibilité, avec préférences de canal du contribuable et preuve de délivrance conservée.</w:t>
      </w:r>
    </w:p>
    <w:p>
      <w:pPr>
        <w:pStyle w:val="Compact"/>
        <w:numPr>
          <w:ilvl w:val="0"/>
          <w:numId w:val="1011"/>
        </w:numPr>
      </w:pPr>
      <w:r>
        <w:t xml:space="preserve">Modèles de messages (templates) versionnés par recette et par langue ; langage simple et parcours assisté.</w:t>
      </w:r>
    </w:p>
    <w:bookmarkEnd w:id="80"/>
    <w:bookmarkEnd w:id="81"/>
    <w:bookmarkStart w:id="90" w:name="a.-verticale-mosolo-parking-parksmart"/>
    <w:p>
      <w:pPr>
        <w:pStyle w:val="Heading1"/>
      </w:pPr>
      <w:r>
        <w:t xml:space="preserve">11A. Verticale MOSOLO Parking (ParkSmart)</w:t>
      </w:r>
    </w:p>
    <w:p>
      <w:pPr>
        <w:pStyle w:val="FirstParagraph"/>
      </w:pPr>
      <w:r>
        <w:t xml:space="preserve">ParkSmart transforme le stationnement urbain en actif public générateur de recettes, piloté par la donnée. Le stationnement est aujourd’hui un actif public non exploité : stationnement sauvage sur les axes structurants, occupation abusive des trottoirs, absence de rotation, collecte manuelle non auditée, absence de données, fuites financières permanentes et aucun mécanisme d’optimisation tarifaire.</w:t>
      </w:r>
      <w:r>
        <w:t xml:space="preserve"> </w:t>
      </w:r>
      <w:r>
        <w:rPr>
          <w:b/>
          <w:bCs/>
        </w:rPr>
        <w:t xml:space="preserve">La voirie cesse d’être un espace anarchique pour devenir une infrastructure fiscale locale.</w:t>
      </w:r>
      <w:r>
        <w:t xml:space="preserve"> </w:t>
      </w:r>
      <w:r>
        <w:t xml:space="preserve">Toutes les règles de ce chapitre s’exécutent sur le socle MOSOLO : identité, règles juridiques, paiement direct au compte public, titres à durée de validité (§ 19A), contrôle (§ 15, § 15A) et audit.</w:t>
      </w:r>
    </w:p>
    <w:bookmarkStart w:id="82" w:name="a.1-décision-structurante-proposée"/>
    <w:p>
      <w:pPr>
        <w:pStyle w:val="Heading2"/>
      </w:pPr>
      <w:r>
        <w:t xml:space="preserve">11A.1 Décision structurante proposée</w:t>
      </w:r>
    </w:p>
    <w:p>
      <w:pPr>
        <w:pStyle w:val="Compact"/>
        <w:numPr>
          <w:ilvl w:val="0"/>
          <w:numId w:val="1012"/>
        </w:numPr>
      </w:pPr>
      <w:r>
        <w:t xml:space="preserve">Toutes les artères principales de Kinshasa deviennent des zones de stationnement payant réglementé.</w:t>
      </w:r>
    </w:p>
    <w:p>
      <w:pPr>
        <w:pStyle w:val="Compact"/>
        <w:numPr>
          <w:ilvl w:val="0"/>
          <w:numId w:val="1012"/>
        </w:numPr>
      </w:pPr>
      <w:r>
        <w:t xml:space="preserve">L’intégralité des voiries de la commune de Gombe devient zone payante.</w:t>
      </w:r>
    </w:p>
    <w:p>
      <w:pPr>
        <w:pStyle w:val="Compact"/>
        <w:numPr>
          <w:ilvl w:val="0"/>
          <w:numId w:val="1012"/>
        </w:numPr>
      </w:pPr>
      <w:r>
        <w:t xml:space="preserve">Tarification intelligente, contrôlée et traçable.</w:t>
      </w:r>
    </w:p>
    <w:p>
      <w:pPr>
        <w:pStyle w:val="Compact"/>
        <w:numPr>
          <w:ilvl w:val="0"/>
          <w:numId w:val="1012"/>
        </w:numPr>
      </w:pPr>
      <w:r>
        <w:t xml:space="preserve">Mise en œuvre sans investissement public dans le système numérique (§ 37A), sous réserve de l’acte réglementaire délimitant les zones et fixant les tarifs.</w:t>
      </w:r>
    </w:p>
    <w:bookmarkEnd w:id="82"/>
    <w:bookmarkStart w:id="83" w:name="X54a7010a7caa3a87eccb8270a1923d019fdec9e"/>
    <w:p>
      <w:pPr>
        <w:pStyle w:val="Heading2"/>
      </w:pPr>
      <w:r>
        <w:t xml:space="preserve">11A.2 Tarification intelligente et évolutive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Mode</w:t>
            </w:r>
          </w:p>
        </w:tc>
        <w:tc>
          <w:tcPr>
            <w:shd w:val="clear" w:color="auto" w:fill="1BA996"/>
          </w:tcPr>
          <w:p>
            <w:pPr>
              <w:pStyle w:val="Compact"/>
              <w:spacing w:after="20" w:before="20" w:line="240" w:lineRule="auto"/>
              <w:jc w:val="left"/>
            </w:pPr>
            <w:r>
              <w:rPr>
                <w:b/>
                <w:color w:val="FFFFFF"/>
                <w:sz w:val="17"/>
              </w:rPr>
              <w:t xml:space="preserve">Usage</w:t>
            </w:r>
          </w:p>
        </w:tc>
      </w:tr>
      <w:tr>
        <w:tc>
          <w:tcPr/>
          <w:p>
            <w:pPr>
              <w:pStyle w:val="Compact"/>
              <w:spacing w:after="20" w:before="20" w:line="240" w:lineRule="auto"/>
              <w:jc w:val="left"/>
            </w:pPr>
            <w:r>
              <w:rPr>
                <w:sz w:val="17"/>
              </w:rPr>
              <w:t xml:space="preserve">Horaire, journalière, par zone</w:t>
            </w:r>
          </w:p>
        </w:tc>
        <w:tc>
          <w:tcPr/>
          <w:p>
            <w:pPr>
              <w:pStyle w:val="Compact"/>
              <w:spacing w:after="20" w:before="20" w:line="240" w:lineRule="auto"/>
              <w:jc w:val="left"/>
            </w:pPr>
            <w:r>
              <w:rPr>
                <w:sz w:val="17"/>
              </w:rPr>
              <w:t xml:space="preserve">Base tarifaire</w:t>
            </w:r>
          </w:p>
        </w:tc>
      </w:tr>
      <w:tr>
        <w:tc>
          <w:tcPr>
            <w:shd w:val="clear" w:color="auto" w:fill="F2F9F8"/>
          </w:tcPr>
          <w:p>
            <w:pPr>
              <w:pStyle w:val="Compact"/>
              <w:spacing w:after="20" w:before="20" w:line="240" w:lineRule="auto"/>
              <w:jc w:val="left"/>
            </w:pPr>
            <w:r>
              <w:rPr>
                <w:sz w:val="17"/>
              </w:rPr>
              <w:t xml:space="preserve">Différenciée selon la demande</w:t>
            </w:r>
          </w:p>
        </w:tc>
        <w:tc>
          <w:tcPr>
            <w:shd w:val="clear" w:color="auto" w:fill="F2F9F8"/>
          </w:tcPr>
          <w:p>
            <w:pPr>
              <w:pStyle w:val="Compact"/>
              <w:spacing w:after="20" w:before="20" w:line="240" w:lineRule="auto"/>
              <w:jc w:val="left"/>
            </w:pPr>
            <w:r>
              <w:rPr>
                <w:sz w:val="17"/>
              </w:rPr>
              <w:t xml:space="preserve">Zones et heures de forte demande</w:t>
            </w:r>
          </w:p>
        </w:tc>
      </w:tr>
      <w:tr>
        <w:tc>
          <w:tcPr/>
          <w:p>
            <w:pPr>
              <w:pStyle w:val="Compact"/>
              <w:spacing w:after="20" w:before="20" w:line="240" w:lineRule="auto"/>
              <w:jc w:val="left"/>
            </w:pPr>
            <w:r>
              <w:rPr>
                <w:sz w:val="17"/>
              </w:rPr>
              <w:t xml:space="preserve">Événements</w:t>
            </w:r>
          </w:p>
        </w:tc>
        <w:tc>
          <w:tcPr/>
          <w:p>
            <w:pPr>
              <w:pStyle w:val="Compact"/>
              <w:spacing w:after="20" w:before="20" w:line="240" w:lineRule="auto"/>
              <w:jc w:val="left"/>
            </w:pPr>
            <w:r>
              <w:rPr>
                <w:sz w:val="17"/>
              </w:rPr>
              <w:t xml:space="preserve">Tarif spécial ponctuel</w:t>
            </w:r>
          </w:p>
        </w:tc>
      </w:tr>
      <w:tr>
        <w:tc>
          <w:tcPr>
            <w:shd w:val="clear" w:color="auto" w:fill="F2F9F8"/>
          </w:tcPr>
          <w:p>
            <w:pPr>
              <w:pStyle w:val="Compact"/>
              <w:spacing w:after="20" w:before="20" w:line="240" w:lineRule="auto"/>
              <w:jc w:val="left"/>
            </w:pPr>
            <w:r>
              <w:rPr>
                <w:sz w:val="17"/>
              </w:rPr>
              <w:t xml:space="preserve">Pré-réservation premium</w:t>
            </w:r>
          </w:p>
        </w:tc>
        <w:tc>
          <w:tcPr>
            <w:shd w:val="clear" w:color="auto" w:fill="F2F9F8"/>
          </w:tcPr>
          <w:p>
            <w:pPr>
              <w:pStyle w:val="Compact"/>
              <w:spacing w:after="20" w:before="20" w:line="240" w:lineRule="auto"/>
              <w:jc w:val="left"/>
            </w:pPr>
            <w:r>
              <w:rPr>
                <w:sz w:val="17"/>
              </w:rPr>
              <w:t xml:space="preserve">Place garantie avec prime</w:t>
            </w:r>
          </w:p>
        </w:tc>
      </w:tr>
      <w:tr>
        <w:tc>
          <w:tcPr/>
          <w:p>
            <w:pPr>
              <w:pStyle w:val="Compact"/>
              <w:spacing w:after="20" w:before="20" w:line="240" w:lineRule="auto"/>
              <w:jc w:val="left"/>
            </w:pPr>
            <w:r>
              <w:rPr>
                <w:sz w:val="17"/>
              </w:rPr>
              <w:t xml:space="preserve">Résidentielle digitale</w:t>
            </w:r>
          </w:p>
        </w:tc>
        <w:tc>
          <w:tcPr/>
          <w:p>
            <w:pPr>
              <w:pStyle w:val="Compact"/>
              <w:spacing w:after="20" w:before="20" w:line="240" w:lineRule="auto"/>
              <w:jc w:val="left"/>
            </w:pPr>
            <w:r>
              <w:rPr>
                <w:sz w:val="17"/>
              </w:rPr>
              <w:t xml:space="preserve">Abonnement virtuel lié à la plaque</w:t>
            </w:r>
          </w:p>
        </w:tc>
      </w:tr>
      <w:tr>
        <w:tc>
          <w:tcPr>
            <w:shd w:val="clear" w:color="auto" w:fill="F2F9F8"/>
          </w:tcPr>
          <w:p>
            <w:pPr>
              <w:pStyle w:val="Compact"/>
              <w:spacing w:after="20" w:before="20" w:line="240" w:lineRule="auto"/>
              <w:jc w:val="left"/>
            </w:pPr>
            <w:r>
              <w:rPr>
                <w:sz w:val="17"/>
              </w:rPr>
              <w:t xml:space="preserve">Entreprises et zones commerciales</w:t>
            </w:r>
          </w:p>
        </w:tc>
        <w:tc>
          <w:tcPr>
            <w:shd w:val="clear" w:color="auto" w:fill="F2F9F8"/>
          </w:tcPr>
          <w:p>
            <w:pPr>
              <w:pStyle w:val="Compact"/>
              <w:spacing w:after="20" w:before="20" w:line="240" w:lineRule="auto"/>
              <w:jc w:val="left"/>
            </w:pPr>
            <w:r>
              <w:rPr>
                <w:sz w:val="17"/>
              </w:rPr>
              <w:t xml:space="preserve">Abonnements professionnels</w:t>
            </w:r>
          </w:p>
        </w:tc>
      </w:tr>
      <w:tr>
        <w:tc>
          <w:tcPr/>
          <w:p>
            <w:pPr>
              <w:pStyle w:val="Compact"/>
              <w:spacing w:after="20" w:before="20" w:line="240" w:lineRule="auto"/>
              <w:jc w:val="left"/>
            </w:pPr>
            <w:r>
              <w:rPr>
                <w:sz w:val="17"/>
              </w:rPr>
              <w:t xml:space="preserve">Courte durée</w:t>
            </w:r>
          </w:p>
        </w:tc>
        <w:tc>
          <w:tcPr/>
          <w:p>
            <w:pPr>
              <w:pStyle w:val="Compact"/>
              <w:spacing w:after="20" w:before="20" w:line="240" w:lineRule="auto"/>
              <w:jc w:val="left"/>
            </w:pPr>
            <w:r>
              <w:rPr>
                <w:sz w:val="17"/>
              </w:rPr>
              <w:t xml:space="preserve">Rotation rapide devant les commerces</w:t>
            </w:r>
          </w:p>
        </w:tc>
      </w:tr>
      <w:tr>
        <w:tc>
          <w:tcPr>
            <w:shd w:val="clear" w:color="auto" w:fill="F2F9F8"/>
          </w:tcPr>
          <w:p>
            <w:pPr>
              <w:pStyle w:val="Compact"/>
              <w:spacing w:after="20" w:before="20" w:line="240" w:lineRule="auto"/>
              <w:jc w:val="left"/>
            </w:pPr>
            <w:r>
              <w:rPr>
                <w:sz w:val="17"/>
              </w:rPr>
              <w:t xml:space="preserve">Longue durée majorée</w:t>
            </w:r>
          </w:p>
        </w:tc>
        <w:tc>
          <w:tcPr>
            <w:shd w:val="clear" w:color="auto" w:fill="F2F9F8"/>
          </w:tcPr>
          <w:p>
            <w:pPr>
              <w:pStyle w:val="Compact"/>
              <w:spacing w:after="20" w:before="20" w:line="240" w:lineRule="auto"/>
              <w:jc w:val="left"/>
            </w:pPr>
            <w:r>
              <w:rPr>
                <w:sz w:val="17"/>
              </w:rPr>
              <w:t xml:space="preserve">Dissuader l’occupation prolongée</w:t>
            </w:r>
          </w:p>
        </w:tc>
      </w:tr>
    </w:tbl>
    <w:p>
      <w:pPr>
        <w:pStyle w:val="BodyText"/>
      </w:pPr>
      <w:r>
        <w:t xml:space="preserve">Cible d’occupation : maintenir volontairement 15 à 25 % de places disponibles pour maximiser la rotation, le nombre de véhicules payants par jour et les recettes par mètre linéaire, tout en réduisant la congestion. Toute grille tarifaire est une règle du registre juridique (§ 6.2), approuvée avant activation.</w:t>
      </w:r>
    </w:p>
    <w:bookmarkEnd w:id="83"/>
    <w:bookmarkStart w:id="84" w:name="a.3-sources-de-recettes"/>
    <w:p>
      <w:pPr>
        <w:pStyle w:val="Heading2"/>
      </w:pPr>
      <w:r>
        <w:t xml:space="preserve">11A.3 Sources de recettes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Source</w:t>
            </w:r>
          </w:p>
        </w:tc>
        <w:tc>
          <w:tcPr>
            <w:shd w:val="clear" w:color="auto" w:fill="1BA996"/>
          </w:tcPr>
          <w:p>
            <w:pPr>
              <w:pStyle w:val="Compact"/>
              <w:spacing w:after="20" w:before="20" w:line="240" w:lineRule="auto"/>
              <w:jc w:val="left"/>
            </w:pPr>
            <w:r>
              <w:rPr>
                <w:b/>
                <w:color w:val="FFFFFF"/>
                <w:sz w:val="17"/>
              </w:rPr>
              <w:t xml:space="preserve">Contenu</w:t>
            </w:r>
          </w:p>
        </w:tc>
      </w:tr>
      <w:tr>
        <w:tc>
          <w:tcPr/>
          <w:p>
            <w:pPr>
              <w:pStyle w:val="Compact"/>
              <w:spacing w:after="20" w:before="20" w:line="240" w:lineRule="auto"/>
              <w:jc w:val="left"/>
            </w:pPr>
            <w:r>
              <w:rPr>
                <w:sz w:val="17"/>
              </w:rPr>
              <w:t xml:space="preserve">Redevances de stationnement</w:t>
            </w:r>
          </w:p>
        </w:tc>
        <w:tc>
          <w:tcPr/>
          <w:p>
            <w:pPr>
              <w:pStyle w:val="Compact"/>
              <w:spacing w:after="20" w:before="20" w:line="240" w:lineRule="auto"/>
              <w:jc w:val="left"/>
            </w:pPr>
            <w:r>
              <w:rPr>
                <w:sz w:val="17"/>
              </w:rPr>
              <w:t xml:space="preserve">Paiement horaire, journalier, anticipé ; prolongation à distance par mobile ; abonnements professionnels et résidentiels virtuels</w:t>
            </w:r>
          </w:p>
        </w:tc>
      </w:tr>
      <w:tr>
        <w:tc>
          <w:tcPr>
            <w:shd w:val="clear" w:color="auto" w:fill="F2F9F8"/>
          </w:tcPr>
          <w:p>
            <w:pPr>
              <w:pStyle w:val="Compact"/>
              <w:spacing w:after="20" w:before="20" w:line="240" w:lineRule="auto"/>
              <w:jc w:val="left"/>
            </w:pPr>
            <w:r>
              <w:rPr>
                <w:sz w:val="17"/>
              </w:rPr>
              <w:t xml:space="preserve">Pénalités</w:t>
            </w:r>
          </w:p>
        </w:tc>
        <w:tc>
          <w:tcPr>
            <w:shd w:val="clear" w:color="auto" w:fill="F2F9F8"/>
          </w:tcPr>
          <w:p>
            <w:pPr>
              <w:pStyle w:val="Compact"/>
              <w:spacing w:after="20" w:before="20" w:line="240" w:lineRule="auto"/>
              <w:jc w:val="left"/>
            </w:pPr>
            <w:r>
              <w:rPr>
                <w:sz w:val="17"/>
              </w:rPr>
              <w:t xml:space="preserve">Non-paiement, dépassement, stationnement interdit, récidive majorée, blocage administratif des récidivistes — selon le barème et la procédure fixés par l’acte réglementaire</w:t>
            </w:r>
          </w:p>
        </w:tc>
      </w:tr>
      <w:tr>
        <w:tc>
          <w:tcPr/>
          <w:p>
            <w:pPr>
              <w:pStyle w:val="Compact"/>
              <w:spacing w:after="20" w:before="20" w:line="240" w:lineRule="auto"/>
              <w:jc w:val="left"/>
            </w:pPr>
            <w:r>
              <w:rPr>
                <w:sz w:val="17"/>
              </w:rPr>
              <w:t xml:space="preserve">Réservations temporaires de voirie</w:t>
            </w:r>
          </w:p>
        </w:tc>
        <w:tc>
          <w:tcPr/>
          <w:p>
            <w:pPr>
              <w:pStyle w:val="Compact"/>
              <w:spacing w:after="20" w:before="20" w:line="240" w:lineRule="auto"/>
              <w:jc w:val="left"/>
            </w:pPr>
            <w:r>
              <w:rPr>
                <w:sz w:val="17"/>
              </w:rPr>
              <w:t xml:space="preserve">Déménagements, chantiers, livraisons, événements</w:t>
            </w:r>
          </w:p>
        </w:tc>
      </w:tr>
      <w:tr>
        <w:tc>
          <w:tcPr>
            <w:shd w:val="clear" w:color="auto" w:fill="F2F9F8"/>
          </w:tcPr>
          <w:p>
            <w:pPr>
              <w:pStyle w:val="Compact"/>
              <w:spacing w:after="20" w:before="20" w:line="240" w:lineRule="auto"/>
              <w:jc w:val="left"/>
            </w:pPr>
            <w:r>
              <w:rPr>
                <w:sz w:val="17"/>
              </w:rPr>
              <w:t xml:space="preserve">Zones premium</w:t>
            </w:r>
          </w:p>
        </w:tc>
        <w:tc>
          <w:tcPr>
            <w:shd w:val="clear" w:color="auto" w:fill="F2F9F8"/>
          </w:tcPr>
          <w:p>
            <w:pPr>
              <w:pStyle w:val="Compact"/>
              <w:spacing w:after="20" w:before="20" w:line="240" w:lineRule="auto"/>
              <w:jc w:val="left"/>
            </w:pPr>
            <w:r>
              <w:rPr>
                <w:sz w:val="17"/>
              </w:rPr>
              <w:t xml:space="preserve">Zones à haute demande, commerciales, administratives, gouvernementales</w:t>
            </w:r>
          </w:p>
        </w:tc>
      </w:tr>
      <w:tr>
        <w:tc>
          <w:tcPr/>
          <w:p>
            <w:pPr>
              <w:pStyle w:val="Compact"/>
              <w:spacing w:after="20" w:before="20" w:line="240" w:lineRule="auto"/>
              <w:jc w:val="left"/>
            </w:pPr>
            <w:r>
              <w:rPr>
                <w:sz w:val="17"/>
              </w:rPr>
              <w:t xml:space="preserve">Services à valeur ajoutée</w:t>
            </w:r>
          </w:p>
        </w:tc>
        <w:tc>
          <w:tcPr/>
          <w:p>
            <w:pPr>
              <w:pStyle w:val="Compact"/>
              <w:spacing w:after="20" w:before="20" w:line="240" w:lineRule="auto"/>
              <w:jc w:val="left"/>
            </w:pPr>
            <w:r>
              <w:rPr>
                <w:sz w:val="17"/>
              </w:rPr>
              <w:t xml:space="preserve">Pré-réservation garantie, zone VIP, stationnement avec recharge électrique (phase future), analyses urbaines, partenariats commerciaux locaux</w:t>
            </w:r>
          </w:p>
        </w:tc>
      </w:tr>
      <w:tr>
        <w:tc>
          <w:tcPr>
            <w:shd w:val="clear" w:color="auto" w:fill="F2F9F8"/>
          </w:tcPr>
          <w:p>
            <w:pPr>
              <w:pStyle w:val="Compact"/>
              <w:spacing w:after="20" w:before="20" w:line="240" w:lineRule="auto"/>
              <w:jc w:val="left"/>
            </w:pPr>
            <w:r>
              <w:rPr>
                <w:sz w:val="17"/>
              </w:rPr>
              <w:t xml:space="preserve">Données urbaines</w:t>
            </w:r>
          </w:p>
        </w:tc>
        <w:tc>
          <w:tcPr>
            <w:shd w:val="clear" w:color="auto" w:fill="F2F9F8"/>
          </w:tcPr>
          <w:p>
            <w:pPr>
              <w:pStyle w:val="Compact"/>
              <w:spacing w:after="20" w:before="20" w:line="240" w:lineRule="auto"/>
              <w:jc w:val="left"/>
            </w:pPr>
            <w:r>
              <w:rPr>
                <w:sz w:val="17"/>
              </w:rPr>
              <w:t xml:space="preserve">Flux de véhicules, zones congestionnées, appui à la planification urbaine, à la circulation et aux décisions budgétaires — uniquement sous forme agrégée et anonymisée (§ 8.2, § 32)</w:t>
            </w:r>
          </w:p>
        </w:tc>
      </w:tr>
    </w:tbl>
    <w:bookmarkEnd w:id="84"/>
    <w:bookmarkStart w:id="85" w:name="a.4-technologie"/>
    <w:p>
      <w:pPr>
        <w:pStyle w:val="Heading2"/>
      </w:pPr>
      <w:r>
        <w:t xml:space="preserve">11A.4 Technologie</w:t>
      </w:r>
    </w:p>
    <w:p>
      <w:pPr>
        <w:pStyle w:val="Compact"/>
        <w:numPr>
          <w:ilvl w:val="0"/>
          <w:numId w:val="1013"/>
        </w:numPr>
      </w:pPr>
      <w:r>
        <w:t xml:space="preserve">Paiement par QR, Mobile Money, USSD, carte bancaire, portefeuille électronique ; prolongation à distance ; reçus numériques ; permis virtuels liés à la plaque.</w:t>
      </w:r>
    </w:p>
    <w:p>
      <w:pPr>
        <w:pStyle w:val="Compact"/>
        <w:numPr>
          <w:ilvl w:val="0"/>
          <w:numId w:val="1013"/>
        </w:numPr>
      </w:pPr>
      <w:r>
        <w:rPr>
          <w:b/>
          <w:bCs/>
        </w:rPr>
        <w:t xml:space="preserve">La plaque d’immatriculation est l’identifiant central</w:t>
      </w:r>
      <w:r>
        <w:t xml:space="preserve"> </w:t>
      </w:r>
      <w:r>
        <w:t xml:space="preserve">: historique complet, profil de récidive, score de conformité (§ 19A.4 : titre lié à la plaque, aucun papier à montrer).</w:t>
      </w:r>
    </w:p>
    <w:p>
      <w:pPr>
        <w:pStyle w:val="Compact"/>
        <w:numPr>
          <w:ilvl w:val="0"/>
          <w:numId w:val="1013"/>
        </w:numPr>
      </w:pPr>
      <w:r>
        <w:t xml:space="preserve">Déploiement progressif de capteurs d’occupation, de la géolocalisation, de la vérification instantanée, de caméras de lecture automatique des plaques (LPR) et de patrouilles guidées par la donnée.</w:t>
      </w:r>
    </w:p>
    <w:bookmarkEnd w:id="85"/>
    <w:bookmarkStart w:id="86" w:name="a.5-optimisation-des-espaces"/>
    <w:p>
      <w:pPr>
        <w:pStyle w:val="Heading2"/>
      </w:pPr>
      <w:r>
        <w:t xml:space="preserve">11A.5 Optimisation des espaces</w:t>
      </w:r>
    </w:p>
    <w:p>
      <w:pPr>
        <w:pStyle w:val="Compact"/>
        <w:numPr>
          <w:ilvl w:val="0"/>
          <w:numId w:val="1014"/>
        </w:numPr>
      </w:pPr>
      <w:r>
        <w:t xml:space="preserve">Reconfiguration : passage du stationnement parallèle au stationnement en épi sur les axes compatibles, création de nouvelles baies, zones de livraison dédiées, zones de rotation rapide, zones longue durée en périphérie.</w:t>
      </w:r>
    </w:p>
    <w:p>
      <w:pPr>
        <w:pStyle w:val="Compact"/>
        <w:numPr>
          <w:ilvl w:val="0"/>
          <w:numId w:val="1014"/>
        </w:numPr>
      </w:pPr>
      <w:r>
        <w:rPr>
          <w:b/>
          <w:bCs/>
        </w:rPr>
        <w:t xml:space="preserve">Surréservation contrôlée (pré-réservation)</w:t>
      </w:r>
      <w:r>
        <w:t xml:space="preserve"> </w:t>
      </w:r>
      <w:r>
        <w:t xml:space="preserve">de 10 à 15 %, calculée sur l’historique réel pour compenser les annulations. Cette option n’est activable qu’après validation juridique au regard de la protection du consommateur, avec garantie de place ou compensation automatique en cas d’indisponibilité.</w:t>
      </w:r>
    </w:p>
    <w:bookmarkEnd w:id="86"/>
    <w:bookmarkStart w:id="87" w:name="a.6-contrôle-et-exécution"/>
    <w:p>
      <w:pPr>
        <w:pStyle w:val="Heading2"/>
      </w:pPr>
      <w:r>
        <w:t xml:space="preserve">11A.6 Contrôle et exécution</w:t>
      </w:r>
    </w:p>
    <w:p>
      <w:pPr>
        <w:pStyle w:val="Compact"/>
        <w:numPr>
          <w:ilvl w:val="0"/>
          <w:numId w:val="1015"/>
        </w:numPr>
      </w:pPr>
      <w:r>
        <w:t xml:space="preserve">Liaison directe paiement ↔ plaque ; vérification instantanée par le terminal de l’agent ou par caméra.</w:t>
      </w:r>
    </w:p>
    <w:p>
      <w:pPr>
        <w:pStyle w:val="Compact"/>
        <w:numPr>
          <w:ilvl w:val="0"/>
          <w:numId w:val="1015"/>
        </w:numPr>
      </w:pPr>
      <w:r>
        <w:t xml:space="preserve">Constat numérique immédiat par un agent habilité et notification par SMS ; l’amende suit le barème réglementaire et reste contestable (§ 22).</w:t>
      </w:r>
    </w:p>
    <w:p>
      <w:pPr>
        <w:pStyle w:val="Compact"/>
        <w:numPr>
          <w:ilvl w:val="0"/>
          <w:numId w:val="1015"/>
        </w:numPr>
      </w:pPr>
      <w:r>
        <w:t xml:space="preserve">Blocage administratif en cas d’impayés chroniques et mise en fourrière priorisée par score de récidive : ces mesures sont décidées par l’autorité compétente selon la procédure légale, jamais déclenchées par l’algorithme seul (§ 21).</w:t>
      </w:r>
    </w:p>
    <w:p>
      <w:pPr>
        <w:pStyle w:val="Compact"/>
        <w:numPr>
          <w:ilvl w:val="0"/>
          <w:numId w:val="1015"/>
        </w:numPr>
      </w:pPr>
      <w:r>
        <w:t xml:space="preserve">Le contrôle devient technologique et non conflictuel ; aucun agent n’encaisse d’espèces (§ 18A).</w:t>
      </w:r>
    </w:p>
    <w:bookmarkEnd w:id="87"/>
    <w:bookmarkStart w:id="88" w:name="a.7-impact-attendu-et-affectation"/>
    <w:p>
      <w:pPr>
        <w:pStyle w:val="Heading2"/>
      </w:pPr>
      <w:r>
        <w:t xml:space="preserve">11A.7 Impact attendu et affectation</w:t>
      </w:r>
    </w:p>
    <w:p>
      <w:pPr>
        <w:pStyle w:val="Compact"/>
        <w:numPr>
          <w:ilvl w:val="0"/>
          <w:numId w:val="1016"/>
        </w:numPr>
      </w:pPr>
      <w:r>
        <w:t xml:space="preserve">Hausse potentielle des recettes de stationnement de 20 à 40 % grâce à la tarification dynamique, à la réduction des fuites, à la rotation et au contrôle automatisé (estimation du dossier source, à confirmer par le pilote).</w:t>
      </w:r>
    </w:p>
    <w:p>
      <w:pPr>
        <w:pStyle w:val="Compact"/>
        <w:numPr>
          <w:ilvl w:val="0"/>
          <w:numId w:val="1016"/>
        </w:numPr>
      </w:pPr>
      <w:r>
        <w:t xml:space="preserve">Recettes quotidiennes indexées sur le volume réel, prévisibilité mensuelle, auditabilité permanente.</w:t>
      </w:r>
    </w:p>
    <w:p>
      <w:pPr>
        <w:pStyle w:val="Compact"/>
        <w:numPr>
          <w:ilvl w:val="0"/>
          <w:numId w:val="1016"/>
        </w:numPr>
      </w:pPr>
      <w:r>
        <w:rPr>
          <w:b/>
          <w:bCs/>
        </w:rPr>
        <w:t xml:space="preserve">Affectation proposée</w:t>
      </w:r>
      <w:r>
        <w:t xml:space="preserve"> </w:t>
      </w:r>
      <w:r>
        <w:t xml:space="preserve">: entretien routier, signalisation, modernisation de la voirie, sécurité urbaine, mobilité, projets environnementaux, avec transparence intégrale. Une telle affectation exige un acte juridique compatible avec le principe d’universalité budgétaire de la LOFIP (Annexe B, point 25) ; à défaut, elle prend la forme d’un engagement de programmation publié au tableau de transparence (§ 27.3).</w:t>
      </w:r>
    </w:p>
    <w:bookmarkEnd w:id="88"/>
    <w:bookmarkStart w:id="89" w:name="a.8-déploiement-et-demande-formelle"/>
    <w:p>
      <w:pPr>
        <w:pStyle w:val="Heading2"/>
      </w:pPr>
      <w:r>
        <w:t xml:space="preserve">11A.8 Déploiement et demande formelle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Phase</w:t>
            </w:r>
          </w:p>
        </w:tc>
        <w:tc>
          <w:tcPr>
            <w:shd w:val="clear" w:color="auto" w:fill="1BA996"/>
          </w:tcPr>
          <w:p>
            <w:pPr>
              <w:pStyle w:val="Compact"/>
              <w:spacing w:after="20" w:before="20" w:line="240" w:lineRule="auto"/>
              <w:jc w:val="left"/>
            </w:pPr>
            <w:r>
              <w:rPr>
                <w:b/>
                <w:color w:val="FFFFFF"/>
                <w:sz w:val="17"/>
              </w:rPr>
              <w:t xml:space="preserve">Durée</w:t>
            </w:r>
          </w:p>
        </w:tc>
        <w:tc>
          <w:tcPr>
            <w:shd w:val="clear" w:color="auto" w:fill="1BA996"/>
          </w:tcPr>
          <w:p>
            <w:pPr>
              <w:pStyle w:val="Compact"/>
              <w:spacing w:after="20" w:before="20" w:line="240" w:lineRule="auto"/>
              <w:jc w:val="left"/>
            </w:pPr>
            <w:r>
              <w:rPr>
                <w:b/>
                <w:color w:val="FFFFFF"/>
                <w:sz w:val="17"/>
              </w:rPr>
              <w:t xml:space="preserve">Périmètre</w:t>
            </w:r>
          </w:p>
        </w:tc>
      </w:tr>
      <w:tr>
        <w:tc>
          <w:tcPr/>
          <w:p>
            <w:pPr>
              <w:pStyle w:val="Compact"/>
              <w:spacing w:after="20" w:before="20" w:line="240" w:lineRule="auto"/>
              <w:jc w:val="left"/>
            </w:pPr>
            <w:r>
              <w:rPr>
                <w:sz w:val="17"/>
              </w:rPr>
              <w:t xml:space="preserve">1 — Activation</w:t>
            </w:r>
          </w:p>
        </w:tc>
        <w:tc>
          <w:tcPr/>
          <w:p>
            <w:pPr>
              <w:pStyle w:val="Compact"/>
              <w:spacing w:after="20" w:before="20" w:line="240" w:lineRule="auto"/>
              <w:jc w:val="left"/>
            </w:pPr>
            <w:r>
              <w:rPr>
                <w:sz w:val="17"/>
              </w:rPr>
              <w:t xml:space="preserve">3 mois</w:t>
            </w:r>
          </w:p>
        </w:tc>
        <w:tc>
          <w:tcPr/>
          <w:p>
            <w:pPr>
              <w:pStyle w:val="Compact"/>
              <w:spacing w:after="20" w:before="20" w:line="240" w:lineRule="auto"/>
              <w:jc w:val="left"/>
            </w:pPr>
            <w:r>
              <w:rPr>
                <w:sz w:val="17"/>
              </w:rPr>
              <w:t xml:space="preserve">Gombe intégrale et axes structurants pilotes</w:t>
            </w:r>
          </w:p>
        </w:tc>
      </w:tr>
      <w:tr>
        <w:tc>
          <w:tcPr>
            <w:shd w:val="clear" w:color="auto" w:fill="F2F9F8"/>
          </w:tcPr>
          <w:p>
            <w:pPr>
              <w:pStyle w:val="Compact"/>
              <w:spacing w:after="20" w:before="20" w:line="240" w:lineRule="auto"/>
              <w:jc w:val="left"/>
            </w:pPr>
            <w:r>
              <w:rPr>
                <w:sz w:val="17"/>
              </w:rPr>
              <w:t xml:space="preserve">2 — Extension</w:t>
            </w:r>
          </w:p>
        </w:tc>
        <w:tc>
          <w:tcPr>
            <w:shd w:val="clear" w:color="auto" w:fill="F2F9F8"/>
          </w:tcPr>
          <w:p>
            <w:pPr>
              <w:pStyle w:val="Compact"/>
              <w:spacing w:after="20" w:before="20" w:line="240" w:lineRule="auto"/>
              <w:jc w:val="left"/>
            </w:pPr>
            <w:r>
              <w:rPr>
                <w:sz w:val="17"/>
              </w:rPr>
              <w:t xml:space="preserve">6 mois</w:t>
            </w:r>
          </w:p>
        </w:tc>
        <w:tc>
          <w:tcPr>
            <w:shd w:val="clear" w:color="auto" w:fill="F2F9F8"/>
          </w:tcPr>
          <w:p>
            <w:pPr>
              <w:pStyle w:val="Compact"/>
              <w:spacing w:after="20" w:before="20" w:line="240" w:lineRule="auto"/>
              <w:jc w:val="left"/>
            </w:pPr>
            <w:r>
              <w:rPr>
                <w:sz w:val="17"/>
              </w:rPr>
              <w:t xml:space="preserve">Routes commerciales majeures, zones administratives</w:t>
            </w:r>
          </w:p>
        </w:tc>
      </w:tr>
      <w:tr>
        <w:tc>
          <w:tcPr/>
          <w:p>
            <w:pPr>
              <w:pStyle w:val="Compact"/>
              <w:spacing w:after="20" w:before="20" w:line="240" w:lineRule="auto"/>
              <w:jc w:val="left"/>
            </w:pPr>
            <w:r>
              <w:rPr>
                <w:sz w:val="17"/>
              </w:rPr>
              <w:t xml:space="preserve">3 — Généralisation</w:t>
            </w:r>
          </w:p>
        </w:tc>
        <w:tc>
          <w:tcPr/>
          <w:p>
            <w:pPr>
              <w:pStyle w:val="Compact"/>
              <w:spacing w:after="20" w:before="20" w:line="240" w:lineRule="auto"/>
              <w:jc w:val="left"/>
            </w:pPr>
            <w:r>
              <w:rPr>
                <w:sz w:val="17"/>
              </w:rPr>
              <w:t xml:space="preserve">Progressive</w:t>
            </w:r>
          </w:p>
        </w:tc>
        <w:tc>
          <w:tcPr/>
          <w:p>
            <w:pPr>
              <w:pStyle w:val="Compact"/>
              <w:spacing w:after="20" w:before="20" w:line="240" w:lineRule="auto"/>
              <w:jc w:val="left"/>
            </w:pPr>
            <w:r>
              <w:rPr>
                <w:sz w:val="17"/>
              </w:rPr>
              <w:t xml:space="preserve">Extension communale, zones à forte densité</w:t>
            </w:r>
          </w:p>
        </w:tc>
      </w:tr>
    </w:tbl>
    <w:p>
      <w:pPr>
        <w:pStyle w:val="BodyText"/>
      </w:pPr>
      <w:r>
        <w:t xml:space="preserve">Demandes formulées : validation politique ; autorisation de transformer les axes principaux en zones payantes ; validation de la Gombe comme zone payante intégrale ; signature du protocole de partenariat ; lancement de la phase pilote (décision 19, § 47.3).</w:t>
      </w:r>
      <w:r>
        <w:t xml:space="preserve"> </w:t>
      </w:r>
      <w:r>
        <w:rPr>
          <w:i/>
          <w:iCs/>
        </w:rPr>
        <w:t xml:space="preserve">« Chaque jour sans ParkSmart représente une perte directe pour la Ville. »</w:t>
      </w:r>
    </w:p>
    <w:bookmarkEnd w:id="89"/>
    <w:bookmarkEnd w:id="90"/>
    <w:bookmarkStart w:id="96" w:name="X2eef2d4df168c4d52317ae7098f473b66e55949"/>
    <w:p>
      <w:pPr>
        <w:pStyle w:val="Heading1"/>
      </w:pPr>
      <w:r>
        <w:t xml:space="preserve">11B. Verticale MOSOLO Advertising (KIN PUB CONTROL)</w:t>
      </w:r>
    </w:p>
    <w:p>
      <w:pPr>
        <w:pStyle w:val="FirstParagraph"/>
      </w:pPr>
      <w:r>
        <w:rPr>
          <w:i/>
          <w:iCs/>
        </w:rPr>
        <w:t xml:space="preserve">« Digitaliser la publicité extérieure, sécuriser les recettes, assainir l’espace urbain. »</w:t>
      </w:r>
      <w:r>
        <w:t xml:space="preserve"> </w:t>
      </w:r>
      <w:r>
        <w:t xml:space="preserve">La multiplication des panneaux, enseignes et supports installés sans autorisation constitue un enjeu administratif, financier et urbain. KIN PUB CONTROL met la technologie au service de l’autorité publique, sans la remplacer :</w:t>
      </w:r>
      <w:r>
        <w:t xml:space="preserve"> </w:t>
      </w:r>
      <w:r>
        <w:rPr>
          <w:b/>
          <w:bCs/>
        </w:rPr>
        <w:t xml:space="preserve">le contrôleur devient un collecteur de preuves, l’autorité conserve son pouvoir de décision, la technologie assure la traçabilité.</w:t>
      </w:r>
    </w:p>
    <w:bookmarkStart w:id="91" w:name="b.1-problèmes-adressés-et-objectifs"/>
    <w:p>
      <w:pPr>
        <w:pStyle w:val="Heading2"/>
      </w:pPr>
      <w:r>
        <w:t xml:space="preserve">11B.1 Problèmes adressés et objectifs</w:t>
      </w:r>
    </w:p>
    <w:p>
      <w:pPr>
        <w:pStyle w:val="FirstParagraph"/>
      </w:pPr>
      <w:r>
        <w:t xml:space="preserve">Problèmes : absence de base numérique exhaustive des supports autorisés ; identification lente des supports irréguliers ; contrôles difficiles à organiser et à superviser ; faible traçabilité des constats ; contestations ; suivi difficile des paiements ; méconnaissance du patrimoine publicitaire et de son potentiel.</w:t>
      </w:r>
    </w:p>
    <w:p>
      <w:pPr>
        <w:pStyle w:val="BodyText"/>
      </w:pPr>
      <w:r>
        <w:t xml:space="preserve">Objectifs : constituer la base numérique des supports autorisés ; les géolocaliser ; identifier numériquement les autorisations ; faciliter les contrôles ; documenter les infractions par des preuves numériques ; tracer les procès-verbaux ; suivre paiements et procédures ; produire des statistiques ; réduire les manipulations d’espèces ; améliorer la mobilisation des recettes.</w:t>
      </w:r>
    </w:p>
    <w:bookmarkEnd w:id="91"/>
    <w:bookmarkStart w:id="92" w:name="X9ff453cea899905bc839411a4e43b97e07fde42"/>
    <w:p>
      <w:pPr>
        <w:pStyle w:val="Heading2"/>
      </w:pPr>
      <w:r>
        <w:t xml:space="preserve">11B.2 Enregistrement et cartographie des supports</w:t>
      </w:r>
    </w:p>
    <w:p>
      <w:pPr>
        <w:pStyle w:val="FirstParagraph"/>
      </w:pPr>
      <w:r>
        <w:t xml:space="preserve">Chaque support autorisé est enregistré avec : identité de l’exploitant, référence de l’autorisation, localisation et coordonnées GPS, dimensions, type de publicité, durée et échéance de l’autorisation, photographies, situation des droits. Il reçoit un identifiant unique et une plaque QR (§ 19A.4). La carte montre les supports autorisés, les autorisations arrivant à expiration, les zones saturées, les zones à contrôler, les supports signalés et les interventions réalisées.</w:t>
      </w:r>
    </w:p>
    <w:bookmarkEnd w:id="92"/>
    <w:bookmarkStart w:id="93" w:name="b.3-contrôle-infraction-et-notification"/>
    <w:p>
      <w:pPr>
        <w:pStyle w:val="Heading2"/>
      </w:pPr>
      <w:r>
        <w:t xml:space="preserve">11B.3 Contrôle, infraction et notification</w:t>
      </w:r>
    </w:p>
    <w:p>
      <w:pPr>
        <w:pStyle w:val="Compact"/>
        <w:numPr>
          <w:ilvl w:val="0"/>
          <w:numId w:val="1017"/>
        </w:numPr>
      </w:pPr>
      <w:r>
        <w:t xml:space="preserve">Le contrôleur, dont l’identité et l’accréditation sont vérifiées par le système, photographie le support suspect ; le GPS, la date et l’heure sont enregistrés automatiquement ; la lecture optique (OCR) extrait les références visibles et l’application recherche l’autorisation correspondante.</w:t>
      </w:r>
    </w:p>
    <w:p>
      <w:pPr>
        <w:pStyle w:val="Compact"/>
        <w:numPr>
          <w:ilvl w:val="0"/>
          <w:numId w:val="1017"/>
        </w:numPr>
      </w:pPr>
      <w:r>
        <w:t xml:space="preserve">En cas d’irrégularité apparente, l’application</w:t>
      </w:r>
      <w:r>
        <w:t xml:space="preserve"> </w:t>
      </w:r>
      <w:r>
        <w:rPr>
          <w:b/>
          <w:bCs/>
        </w:rPr>
        <w:t xml:space="preserve">ne prononce pas la sanction</w:t>
      </w:r>
      <w:r>
        <w:t xml:space="preserve"> </w:t>
      </w:r>
      <w:r>
        <w:t xml:space="preserve">: elle constitue un dossier de constat (contrôleur, localisation, date, photos, référence, exploitant, nature présumée, observations), transmis au superviseur puis à l’autorité compétente.</w:t>
      </w:r>
    </w:p>
    <w:p>
      <w:pPr>
        <w:pStyle w:val="Compact"/>
        <w:numPr>
          <w:ilvl w:val="0"/>
          <w:numId w:val="1017"/>
        </w:numPr>
      </w:pPr>
      <w:r>
        <w:t xml:space="preserve">Après validation, l’exploitant reçoit une notification numérique : référence du dossier, support, nature du constat, preuves, démarches, délais, voies de contestation et modalités officielles de paiement.</w:t>
      </w:r>
    </w:p>
    <w:p>
      <w:pPr>
        <w:pStyle w:val="Compact"/>
        <w:numPr>
          <w:ilvl w:val="0"/>
          <w:numId w:val="1017"/>
        </w:numPr>
      </w:pPr>
      <w:r>
        <w:t xml:space="preserve">Le paiement éventuel s’effectue par les canaux officiels vers le compte public (§ 18A) ; le contrôleur ne collecte jamais d’argent.</w:t>
      </w:r>
    </w:p>
    <w:bookmarkEnd w:id="93"/>
    <w:bookmarkStart w:id="94" w:name="X1a9b67757b244793eb63290ee02fb9748d9d9ef"/>
    <w:p>
      <w:pPr>
        <w:pStyle w:val="Heading2"/>
      </w:pPr>
      <w:r>
        <w:t xml:space="preserve">11B.4 Contrôleurs accrédités, anticorruption et supervision</w:t>
      </w:r>
    </w:p>
    <w:p>
      <w:pPr>
        <w:pStyle w:val="Compact"/>
        <w:numPr>
          <w:ilvl w:val="0"/>
          <w:numId w:val="1018"/>
        </w:numPr>
      </w:pPr>
      <w:r>
        <w:t xml:space="preserve">Contrôleurs formés, identifiés, accrédités, limités à l’application officielle, sans pouvoir de modifier ou supprimer un constat, évalués et révocables (§ 15A) ; ils ne constituent pas une administration parallèle.</w:t>
      </w:r>
    </w:p>
    <w:p>
      <w:pPr>
        <w:pStyle w:val="Compact"/>
        <w:numPr>
          <w:ilvl w:val="0"/>
          <w:numId w:val="1018"/>
        </w:numPr>
      </w:pPr>
      <w:r>
        <w:t xml:space="preserve">Rémunération fondée sur la qualité : contrôles réalisés, qualité des preuves, exactitude, absence de faux signalements, constats validés, respect des procédures, comportement professionnel — jamais sur le seul nombre de sanctions (§ 37A.5).</w:t>
      </w:r>
    </w:p>
    <w:p>
      <w:pPr>
        <w:pStyle w:val="Compact"/>
        <w:numPr>
          <w:ilvl w:val="0"/>
          <w:numId w:val="1018"/>
        </w:numPr>
      </w:pPr>
      <w:r>
        <w:t xml:space="preserve">Anticorruption : traçabilité de chaque opération, preuves numériques, séparation constat / vérification / décision, absence d’espèces, journal d’audit, contestation officielle, signalement des abus (§ 18A.8), badge vérifiable par les exploitants contre les faux contrôleurs (§ 15A.6).</w:t>
      </w:r>
    </w:p>
    <w:p>
      <w:pPr>
        <w:pStyle w:val="Compact"/>
        <w:numPr>
          <w:ilvl w:val="0"/>
          <w:numId w:val="1018"/>
        </w:numPr>
      </w:pPr>
      <w:r>
        <w:t xml:space="preserve">Tableau de supervision : supports enregistrés et actifs, autorisations expirées, contrôles, infractions, dossiers validés, paiements, procédures en cours, supports retirés ou régularisés, recettes, performance des équipes.</w:t>
      </w:r>
    </w:p>
    <w:bookmarkEnd w:id="94"/>
    <w:bookmarkStart w:id="95" w:name="b.5-phase-pilote-et-vision"/>
    <w:p>
      <w:pPr>
        <w:pStyle w:val="Heading2"/>
      </w:pPr>
      <w:r>
        <w:t xml:space="preserve">11B.5 Phase pilote et vision</w:t>
      </w:r>
    </w:p>
    <w:p>
      <w:pPr>
        <w:pStyle w:val="FirstParagraph"/>
      </w:pPr>
      <w:r>
        <w:t xml:space="preserve">Pilote en sept étapes : sélection de communes ou axes à forte concentration ; recensement numérique des supports ; enregistrement des autorisations existantes ; formation et accréditation des contrôleurs ; déploiement de l’application ; évaluation ; extension progressive. À terme : demande et renouvellement d’autorisation en ligne, paiement des droits, cartographie des espaces disponibles, gestion des contrats publicitaires, suivi des échéances, contrôle automatisé, statistiques par commune, portail des entreprises publicitaires, portail citoyen de signalement, analyse d’images par IA pour détecter les supports non enregistrés.</w:t>
      </w:r>
      <w:r>
        <w:t xml:space="preserve"> </w:t>
      </w:r>
      <w:r>
        <w:rPr>
          <w:i/>
          <w:iCs/>
        </w:rPr>
        <w:t xml:space="preserve">Connaître chaque support, savoir s’il est autorisé, savoir qui l’exploite, suivre sa situation et sécuriser les recettes qui en découlent.</w:t>
      </w:r>
    </w:p>
    <w:bookmarkEnd w:id="95"/>
    <w:bookmarkEnd w:id="96"/>
    <w:bookmarkStart w:id="103" w:name="c.-verticale-mosolo-avia-kin-avia-fiscus"/>
    <w:p>
      <w:pPr>
        <w:pStyle w:val="Heading1"/>
      </w:pPr>
      <w:r>
        <w:t xml:space="preserve">11C. Verticale MOSOLO AVIA (KIN-AVIA FISCUS)</w:t>
      </w:r>
    </w:p>
    <w:p>
      <w:pPr>
        <w:pStyle w:val="FirstParagraph"/>
      </w:pPr>
      <w:r>
        <w:rPr>
          <w:i/>
          <w:iCs/>
        </w:rPr>
        <w:t xml:space="preserve">Plateforme souveraine de compensation et de traçabilité fiscale aérienne.</w:t>
      </w:r>
      <w:r>
        <w:t xml:space="preserve"> </w:t>
      </w:r>
      <w:r>
        <w:t xml:space="preserve">La Ville dispose légalement d’une taxe urbaine intégrée au billet passager (incluant la taxe dite « Kimbuta ») et d’une taxe d’embarquement sur le fret aérien. Ces taxes sont payées, incluses dans les billets et collectées,</w:t>
      </w:r>
      <w:r>
        <w:t xml:space="preserve"> </w:t>
      </w:r>
      <w:r>
        <w:rPr>
          <w:b/>
          <w:bCs/>
        </w:rPr>
        <w:t xml:space="preserve">mais n’atterrissent pas intégralement dans les comptes de la Ville.</w:t>
      </w:r>
      <w:r>
        <w:t xml:space="preserve"> </w:t>
      </w:r>
      <w:r>
        <w:t xml:space="preserve">Il ne s’agit pas d’un déficit ponctuel de recouvrement mais d’un défaut d’architecture fiscale. Principe visé :</w:t>
      </w:r>
      <w:r>
        <w:t xml:space="preserve"> </w:t>
      </w:r>
      <w:r>
        <w:rPr>
          <w:i/>
          <w:iCs/>
        </w:rPr>
        <w:t xml:space="preserve">la Ville ne doit plus jamais dépendre des déclarations des compagnies aériennes pour ses propres recettes.</w:t>
      </w:r>
    </w:p>
    <w:bookmarkStart w:id="97" w:name="X37410742ffd85e5208f24429903fb61ebdc23db"/>
    <w:p>
      <w:pPr>
        <w:pStyle w:val="Heading2"/>
      </w:pPr>
      <w:r>
        <w:t xml:space="preserve">11C.1 Constat chiffré (données du dossier source, à vérifier)</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Donnée</w:t>
            </w:r>
          </w:p>
        </w:tc>
        <w:tc>
          <w:tcPr>
            <w:shd w:val="clear" w:color="auto" w:fill="1BA996"/>
          </w:tcPr>
          <w:p>
            <w:pPr>
              <w:pStyle w:val="Compact"/>
              <w:spacing w:after="20" w:before="20" w:line="240" w:lineRule="auto"/>
              <w:jc w:val="left"/>
            </w:pPr>
            <w:r>
              <w:rPr>
                <w:b/>
                <w:color w:val="FFFFFF"/>
                <w:sz w:val="17"/>
              </w:rPr>
              <w:t xml:space="preserve">Valeur</w:t>
            </w:r>
          </w:p>
        </w:tc>
      </w:tr>
      <w:tr>
        <w:tc>
          <w:tcPr/>
          <w:p>
            <w:pPr>
              <w:pStyle w:val="Compact"/>
              <w:spacing w:after="20" w:before="20" w:line="240" w:lineRule="auto"/>
              <w:jc w:val="left"/>
            </w:pPr>
            <w:r>
              <w:rPr>
                <w:sz w:val="17"/>
              </w:rPr>
              <w:t xml:space="preserve">Passagers au départ</w:t>
            </w:r>
          </w:p>
        </w:tc>
        <w:tc>
          <w:tcPr/>
          <w:p>
            <w:pPr>
              <w:pStyle w:val="Compact"/>
              <w:spacing w:after="20" w:before="20" w:line="240" w:lineRule="auto"/>
              <w:jc w:val="left"/>
            </w:pPr>
            <w:r>
              <w:rPr>
                <w:sz w:val="17"/>
              </w:rPr>
              <w:t xml:space="preserve">≈ 420 000 par an</w:t>
            </w:r>
          </w:p>
        </w:tc>
      </w:tr>
      <w:tr>
        <w:tc>
          <w:tcPr>
            <w:shd w:val="clear" w:color="auto" w:fill="F2F9F8"/>
          </w:tcPr>
          <w:p>
            <w:pPr>
              <w:pStyle w:val="Compact"/>
              <w:spacing w:after="20" w:before="20" w:line="240" w:lineRule="auto"/>
              <w:jc w:val="left"/>
            </w:pPr>
            <w:r>
              <w:rPr>
                <w:sz w:val="17"/>
              </w:rPr>
              <w:t xml:space="preserve">Taxe moyenne</w:t>
            </w:r>
          </w:p>
        </w:tc>
        <w:tc>
          <w:tcPr>
            <w:shd w:val="clear" w:color="auto" w:fill="F2F9F8"/>
          </w:tcPr>
          <w:p>
            <w:pPr>
              <w:pStyle w:val="Compact"/>
              <w:spacing w:after="20" w:before="20" w:line="240" w:lineRule="auto"/>
              <w:jc w:val="left"/>
            </w:pPr>
            <w:r>
              <w:rPr>
                <w:sz w:val="17"/>
              </w:rPr>
              <w:t xml:space="preserve">≈ 5 USD par passager</w:t>
            </w:r>
          </w:p>
        </w:tc>
      </w:tr>
      <w:tr>
        <w:tc>
          <w:tcPr/>
          <w:p>
            <w:pPr>
              <w:pStyle w:val="Compact"/>
              <w:spacing w:after="20" w:before="20" w:line="240" w:lineRule="auto"/>
              <w:jc w:val="left"/>
            </w:pPr>
            <w:r>
              <w:rPr>
                <w:sz w:val="17"/>
              </w:rPr>
              <w:t xml:space="preserve">Potentiel théorique annuel (hors fret)</w:t>
            </w:r>
          </w:p>
        </w:tc>
        <w:tc>
          <w:tcPr/>
          <w:p>
            <w:pPr>
              <w:pStyle w:val="Compact"/>
              <w:spacing w:after="20" w:before="20" w:line="240" w:lineRule="auto"/>
              <w:jc w:val="left"/>
            </w:pPr>
            <w:r>
              <w:rPr>
                <w:sz w:val="17"/>
              </w:rPr>
              <w:t xml:space="preserve">≈ 2,1 M USD</w:t>
            </w:r>
          </w:p>
        </w:tc>
      </w:tr>
      <w:tr>
        <w:tc>
          <w:tcPr>
            <w:shd w:val="clear" w:color="auto" w:fill="F2F9F8"/>
          </w:tcPr>
          <w:p>
            <w:pPr>
              <w:pStyle w:val="Compact"/>
              <w:spacing w:after="20" w:before="20" w:line="240" w:lineRule="auto"/>
              <w:jc w:val="left"/>
            </w:pPr>
            <w:r>
              <w:rPr>
                <w:sz w:val="17"/>
              </w:rPr>
              <w:t xml:space="preserve">Recettes constatées historiquement</w:t>
            </w:r>
          </w:p>
        </w:tc>
        <w:tc>
          <w:tcPr>
            <w:shd w:val="clear" w:color="auto" w:fill="F2F9F8"/>
          </w:tcPr>
          <w:p>
            <w:pPr>
              <w:pStyle w:val="Compact"/>
              <w:spacing w:after="20" w:before="20" w:line="240" w:lineRule="auto"/>
              <w:jc w:val="left"/>
            </w:pPr>
            <w:r>
              <w:rPr>
                <w:sz w:val="17"/>
              </w:rPr>
              <w:t xml:space="preserve">≈ 0,4 à 0,5 M USD par an</w:t>
            </w:r>
          </w:p>
        </w:tc>
      </w:tr>
      <w:tr>
        <w:tc>
          <w:tcPr/>
          <w:p>
            <w:pPr>
              <w:pStyle w:val="Compact"/>
              <w:spacing w:after="20" w:before="20" w:line="240" w:lineRule="auto"/>
              <w:jc w:val="left"/>
            </w:pPr>
            <w:r>
              <w:rPr>
                <w:sz w:val="17"/>
              </w:rPr>
              <w:t xml:space="preserve">Collecte 2017 – mi-2019</w:t>
            </w:r>
          </w:p>
        </w:tc>
        <w:tc>
          <w:tcPr/>
          <w:p>
            <w:pPr>
              <w:pStyle w:val="Compact"/>
              <w:spacing w:after="20" w:before="20" w:line="240" w:lineRule="auto"/>
              <w:jc w:val="left"/>
            </w:pPr>
            <w:r>
              <w:rPr>
                <w:sz w:val="17"/>
              </w:rPr>
              <w:t xml:space="preserve">1,409 M USD, pour des projections annuelles d’environ 3 M USD</w:t>
            </w:r>
          </w:p>
        </w:tc>
      </w:tr>
      <w:tr>
        <w:tc>
          <w:tcPr>
            <w:shd w:val="clear" w:color="auto" w:fill="F2F9F8"/>
          </w:tcPr>
          <w:p>
            <w:pPr>
              <w:pStyle w:val="Compact"/>
              <w:spacing w:after="20" w:before="20" w:line="240" w:lineRule="auto"/>
              <w:jc w:val="left"/>
            </w:pPr>
            <w:r>
              <w:rPr>
                <w:sz w:val="17"/>
              </w:rPr>
              <w:t xml:space="preserve">Fret aérien</w:t>
            </w:r>
          </w:p>
        </w:tc>
        <w:tc>
          <w:tcPr>
            <w:shd w:val="clear" w:color="auto" w:fill="F2F9F8"/>
          </w:tcPr>
          <w:p>
            <w:pPr>
              <w:pStyle w:val="Compact"/>
              <w:spacing w:after="20" w:before="20" w:line="240" w:lineRule="auto"/>
              <w:jc w:val="left"/>
            </w:pPr>
            <w:r>
              <w:rPr>
                <w:sz w:val="17"/>
              </w:rPr>
              <w:t xml:space="preserve">≈ 0 USD déclaré</w:t>
            </w:r>
          </w:p>
        </w:tc>
      </w:tr>
    </w:tbl>
    <w:bookmarkEnd w:id="97"/>
    <w:bookmarkStart w:id="98" w:name="c.2-chaîne-actuelle-et-points-de-rupture"/>
    <w:p>
      <w:pPr>
        <w:pStyle w:val="Heading2"/>
      </w:pPr>
      <w:r>
        <w:t xml:space="preserve">11C.2 Chaîne actuelle et points de rupture</w:t>
      </w:r>
    </w:p>
    <w:p>
      <w:pPr>
        <w:pStyle w:val="FirstParagraph"/>
      </w:pPr>
      <w:r>
        <w:t xml:space="preserve">Les taxes sont calculées dans le billet par les systèmes de distribution (GDS) à partir de la base mondiale des taxes de l’IATA (Ticket Tax Box Service, TTBS) ; les agences vendent ; les montants transitent par le Billing and Settlement Plan (BSP) de l’IATA ; les fonds sont reversés aux compagnies, à qui il revient de reverser les taxes. Ruptures : aucun accès de la Ville au flux BSP ; aucun lien automatisé entre billets émis (GDS/BSP), passagers embarqués (Régie des Voies Aériennes, RVA), sorties validées (Direction Générale de Migration, DGM) et montants reversés ; reporting non consolidé des banques collectrices.</w:t>
      </w:r>
    </w:p>
    <w:bookmarkEnd w:id="98"/>
    <w:bookmarkStart w:id="99" w:name="Xa30ec422cb9853498629e588d7a0af17077f491"/>
    <w:p>
      <w:pPr>
        <w:pStyle w:val="Heading2"/>
      </w:pPr>
      <w:r>
        <w:t xml:space="preserve">11C.3 Concept : couche souveraine de réconciliation</w:t>
      </w:r>
    </w:p>
    <w:p>
      <w:pPr>
        <w:pStyle w:val="FirstParagraph"/>
      </w:pPr>
      <w:r>
        <w:t xml:space="preserve">KIN-AVIA FISCUS ne remplace pas la chaîne IATA : il crée une couche locale de contrôle. Trois flux convergent vers un</w:t>
      </w:r>
      <w:r>
        <w:t xml:space="preserve"> </w:t>
      </w:r>
      <w:r>
        <w:rPr>
          <w:b/>
          <w:bCs/>
        </w:rPr>
        <w:t xml:space="preserve">Revenue Reconciliation Hub (RRH)</w:t>
      </w:r>
      <w:r>
        <w:t xml:space="preserve"> </w:t>
      </w:r>
      <w:r>
        <w:t xml:space="preserve">contrôlé par la Ville : données de billetterie (IATA/BSP/GDS), données d’embarquement (RVA), données de sortie du territoire (DGM).</w:t>
      </w:r>
      <w:r>
        <w:t xml:space="preserve"> </w:t>
      </w:r>
      <w:r>
        <w:rPr>
          <w:i/>
          <w:iCs/>
        </w:rPr>
        <w:t xml:space="preserve">La Ville ne demande plus combien elle doit recevoir : elle le calcule.</w:t>
      </w:r>
    </w:p>
    <w:p>
      <w:pPr>
        <w:pStyle w:val="Compact"/>
        <w:numPr>
          <w:ilvl w:val="0"/>
          <w:numId w:val="1019"/>
        </w:numPr>
      </w:pPr>
      <w:r>
        <w:t xml:space="preserve">Intégration par API avec les compagnies structurées (GDS, systèmes de contrôle des départs DCS) : extraction des ventes au départ de Kinshasa.</w:t>
      </w:r>
    </w:p>
    <w:p>
      <w:pPr>
        <w:pStyle w:val="Compact"/>
        <w:numPr>
          <w:ilvl w:val="0"/>
          <w:numId w:val="1019"/>
        </w:numPr>
      </w:pPr>
      <w:r>
        <w:t xml:space="preserve">Portail sécurisé pour les agences locales et opérateurs partiels : comptes certifiés, déclarations structurées.</w:t>
      </w:r>
    </w:p>
    <w:p>
      <w:pPr>
        <w:pStyle w:val="Compact"/>
        <w:numPr>
          <w:ilvl w:val="0"/>
          <w:numId w:val="1019"/>
        </w:numPr>
      </w:pPr>
      <w:r>
        <w:rPr>
          <w:b/>
          <w:bCs/>
        </w:rPr>
        <w:t xml:space="preserve">Identifiant Fiscal Aérien (IFA)</w:t>
      </w:r>
      <w:r>
        <w:t xml:space="preserve"> </w:t>
      </w:r>
      <w:r>
        <w:t xml:space="preserve">unique rattaché au vol et au passager, intégré au code QR fiscal de la carte d’embarquement.</w:t>
      </w:r>
    </w:p>
    <w:bookmarkEnd w:id="99"/>
    <w:bookmarkStart w:id="100" w:name="c.4-flux-opérationnel"/>
    <w:p>
      <w:pPr>
        <w:pStyle w:val="Heading2"/>
      </w:pPr>
      <w:r>
        <w:t xml:space="preserve">11C.4 Flux opérationnel</w:t>
      </w:r>
    </w:p>
    <w:p>
      <w:pPr>
        <w:pStyle w:val="Compact"/>
        <w:numPr>
          <w:ilvl w:val="0"/>
          <w:numId w:val="1020"/>
        </w:numPr>
      </w:pPr>
      <w:r>
        <w:t xml:space="preserve">Émission du billet et calcul de la taxe par GDS/TTBS.</w:t>
      </w:r>
    </w:p>
    <w:p>
      <w:pPr>
        <w:pStyle w:val="Compact"/>
        <w:numPr>
          <w:ilvl w:val="0"/>
          <w:numId w:val="1020"/>
        </w:numPr>
      </w:pPr>
      <w:r>
        <w:t xml:space="preserve">Génération de l’IFA.</w:t>
      </w:r>
    </w:p>
    <w:p>
      <w:pPr>
        <w:pStyle w:val="Compact"/>
        <w:numPr>
          <w:ilvl w:val="0"/>
          <w:numId w:val="1020"/>
        </w:numPr>
      </w:pPr>
      <w:r>
        <w:t xml:space="preserve">Intégration au code QR de la carte d’embarquement.</w:t>
      </w:r>
    </w:p>
    <w:p>
      <w:pPr>
        <w:pStyle w:val="Compact"/>
        <w:numPr>
          <w:ilvl w:val="0"/>
          <w:numId w:val="1020"/>
        </w:numPr>
      </w:pPr>
      <w:r>
        <w:t xml:space="preserve">Scan à l’embarquement par la RVA.</w:t>
      </w:r>
    </w:p>
    <w:p>
      <w:pPr>
        <w:pStyle w:val="Compact"/>
        <w:numPr>
          <w:ilvl w:val="0"/>
          <w:numId w:val="1020"/>
        </w:numPr>
      </w:pPr>
      <w:r>
        <w:t xml:space="preserve">Validation de sortie par la DGM.</w:t>
      </w:r>
    </w:p>
    <w:p>
      <w:pPr>
        <w:pStyle w:val="Compact"/>
        <w:numPr>
          <w:ilvl w:val="0"/>
          <w:numId w:val="1020"/>
        </w:numPr>
      </w:pPr>
      <w:r>
        <w:t xml:space="preserve">Rapprochement automatique mensuel : billets vendus, passagers embarqués, passagers sortis, montants reversés via le BSP.</w:t>
      </w:r>
    </w:p>
    <w:p>
      <w:pPr>
        <w:pStyle w:val="Compact"/>
        <w:numPr>
          <w:ilvl w:val="0"/>
          <w:numId w:val="1020"/>
        </w:numPr>
      </w:pPr>
      <w:r>
        <w:t xml:space="preserve">Facturation ou compensation automatique des écarts auprès des compagnies.</w:t>
      </w:r>
    </w:p>
    <w:p>
      <w:pPr>
        <w:pStyle w:val="Compact"/>
        <w:numPr>
          <w:ilvl w:val="0"/>
          <w:numId w:val="1020"/>
        </w:numPr>
      </w:pPr>
      <w:r>
        <w:t xml:space="preserve">Contrôle terrain par lecteur QR.</w:t>
      </w:r>
    </w:p>
    <w:p>
      <w:pPr>
        <w:pStyle w:val="FirstParagraph"/>
      </w:pPr>
      <w:r>
        <w:t xml:space="preserve">Règle proposée par le dossier source :</w:t>
      </w:r>
      <w:r>
        <w:t xml:space="preserve"> </w:t>
      </w:r>
      <w:r>
        <w:rPr>
          <w:i/>
          <w:iCs/>
        </w:rPr>
        <w:t xml:space="preserve">« billet sans IFA KIN-AVIA = non validable au départ »</w:t>
      </w:r>
      <w:r>
        <w:t xml:space="preserve">, avec pénalités électroniques, suspension d’accès au départ et retrait d’agrément en cas de non-intégration, fondés sur des arrêtés provinciaux conditionnant l’autorisation d’exploitation, la reconnaissance des billets et l’accès aux infrastructures. Dans MOSOLO, ces mesures ne s’appliquent qu’une fois l’arrêté adopté, en coordination avec la RVA, la DGM, l’autorité de l’aviation civile et les compagnies, et sont décidées par l’autorité compétente : le système constate et calcule, il ne sanctionne pas seul (§ 21, Annexe B, point 23).</w:t>
      </w:r>
    </w:p>
    <w:bookmarkEnd w:id="100"/>
    <w:bookmarkStart w:id="101" w:name="c.5-impact-et-valeur-stratégique"/>
    <w:p>
      <w:pPr>
        <w:pStyle w:val="Heading2"/>
      </w:pPr>
      <w:r>
        <w:t xml:space="preserve">11C.5 Impact et valeur stratégique</w:t>
      </w:r>
    </w:p>
    <w:p>
      <w:pPr>
        <w:pStyle w:val="FirstParagraph"/>
      </w:pPr>
      <w:r>
        <w:t xml:space="preserve">Scénario prudent du dossier source : récupération de 85 % du potentiel, soit ≈ 1,8 M USD par an et un gain structurel net d’environ + 1,3 M USD par an, hors fret, dont le potentiel s’ajoute. Au-delà des recettes : souveraineté sur les flux aériens, visibilité en temps réel des départs, base migratoire consolidée, outil anticorruption, crédibilité auprès des partenaires. Aucune nouvelle taxe, aucun coût supplémentaire pour le voyageur, aucune interférence avec Go-Pass, alignement sur les standards IATA.</w:t>
      </w:r>
      <w:r>
        <w:t xml:space="preserve"> </w:t>
      </w:r>
      <w:r>
        <w:rPr>
          <w:i/>
          <w:iCs/>
        </w:rPr>
        <w:t xml:space="preserve">Chaque départ devient connu, compté, vérifié, compensé.</w:t>
      </w:r>
    </w:p>
    <w:bookmarkEnd w:id="101"/>
    <w:bookmarkStart w:id="102" w:name="c.6-modèle-de-rémunération"/>
    <w:p>
      <w:pPr>
        <w:pStyle w:val="Heading2"/>
      </w:pPr>
      <w:r>
        <w:t xml:space="preserve">11C.6 Modèle de rémunération</w:t>
      </w:r>
    </w:p>
    <w:p>
      <w:pPr>
        <w:pStyle w:val="FirstParagraph"/>
      </w:pPr>
      <w:r>
        <w:t xml:space="preserve">Le dossier source proposait une répartition indicative spécifique de 65 % pour la Ville et 35 % pour Groupe Nseya sur les montants effectivement récupérés.</w:t>
      </w:r>
      <w:r>
        <w:t xml:space="preserve"> </w:t>
      </w:r>
      <w:r>
        <w:rPr>
          <w:b/>
          <w:bCs/>
        </w:rPr>
        <w:t xml:space="preserve">Le modèle retenu pour l’ensemble de MOSOLO est la clé du § 37A</w:t>
      </w:r>
      <w:r>
        <w:t xml:space="preserve"> </w:t>
      </w:r>
      <w:r>
        <w:t xml:space="preserve">; toute clé spécifique à la verticale AVIA exigerait une décision et un acte distincts (Annexe B, point 24).</w:t>
      </w:r>
    </w:p>
    <w:bookmarkEnd w:id="102"/>
    <w:bookmarkEnd w:id="103"/>
    <w:bookmarkStart w:id="122" w:name="Xf93584123b26e04e0e22b5175b8b68ff0f11cec"/>
    <w:p>
      <w:pPr>
        <w:pStyle w:val="Heading1"/>
      </w:pPr>
      <w:r>
        <w:t xml:space="preserve">11D. Billetterie urbaine multi-opérateurs et droits d’accès (socle RakaPay)</w:t>
      </w:r>
    </w:p>
    <w:p>
      <w:pPr>
        <w:pStyle w:val="FirstParagraph"/>
      </w:pPr>
      <w:r>
        <w:t xml:space="preserve">RakaPay apporte à MOSOLO une couche de</w:t>
      </w:r>
      <w:r>
        <w:t xml:space="preserve"> </w:t>
      </w:r>
      <w:r>
        <w:rPr>
          <w:b/>
          <w:bCs/>
        </w:rPr>
        <w:t xml:space="preserve">billetterie numérique multi-opérateurs</w:t>
      </w:r>
      <w:r>
        <w:t xml:space="preserve"> </w:t>
      </w:r>
      <w:r>
        <w:t xml:space="preserve">pour tous les usages urbains soumis à un droit d’accès payant : transport urbain (bus, minibus, rail futur), stationnement public et privé, taxe journalière des transports (moto-taxis ou wewa — plus d’un million à Kinshasa, § 11D.8 —, taxis, bus, minibus, cars), péages et zones régulées, marchés et espaces de vente informelle, accès à des zones ou services à durée limitée, et tout service nécessitant un ticket, une durée, une localisation et une validation. Cette couche s’appuie sur le moteur de titres du § 19A.</w:t>
      </w:r>
    </w:p>
    <w:bookmarkStart w:id="104" w:name="d.1-définition-du-ticket"/>
    <w:p>
      <w:pPr>
        <w:pStyle w:val="Heading2"/>
      </w:pPr>
      <w:r>
        <w:t xml:space="preserve">11D.1 Définition du ticket</w:t>
      </w:r>
    </w:p>
    <w:p>
      <w:pPr>
        <w:pStyle w:val="FirstParagraph"/>
      </w:pPr>
      <w:r>
        <w:t xml:space="preserve">Un ticket est un droit d’accès numérique caractérisé par : un opérateur (marchand), un type de service, une durée ou un usage, une localisation obligatoire, une période de validité et un code QR unique, infalsifiable et traçable.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Famille</w:t>
            </w:r>
          </w:p>
        </w:tc>
        <w:tc>
          <w:tcPr>
            <w:shd w:val="clear" w:color="auto" w:fill="1BA996"/>
          </w:tcPr>
          <w:p>
            <w:pPr>
              <w:pStyle w:val="Compact"/>
              <w:spacing w:after="20" w:before="20" w:line="240" w:lineRule="auto"/>
              <w:jc w:val="left"/>
            </w:pPr>
            <w:r>
              <w:rPr>
                <w:b/>
                <w:color w:val="FFFFFF"/>
                <w:sz w:val="17"/>
              </w:rPr>
              <w:t xml:space="preserve">Durées configurables</w:t>
            </w:r>
          </w:p>
        </w:tc>
      </w:tr>
      <w:tr>
        <w:tc>
          <w:tcPr/>
          <w:p>
            <w:pPr>
              <w:pStyle w:val="Compact"/>
              <w:spacing w:after="20" w:before="20" w:line="240" w:lineRule="auto"/>
              <w:jc w:val="left"/>
            </w:pPr>
            <w:r>
              <w:rPr>
                <w:sz w:val="17"/>
              </w:rPr>
              <w:t xml:space="preserve">Accès ouverts (transport, marchés, zones)</w:t>
            </w:r>
          </w:p>
        </w:tc>
        <w:tc>
          <w:tcPr/>
          <w:p>
            <w:pPr>
              <w:pStyle w:val="Compact"/>
              <w:spacing w:after="20" w:before="20" w:line="240" w:lineRule="auto"/>
              <w:jc w:val="left"/>
            </w:pPr>
            <w:r>
              <w:rPr>
                <w:sz w:val="17"/>
              </w:rPr>
              <w:t xml:space="preserve">1, 7, 15 ou 30 jours</w:t>
            </w:r>
          </w:p>
        </w:tc>
      </w:tr>
      <w:tr>
        <w:tc>
          <w:tcPr>
            <w:shd w:val="clear" w:color="auto" w:fill="F2F9F8"/>
          </w:tcPr>
          <w:p>
            <w:pPr>
              <w:pStyle w:val="Compact"/>
              <w:spacing w:after="20" w:before="20" w:line="240" w:lineRule="auto"/>
              <w:jc w:val="left"/>
            </w:pPr>
            <w:r>
              <w:rPr>
                <w:sz w:val="17"/>
              </w:rPr>
              <w:t xml:space="preserve">Stationnement</w:t>
            </w:r>
          </w:p>
        </w:tc>
        <w:tc>
          <w:tcPr>
            <w:shd w:val="clear" w:color="auto" w:fill="F2F9F8"/>
          </w:tcPr>
          <w:p>
            <w:pPr>
              <w:pStyle w:val="Compact"/>
              <w:spacing w:after="20" w:before="20" w:line="240" w:lineRule="auto"/>
              <w:jc w:val="left"/>
            </w:pPr>
            <w:r>
              <w:rPr>
                <w:sz w:val="17"/>
              </w:rPr>
              <w:t xml:space="preserve">1, 3, 6, 9, 12, 15, 18 ou 24 heures ; 7, 15 ou 30 jours</w:t>
            </w:r>
          </w:p>
        </w:tc>
      </w:tr>
    </w:tbl>
    <w:p>
      <w:pPr>
        <w:pStyle w:val="BodyText"/>
      </w:pPr>
      <w:r>
        <w:t xml:space="preserve">Chaque opérateur définit le nom commercial du ticket, en propose le prix et l’associe à une localisation cartographique ; lorsque le ticket porte une recette publique, le prix est une règle approuvée du registre juridique (§ 6.2).</w:t>
      </w:r>
    </w:p>
    <w:bookmarkEnd w:id="104"/>
    <w:bookmarkStart w:id="105" w:name="d.2-rôles"/>
    <w:p>
      <w:pPr>
        <w:pStyle w:val="Heading2"/>
      </w:pPr>
      <w:r>
        <w:t xml:space="preserve">11D.2 Rôles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Rôle RakaPay</w:t>
            </w:r>
          </w:p>
        </w:tc>
        <w:tc>
          <w:tcPr>
            <w:shd w:val="clear" w:color="auto" w:fill="1BA996"/>
          </w:tcPr>
          <w:p>
            <w:pPr>
              <w:pStyle w:val="Compact"/>
              <w:spacing w:after="20" w:before="20" w:line="240" w:lineRule="auto"/>
              <w:jc w:val="left"/>
            </w:pPr>
            <w:r>
              <w:rPr>
                <w:b/>
                <w:color w:val="FFFFFF"/>
                <w:sz w:val="17"/>
              </w:rPr>
              <w:t xml:space="preserve">Équivalent MOSOLO</w:t>
            </w:r>
          </w:p>
        </w:tc>
        <w:tc>
          <w:tcPr>
            <w:shd w:val="clear" w:color="auto" w:fill="1BA996"/>
          </w:tcPr>
          <w:p>
            <w:pPr>
              <w:pStyle w:val="Compact"/>
              <w:spacing w:after="20" w:before="20" w:line="240" w:lineRule="auto"/>
              <w:jc w:val="left"/>
            </w:pPr>
            <w:r>
              <w:rPr>
                <w:b/>
                <w:color w:val="FFFFFF"/>
                <w:sz w:val="17"/>
              </w:rPr>
              <w:t xml:space="preserve">Pouvoirs</w:t>
            </w:r>
          </w:p>
        </w:tc>
      </w:tr>
      <w:tr>
        <w:tc>
          <w:tcPr/>
          <w:p>
            <w:pPr>
              <w:pStyle w:val="Compact"/>
              <w:spacing w:after="20" w:before="20" w:line="240" w:lineRule="auto"/>
              <w:jc w:val="left"/>
            </w:pPr>
            <w:r>
              <w:rPr>
                <w:sz w:val="17"/>
              </w:rPr>
              <w:t xml:space="preserve">Superuser</w:t>
            </w:r>
          </w:p>
        </w:tc>
        <w:tc>
          <w:tcPr/>
          <w:p>
            <w:pPr>
              <w:pStyle w:val="Compact"/>
              <w:spacing w:after="20" w:before="20" w:line="240" w:lineRule="auto"/>
              <w:jc w:val="left"/>
            </w:pPr>
            <w:r>
              <w:rPr>
                <w:sz w:val="17"/>
              </w:rPr>
              <w:t xml:space="preserve">Administrateur de la plateforme et comité de pilotage</w:t>
            </w:r>
          </w:p>
        </w:tc>
        <w:tc>
          <w:tcPr/>
          <w:p>
            <w:pPr>
              <w:pStyle w:val="Compact"/>
              <w:spacing w:after="20" w:before="20" w:line="240" w:lineRule="auto"/>
              <w:jc w:val="left"/>
            </w:pPr>
            <w:r>
              <w:rPr>
                <w:sz w:val="17"/>
              </w:rPr>
              <w:t xml:space="preserve">Paramétrage global, validation des opérateurs, supervision des flux, audit, gouvernance des pénalités et commissions</w:t>
            </w:r>
          </w:p>
        </w:tc>
      </w:tr>
      <w:tr>
        <w:tc>
          <w:tcPr>
            <w:shd w:val="clear" w:color="auto" w:fill="F2F9F8"/>
          </w:tcPr>
          <w:p>
            <w:pPr>
              <w:pStyle w:val="Compact"/>
              <w:spacing w:after="20" w:before="20" w:line="240" w:lineRule="auto"/>
              <w:jc w:val="left"/>
            </w:pPr>
            <w:r>
              <w:rPr>
                <w:sz w:val="17"/>
              </w:rPr>
              <w:t xml:space="preserve">Merchant Admin (exploitant)</w:t>
            </w:r>
          </w:p>
        </w:tc>
        <w:tc>
          <w:tcPr>
            <w:shd w:val="clear" w:color="auto" w:fill="F2F9F8"/>
          </w:tcPr>
          <w:p>
            <w:pPr>
              <w:pStyle w:val="Compact"/>
              <w:spacing w:after="20" w:before="20" w:line="240" w:lineRule="auto"/>
              <w:jc w:val="left"/>
            </w:pPr>
            <w:r>
              <w:rPr>
                <w:sz w:val="17"/>
              </w:rPr>
              <w:t xml:space="preserve">Opérateur délégué, entité responsable du module (§ 10A, § 12A)</w:t>
            </w:r>
          </w:p>
        </w:tc>
        <w:tc>
          <w:tcPr>
            <w:shd w:val="clear" w:color="auto" w:fill="F2F9F8"/>
          </w:tcPr>
          <w:p>
            <w:pPr>
              <w:pStyle w:val="Compact"/>
              <w:spacing w:after="20" w:before="20" w:line="240" w:lineRule="auto"/>
              <w:jc w:val="left"/>
            </w:pPr>
            <w:r>
              <w:rPr>
                <w:sz w:val="17"/>
              </w:rPr>
              <w:t xml:space="preserve">Création et tarification des tickets dans son périmètre, gestion exclusive de ses agents, commissions et pénalités dans les limites approuvées, accès à ses ventes</w:t>
            </w:r>
          </w:p>
        </w:tc>
      </w:tr>
      <w:tr>
        <w:tc>
          <w:tcPr/>
          <w:p>
            <w:pPr>
              <w:pStyle w:val="Compact"/>
              <w:spacing w:after="20" w:before="20" w:line="240" w:lineRule="auto"/>
              <w:jc w:val="left"/>
            </w:pPr>
            <w:r>
              <w:rPr>
                <w:sz w:val="17"/>
              </w:rPr>
              <w:t xml:space="preserve">Agent</w:t>
            </w:r>
          </w:p>
        </w:tc>
        <w:tc>
          <w:tcPr/>
          <w:p>
            <w:pPr>
              <w:pStyle w:val="Compact"/>
              <w:spacing w:after="20" w:before="20" w:line="240" w:lineRule="auto"/>
              <w:jc w:val="left"/>
            </w:pPr>
            <w:r>
              <w:rPr>
                <w:sz w:val="17"/>
              </w:rPr>
              <w:t xml:space="preserve">Agent de terrain de l’opérateur (§ 15A)</w:t>
            </w:r>
          </w:p>
        </w:tc>
        <w:tc>
          <w:tcPr/>
          <w:p>
            <w:pPr>
              <w:pStyle w:val="Compact"/>
              <w:spacing w:after="20" w:before="20" w:line="240" w:lineRule="auto"/>
              <w:jc w:val="left"/>
            </w:pPr>
            <w:r>
              <w:rPr>
                <w:sz w:val="17"/>
              </w:rPr>
              <w:t xml:space="preserve">Contrôle et validation QR, application des pénalités prédéfinies, vente assistée ; exclusif à un opérateur, sans visibilité croisée</w:t>
            </w:r>
          </w:p>
        </w:tc>
      </w:tr>
      <w:tr>
        <w:tc>
          <w:tcPr>
            <w:shd w:val="clear" w:color="auto" w:fill="F2F9F8"/>
          </w:tcPr>
          <w:p>
            <w:pPr>
              <w:pStyle w:val="Compact"/>
              <w:spacing w:after="20" w:before="20" w:line="240" w:lineRule="auto"/>
              <w:jc w:val="left"/>
            </w:pPr>
            <w:r>
              <w:rPr>
                <w:sz w:val="17"/>
              </w:rPr>
              <w:t xml:space="preserve">Client</w:t>
            </w:r>
          </w:p>
        </w:tc>
        <w:tc>
          <w:tcPr>
            <w:shd w:val="clear" w:color="auto" w:fill="F2F9F8"/>
          </w:tcPr>
          <w:p>
            <w:pPr>
              <w:pStyle w:val="Compact"/>
              <w:spacing w:after="20" w:before="20" w:line="240" w:lineRule="auto"/>
              <w:jc w:val="left"/>
            </w:pPr>
            <w:r>
              <w:rPr>
                <w:sz w:val="17"/>
              </w:rPr>
              <w:t xml:space="preserve">Contribuable ou usager (§ 12A.1)</w:t>
            </w:r>
          </w:p>
        </w:tc>
        <w:tc>
          <w:tcPr>
            <w:shd w:val="clear" w:color="auto" w:fill="F2F9F8"/>
          </w:tcPr>
          <w:p>
            <w:pPr>
              <w:pStyle w:val="Compact"/>
              <w:spacing w:after="20" w:before="20" w:line="240" w:lineRule="auto"/>
              <w:jc w:val="left"/>
            </w:pPr>
            <w:r>
              <w:rPr>
                <w:sz w:val="17"/>
              </w:rPr>
              <w:t xml:space="preserve">Achat par application ou canal assisté, ticket par application et SMS de secours, présentation du QR</w:t>
            </w:r>
          </w:p>
        </w:tc>
      </w:tr>
    </w:tbl>
    <w:bookmarkEnd w:id="105"/>
    <w:bookmarkStart w:id="106" w:name="d.3-contrôle-et-pénalité"/>
    <w:p>
      <w:pPr>
        <w:pStyle w:val="Heading2"/>
      </w:pPr>
      <w:r>
        <w:t xml:space="preserve">11D.3 Contrôle et pénalité</w:t>
      </w:r>
    </w:p>
    <w:p>
      <w:pPr>
        <w:pStyle w:val="Compact"/>
        <w:numPr>
          <w:ilvl w:val="0"/>
          <w:numId w:val="1021"/>
        </w:numPr>
      </w:pPr>
      <w:r>
        <w:t xml:space="preserve">Tout usager sans ticket valide ou avec un ticket expiré paie le ticket et une pénalité, exprimée en pourcentage du ticket et fixée dans les limites de l’acte réglementaire.</w:t>
      </w:r>
    </w:p>
    <w:p>
      <w:pPr>
        <w:pStyle w:val="Compact"/>
        <w:numPr>
          <w:ilvl w:val="0"/>
          <w:numId w:val="1021"/>
        </w:numPr>
      </w:pPr>
      <w:r>
        <w:t xml:space="preserve">Toute vente consécutive à une infraction est tracée ; toute pénalité est justifiée, horodatée, auditée et contestable ; aucun contrôle manuel hors système n’est autorisé.</w:t>
      </w:r>
    </w:p>
    <w:bookmarkEnd w:id="106"/>
    <w:bookmarkStart w:id="107" w:name="X8ac96eec5f55afcbc3f239921bfb5bcf2783ce1"/>
    <w:p>
      <w:pPr>
        <w:pStyle w:val="Heading2"/>
      </w:pPr>
      <w:r>
        <w:t xml:space="preserve">11D.4 Harmonisation avec la règle « zéro espèce »</w:t>
      </w:r>
    </w:p>
    <w:p>
      <w:pPr>
        <w:pStyle w:val="FirstParagraph"/>
      </w:pPr>
      <w:r>
        <w:t xml:space="preserve">Le socle RakaPay prévoyait la vente de tickets en espèces par l’agent via l’application. Dans MOSOLO,</w:t>
      </w:r>
      <w:r>
        <w:t xml:space="preserve"> </w:t>
      </w:r>
      <w:r>
        <w:rPr>
          <w:b/>
          <w:bCs/>
        </w:rPr>
        <w:t xml:space="preserve">aucun agent public ni agent d’un sous-traitant n’encaisse d’espèces</w:t>
      </w:r>
      <w:r>
        <w:t xml:space="preserve"> </w:t>
      </w:r>
      <w:r>
        <w:t xml:space="preserve">(§ 18A). La vente en espèces n’est possible que par un point de paiement agréé (§ 18A.2) ; un vendeur d’opérateur délégué ne peut vendre en espèces que s’il est lui-même référencé comme point de paiement agréé d’un prestataire habilité, avec règlement quotidien vers le compte public et rapprochement (Annexe B, point 26). Les commissions des vendeurs d’opérateurs privés sont contractuelles et distinctes de la réserve de 10 % des agents (§ 37A.5).</w:t>
      </w:r>
    </w:p>
    <w:bookmarkEnd w:id="107"/>
    <w:bookmarkStart w:id="108" w:name="d.5-fonctionnalités-et-exigences"/>
    <w:p>
      <w:pPr>
        <w:pStyle w:val="Heading2"/>
      </w:pPr>
      <w:r>
        <w:t xml:space="preserve">11D.5 Fonctionnalités et exigences</w:t>
      </w:r>
    </w:p>
    <w:p>
      <w:pPr>
        <w:pStyle w:val="FirstParagraph"/>
      </w:pPr>
      <w:r>
        <w:t xml:space="preserve">QR unique par ticket ; validation en ligne et hors ligne ; paiements multicanaux ; multidevise ; multilingue (français, anglais, lingala, swahili, extensible au kikongo et au tshiluba) ; cartographie obligatoire ; historique infalsifiable ; architecture multi-opérateurs native ; sécurité de niveau bancaire et chiffrement de bout en bout ; haute disponibilité ; montée en charge urbaine ; interface très simple pour les agents ; applications Android et iOS ; administration web sécurisée. Le socle RakaPay avait été conçu comme produit minimal viable avec un calendrier de sept semaines et un plafond budgétaire de 500 USD, hébergé chez un fournisseur commercial ; dans MOSOLO, ce sont la feuille de route (§ 34) et les exigences d’hébergement souverain (§ 33) qui s’appliquent.</w:t>
      </w:r>
    </w:p>
    <w:bookmarkEnd w:id="108"/>
    <w:bookmarkStart w:id="109" w:name="d.6-parcours-opérationnels"/>
    <w:p>
      <w:pPr>
        <w:pStyle w:val="Heading2"/>
      </w:pPr>
      <w:r>
        <w:t xml:space="preserve">11D.6 Parcours opérationnels</w:t>
      </w:r>
    </w:p>
    <w:p>
      <w:pPr>
        <w:pStyle w:val="FirstParagraph"/>
      </w:pPr>
      <w:r>
        <w:rPr>
          <w:b/>
          <w:bCs/>
        </w:rPr>
        <w:t xml:space="preserve">Usager — exemple du stationnement.</w:t>
      </w:r>
      <w:r>
        <w:t xml:space="preserve"> </w:t>
      </w:r>
      <w:r>
        <w:t xml:space="preserve">1) L’usager se gare. 2) Il achète son ticket dans l’application, par USSD, ou le paie auprès d’un point de paiement agréé. 3) Il reçoit un QR unique, et un SMS de secours. 4) En cas de contrôle, le QR ou la plaque est vérifié. 5) Le système valide le ticket ou déclenche la procédure de pénalité réglementaire.</w:t>
      </w:r>
    </w:p>
    <w:p>
      <w:pPr>
        <w:pStyle w:val="BodyText"/>
      </w:pPr>
      <w:r>
        <w:rPr>
          <w:b/>
          <w:bCs/>
        </w:rPr>
        <w:t xml:space="preserve">Agent d’opérateur.</w:t>
      </w:r>
      <w:r>
        <w:t xml:space="preserve"> </w:t>
      </w:r>
      <w:r>
        <w:t xml:space="preserve">1) Connexion à son espace opérateur (compte invité, § 12A). 2) Accès aux seuls tickets autorisés pour son opérateur et sa zone. 3) Vente assistée : l’usager paie sur son téléphone ou chez un point agréé ; la vente en espèces n’est possible que si l’agent est lui-même référencé comme point de paiement agréé (§ 11D.4). 4) Scan et validation sur le terrain, en ligne ou hors ligne. 5) Application automatique des règles de validité. 6)</w:t>
      </w:r>
      <w:r>
        <w:t xml:space="preserve"> </w:t>
      </w:r>
      <w:r>
        <w:rPr>
          <w:b/>
          <w:bCs/>
        </w:rPr>
        <w:t xml:space="preserve">Calcul instantané de sa commission</w:t>
      </w:r>
      <w:r>
        <w:t xml:space="preserve"> </w:t>
      </w:r>
      <w:r>
        <w:t xml:space="preserve">selon la grille contractuelle de l’opérateur, visible dans son espace.</w:t>
      </w:r>
    </w:p>
    <w:p>
      <w:pPr>
        <w:pStyle w:val="BodyText"/>
      </w:pPr>
      <w:r>
        <w:rPr>
          <w:b/>
          <w:bCs/>
        </w:rPr>
        <w:t xml:space="preserve">Opérateur (exploitant).</w:t>
      </w:r>
      <w:r>
        <w:t xml:space="preserve"> </w:t>
      </w:r>
      <w:r>
        <w:t xml:space="preserve">Analyse quotidienne des ventes, des contrôles et des pénalités ; ajustement des prix et des commissions dans les limites approuvées ; pilotage opérationnel par données réelles (zones, heures, agents).</w:t>
      </w:r>
    </w:p>
    <w:p>
      <w:pPr>
        <w:pStyle w:val="BodyText"/>
      </w:pPr>
      <w:r>
        <w:rPr>
          <w:b/>
          <w:bCs/>
        </w:rPr>
        <w:t xml:space="preserve">Supervision (Superuser).</w:t>
      </w:r>
      <w:r>
        <w:t xml:space="preserve"> </w:t>
      </w:r>
      <w:r>
        <w:t xml:space="preserve">Supervision globale des opérateurs et des flux ; audit comportemental des agents (ventes atypiques, annulations, écarts entre contrôles et ventes) ; blocage préventif d’un agent ou d’un opérateur en cas d’abus détecté, sous décision motivée ; reporting institutionnel.</w:t>
      </w:r>
    </w:p>
    <w:bookmarkEnd w:id="109"/>
    <w:bookmarkStart w:id="110" w:name="Xe226307270faaa47b18d1b6bc277e920301e745"/>
    <w:p>
      <w:pPr>
        <w:pStyle w:val="Heading2"/>
      </w:pPr>
      <w:r>
        <w:t xml:space="preserve">11D.7 Modèle économique ouvert de la billetterie</w:t>
      </w:r>
    </w:p>
    <w:p>
      <w:pPr>
        <w:pStyle w:val="FirstParagraph"/>
      </w:pPr>
      <w:r>
        <w:t xml:space="preserve">Le socle RakaPay repose sur un principe d’</w:t>
      </w:r>
      <w:r>
        <w:rPr>
          <w:b/>
          <w:bCs/>
        </w:rPr>
        <w:t xml:space="preserve">ouverture multi-opérateurs</w:t>
      </w:r>
      <w:r>
        <w:t xml:space="preserve"> </w:t>
      </w:r>
      <w:r>
        <w:t xml:space="preserve">: la plateforme accueille aussi des opérateurs privés (parkings privés, organisateurs d’événements, gestionnaires d’espaces commerciaux, transporteurs privés) qui vendent leurs propres tickets. Leurs ventes</w:t>
      </w:r>
      <w:r>
        <w:t xml:space="preserve"> </w:t>
      </w:r>
      <w:r>
        <w:rPr>
          <w:b/>
          <w:bCs/>
        </w:rPr>
        <w:t xml:space="preserve">ne sont pas des recettes publiques</w:t>
      </w:r>
      <w:r>
        <w:t xml:space="preserve"> </w:t>
      </w:r>
      <w:r>
        <w:t xml:space="preserve">: elles sont réglées directement à l’opérateur privé, et la plateforme perçoit une commission de service contractuelle. Ces revenus privés contribuent au financement de l’exploitation, des licences et de la continuité du service, sans charge pour la Ville. Les recettes publiques, elles, suivent exclusivement la clé du § 37A et le paiement direct au compte public. Les deux circuits sont séparés comptablement et visibles au tableau de bord.</w:t>
      </w:r>
    </w:p>
    <w:bookmarkEnd w:id="110"/>
    <w:bookmarkStart w:id="121" w:name="X4e38ec9ba4a868cf40cbc7b27de1d4ccf7fbeb7"/>
    <w:p>
      <w:pPr>
        <w:pStyle w:val="Heading2"/>
      </w:pPr>
      <w:r>
        <w:t xml:space="preserve">11D.8 Moto-taxis (wewa) : premier cas d’usage de la billetterie</w:t>
      </w:r>
    </w:p>
    <w:p>
      <w:pPr>
        <w:pStyle w:val="FirstParagraph"/>
      </w:pPr>
      <w:r>
        <w:t xml:space="preserve">Les moto-taxis, appelés</w:t>
      </w:r>
      <w:r>
        <w:t xml:space="preserve"> </w:t>
      </w:r>
      <w:r>
        <w:rPr>
          <w:b/>
          <w:bCs/>
        </w:rPr>
        <w:t xml:space="preserve">wewa</w:t>
      </w:r>
      <w:r>
        <w:t xml:space="preserve">, sont l’un des premiers modes de transport de Kinshasa :</w:t>
      </w:r>
      <w:r>
        <w:t xml:space="preserve"> </w:t>
      </w:r>
      <w:r>
        <w:rPr>
          <w:b/>
          <w:bCs/>
        </w:rPr>
        <w:t xml:space="preserve">plus d’un million de wewa à Kinshasa seule</w:t>
      </w:r>
      <w:r>
        <w:t xml:space="preserve">, selon l’estimation du promoteur, à confirmer par le recensement. Ils restent largement hors de tout registre : conducteurs non identifiés, prélèvements en espèces multiples et souvent informels sur la route, insécurité pour les passagers. Le socle de billetterie RakaPay leur apporte un cadre gagnant pour tous :</w:t>
      </w:r>
      <w:r>
        <w:t xml:space="preserve"> </w:t>
      </w:r>
      <w:r>
        <w:rPr>
          <w:b/>
          <w:bCs/>
        </w:rPr>
        <w:t xml:space="preserve">chaque moto et chaque conducteur identifiés, un pass légal et abordable, la fin des prélèvements informels, une recette traçable pour la Ville et une reconnaissance pour les wewa.</w:t>
      </w:r>
      <w:r>
        <w:t xml:space="preserve"> </w:t>
      </w:r>
      <w:r>
        <w:t xml:space="preserve">Le pass wewa est un ticket RakaPay à durée (§ 11D.1), vendu, contrôlé et rapproché par les mêmes fonctions que les autres tickets.</w:t>
      </w:r>
    </w:p>
    <w:bookmarkStart w:id="111" w:name="objectifs"/>
    <w:p>
      <w:pPr>
        <w:pStyle w:val="Heading3"/>
      </w:pPr>
      <w:r>
        <w:t xml:space="preserve">Objectifs</w:t>
      </w:r>
    </w:p>
    <w:p>
      <w:pPr>
        <w:pStyle w:val="Compact"/>
        <w:numPr>
          <w:ilvl w:val="0"/>
          <w:numId w:val="1022"/>
        </w:numPr>
      </w:pPr>
      <w:r>
        <w:t xml:space="preserve">Recenser et identifier chaque moto-taxi et chaque conducteur.</w:t>
      </w:r>
    </w:p>
    <w:p>
      <w:pPr>
        <w:pStyle w:val="Compact"/>
        <w:numPr>
          <w:ilvl w:val="0"/>
          <w:numId w:val="1022"/>
        </w:numPr>
      </w:pPr>
      <w:r>
        <w:t xml:space="preserve">Délivrer un pass de circulation professionnelle (jour, semaine, mois) fondé sur la base légale applicable : taxe journalière des transports, autorisation de transport ou droit équivalent.</w:t>
      </w:r>
    </w:p>
    <w:p>
      <w:pPr>
        <w:pStyle w:val="Compact"/>
        <w:numPr>
          <w:ilvl w:val="0"/>
          <w:numId w:val="1022"/>
        </w:numPr>
      </w:pPr>
      <w:r>
        <w:t xml:space="preserve">Remplacer les prélèvements en espèces sur la route par un paiement numérique direct au compte public.</w:t>
      </w:r>
    </w:p>
    <w:p>
      <w:pPr>
        <w:pStyle w:val="Compact"/>
        <w:numPr>
          <w:ilvl w:val="0"/>
          <w:numId w:val="1022"/>
        </w:numPr>
      </w:pPr>
      <w:r>
        <w:t xml:space="preserve">Permettre aux passagers de vérifier le conducteur, et protéger les wewa contre le harcèlement.</w:t>
      </w:r>
    </w:p>
    <w:p>
      <w:pPr>
        <w:pStyle w:val="Compact"/>
        <w:numPr>
          <w:ilvl w:val="0"/>
          <w:numId w:val="1022"/>
        </w:numPr>
      </w:pPr>
      <w:r>
        <w:t xml:space="preserve">Produire les données de mobilité utiles à la planification : stations, flux, zones.</w:t>
      </w:r>
    </w:p>
    <w:bookmarkEnd w:id="111"/>
    <w:bookmarkStart w:id="112" w:name="X1d246ecdd24a685ee1efc08acd8875c40b379b9"/>
    <w:p>
      <w:pPr>
        <w:pStyle w:val="Heading3"/>
      </w:pPr>
      <w:r>
        <w:t xml:space="preserve">Registre des motos, des conducteurs et des stations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Objet</w:t>
            </w:r>
          </w:p>
        </w:tc>
        <w:tc>
          <w:tcPr>
            <w:shd w:val="clear" w:color="auto" w:fill="1BA996"/>
          </w:tcPr>
          <w:p>
            <w:pPr>
              <w:pStyle w:val="Compact"/>
              <w:spacing w:after="20" w:before="20" w:line="240" w:lineRule="auto"/>
              <w:jc w:val="left"/>
            </w:pPr>
            <w:r>
              <w:rPr>
                <w:b/>
                <w:color w:val="FFFFFF"/>
                <w:sz w:val="17"/>
              </w:rPr>
              <w:t xml:space="preserve">Contenu</w:t>
            </w:r>
          </w:p>
        </w:tc>
        <w:tc>
          <w:tcPr>
            <w:shd w:val="clear" w:color="auto" w:fill="1BA996"/>
          </w:tcPr>
          <w:p>
            <w:pPr>
              <w:pStyle w:val="Compact"/>
              <w:spacing w:after="20" w:before="20" w:line="240" w:lineRule="auto"/>
              <w:jc w:val="left"/>
            </w:pPr>
            <w:r>
              <w:rPr>
                <w:b/>
                <w:color w:val="FFFFFF"/>
                <w:sz w:val="17"/>
              </w:rPr>
              <w:t xml:space="preserve">Identifiant</w:t>
            </w:r>
          </w:p>
        </w:tc>
      </w:tr>
      <w:tr>
        <w:tc>
          <w:tcPr/>
          <w:p>
            <w:pPr>
              <w:pStyle w:val="Compact"/>
              <w:spacing w:after="20" w:before="20" w:line="240" w:lineRule="auto"/>
              <w:jc w:val="left"/>
            </w:pPr>
            <w:r>
              <w:rPr>
                <w:sz w:val="17"/>
              </w:rPr>
              <w:t xml:space="preserve">Moto</w:t>
            </w:r>
          </w:p>
        </w:tc>
        <w:tc>
          <w:tcPr/>
          <w:p>
            <w:pPr>
              <w:pStyle w:val="Compact"/>
              <w:spacing w:after="20" w:before="20" w:line="240" w:lineRule="auto"/>
              <w:jc w:val="left"/>
            </w:pPr>
            <w:r>
              <w:rPr>
                <w:sz w:val="17"/>
              </w:rPr>
              <w:t xml:space="preserve">Plaque, numéro d’ordre, marque, propriétaire, commune de rattachement</w:t>
            </w:r>
          </w:p>
        </w:tc>
        <w:tc>
          <w:tcPr/>
          <w:p>
            <w:pPr>
              <w:pStyle w:val="Compact"/>
              <w:spacing w:after="20" w:before="20" w:line="240" w:lineRule="auto"/>
              <w:jc w:val="left"/>
            </w:pPr>
            <w:r>
              <w:rPr>
                <w:sz w:val="17"/>
              </w:rPr>
              <w:t xml:space="preserve">Ticket lié à la plaque (§ 19A.4)</w:t>
            </w:r>
          </w:p>
        </w:tc>
      </w:tr>
      <w:tr>
        <w:tc>
          <w:tcPr>
            <w:shd w:val="clear" w:color="auto" w:fill="F2F9F8"/>
          </w:tcPr>
          <w:p>
            <w:pPr>
              <w:pStyle w:val="Compact"/>
              <w:spacing w:after="20" w:before="20" w:line="240" w:lineRule="auto"/>
              <w:jc w:val="left"/>
            </w:pPr>
            <w:r>
              <w:rPr>
                <w:sz w:val="17"/>
              </w:rPr>
              <w:t xml:space="preserve">Conducteur</w:t>
            </w:r>
          </w:p>
        </w:tc>
        <w:tc>
          <w:tcPr>
            <w:shd w:val="clear" w:color="auto" w:fill="F2F9F8"/>
          </w:tcPr>
          <w:p>
            <w:pPr>
              <w:pStyle w:val="Compact"/>
              <w:spacing w:after="20" w:before="20" w:line="240" w:lineRule="auto"/>
              <w:jc w:val="left"/>
            </w:pPr>
            <w:r>
              <w:rPr>
                <w:sz w:val="17"/>
              </w:rPr>
              <w:t xml:space="preserve">Identité, photo, permis, contact, moto(s) conduite(s)</w:t>
            </w:r>
          </w:p>
        </w:tc>
        <w:tc>
          <w:tcPr>
            <w:shd w:val="clear" w:color="auto" w:fill="F2F9F8"/>
          </w:tcPr>
          <w:p>
            <w:pPr>
              <w:pStyle w:val="Compact"/>
              <w:spacing w:after="20" w:before="20" w:line="240" w:lineRule="auto"/>
              <w:jc w:val="left"/>
            </w:pPr>
            <w:r>
              <w:rPr>
                <w:sz w:val="17"/>
              </w:rPr>
              <w:t xml:space="preserve">Carte conducteur QR</w:t>
            </w:r>
          </w:p>
        </w:tc>
      </w:tr>
      <w:tr>
        <w:tc>
          <w:tcPr/>
          <w:p>
            <w:pPr>
              <w:pStyle w:val="Compact"/>
              <w:spacing w:after="20" w:before="20" w:line="240" w:lineRule="auto"/>
              <w:jc w:val="left"/>
            </w:pPr>
            <w:r>
              <w:rPr>
                <w:sz w:val="17"/>
              </w:rPr>
              <w:t xml:space="preserve">Propriétaire ou exploitant</w:t>
            </w:r>
          </w:p>
        </w:tc>
        <w:tc>
          <w:tcPr/>
          <w:p>
            <w:pPr>
              <w:pStyle w:val="Compact"/>
              <w:spacing w:after="20" w:before="20" w:line="240" w:lineRule="auto"/>
              <w:jc w:val="left"/>
            </w:pPr>
            <w:r>
              <w:rPr>
                <w:sz w:val="17"/>
              </w:rPr>
              <w:t xml:space="preserve">Personne qui possède et loue la moto, distincte du conducteur</w:t>
            </w:r>
          </w:p>
        </w:tc>
        <w:tc>
          <w:tcPr/>
          <w:p>
            <w:pPr>
              <w:pStyle w:val="Compact"/>
              <w:spacing w:after="20" w:before="20" w:line="240" w:lineRule="auto"/>
              <w:jc w:val="left"/>
            </w:pPr>
            <w:r>
              <w:rPr>
                <w:sz w:val="17"/>
              </w:rPr>
              <w:t xml:space="preserve">Compte unique (§ 9)</w:t>
            </w:r>
          </w:p>
        </w:tc>
      </w:tr>
      <w:tr>
        <w:tc>
          <w:tcPr>
            <w:shd w:val="clear" w:color="auto" w:fill="F2F9F8"/>
          </w:tcPr>
          <w:p>
            <w:pPr>
              <w:pStyle w:val="Compact"/>
              <w:spacing w:after="20" w:before="20" w:line="240" w:lineRule="auto"/>
              <w:jc w:val="left"/>
            </w:pPr>
            <w:r>
              <w:rPr>
                <w:sz w:val="17"/>
              </w:rPr>
              <w:t xml:space="preserve">Coopérative ou association</w:t>
            </w:r>
          </w:p>
        </w:tc>
        <w:tc>
          <w:tcPr>
            <w:shd w:val="clear" w:color="auto" w:fill="F2F9F8"/>
          </w:tcPr>
          <w:p>
            <w:pPr>
              <w:pStyle w:val="Compact"/>
              <w:spacing w:after="20" w:before="20" w:line="240" w:lineRule="auto"/>
              <w:jc w:val="left"/>
            </w:pPr>
            <w:r>
              <w:rPr>
                <w:sz w:val="17"/>
              </w:rPr>
              <w:t xml:space="preserve">Structure regroupant des wewa, accréditée comme opérateur de billetterie (§ 11D.2)</w:t>
            </w:r>
          </w:p>
        </w:tc>
        <w:tc>
          <w:tcPr>
            <w:shd w:val="clear" w:color="auto" w:fill="F2F9F8"/>
          </w:tcPr>
          <w:p>
            <w:pPr>
              <w:pStyle w:val="Compact"/>
              <w:spacing w:after="20" w:before="20" w:line="240" w:lineRule="auto"/>
              <w:jc w:val="left"/>
            </w:pPr>
            <w:r>
              <w:rPr>
                <w:sz w:val="17"/>
              </w:rPr>
              <w:t xml:space="preserve">Espace d’entité (§ 10A)</w:t>
            </w:r>
          </w:p>
        </w:tc>
      </w:tr>
      <w:tr>
        <w:tc>
          <w:tcPr/>
          <w:p>
            <w:pPr>
              <w:pStyle w:val="Compact"/>
              <w:spacing w:after="20" w:before="20" w:line="240" w:lineRule="auto"/>
              <w:jc w:val="left"/>
            </w:pPr>
            <w:r>
              <w:rPr>
                <w:sz w:val="17"/>
              </w:rPr>
              <w:t xml:space="preserve">Station ou parking wewa</w:t>
            </w:r>
          </w:p>
        </w:tc>
        <w:tc>
          <w:tcPr/>
          <w:p>
            <w:pPr>
              <w:pStyle w:val="Compact"/>
              <w:spacing w:after="20" w:before="20" w:line="240" w:lineRule="auto"/>
              <w:jc w:val="left"/>
            </w:pPr>
            <w:r>
              <w:rPr>
                <w:sz w:val="17"/>
              </w:rPr>
              <w:t xml:space="preserve">Point de stationnement géoréférencé</w:t>
            </w:r>
          </w:p>
        </w:tc>
        <w:tc>
          <w:tcPr/>
          <w:p>
            <w:pPr>
              <w:pStyle w:val="Compact"/>
              <w:spacing w:after="20" w:before="20" w:line="240" w:lineRule="auto"/>
              <w:jc w:val="left"/>
            </w:pPr>
            <w:r>
              <w:rPr>
                <w:sz w:val="17"/>
              </w:rPr>
              <w:t xml:space="preserve">Code de station</w:t>
            </w:r>
          </w:p>
        </w:tc>
      </w:tr>
    </w:tbl>
    <w:p>
      <w:pPr>
        <w:pStyle w:val="BodyText"/>
      </w:pPr>
      <w:r>
        <w:t xml:space="preserve">Le propriétaire et le conducteur sont deux rôles distincts : l’obligation est portée par la personne désignée par l’acte réglementaire, et le système sait toujours qui conduit quelle moto.</w:t>
      </w:r>
    </w:p>
    <w:bookmarkEnd w:id="112"/>
    <w:bookmarkStart w:id="113" w:name="le-pass-wewa"/>
    <w:p>
      <w:pPr>
        <w:pStyle w:val="Heading3"/>
      </w:pPr>
      <w:r>
        <w:t xml:space="preserve">Le pass wewa</w:t>
      </w:r>
    </w:p>
    <w:p>
      <w:pPr>
        <w:pStyle w:val="Compact"/>
        <w:numPr>
          <w:ilvl w:val="0"/>
          <w:numId w:val="1023"/>
        </w:numPr>
      </w:pPr>
      <w:r>
        <w:rPr>
          <w:b/>
          <w:bCs/>
        </w:rPr>
        <w:t xml:space="preserve">Durées</w:t>
      </w:r>
      <w:r>
        <w:t xml:space="preserve"> </w:t>
      </w:r>
      <w:r>
        <w:t xml:space="preserve">: jour, semaine, mois, abonnement renouvelable ; le tarif est fixé par l’acte réglementaire, jamais par l’agent ou l’opérateur.</w:t>
      </w:r>
    </w:p>
    <w:p>
      <w:pPr>
        <w:pStyle w:val="Compact"/>
        <w:numPr>
          <w:ilvl w:val="0"/>
          <w:numId w:val="1023"/>
        </w:numPr>
      </w:pPr>
      <w:r>
        <w:rPr>
          <w:b/>
          <w:bCs/>
        </w:rPr>
        <w:t xml:space="preserve">Supports</w:t>
      </w:r>
      <w:r>
        <w:t xml:space="preserve"> </w:t>
      </w:r>
      <w:r>
        <w:t xml:space="preserve">: autocollant QR sur la moto,</w:t>
      </w:r>
      <w:r>
        <w:t xml:space="preserve"> </w:t>
      </w:r>
      <w:r>
        <w:rPr>
          <w:b/>
          <w:bCs/>
        </w:rPr>
        <w:t xml:space="preserve">gilet numéroté avec QR</w:t>
      </w:r>
      <w:r>
        <w:t xml:space="preserve"> </w:t>
      </w:r>
      <w:r>
        <w:t xml:space="preserve">porté par le conducteur, carte conducteur, pass sur le téléphone ou par USSD.</w:t>
      </w:r>
    </w:p>
    <w:p>
      <w:pPr>
        <w:pStyle w:val="Compact"/>
        <w:numPr>
          <w:ilvl w:val="0"/>
          <w:numId w:val="1023"/>
        </w:numPr>
      </w:pPr>
      <w:r>
        <w:rPr>
          <w:b/>
          <w:bCs/>
        </w:rPr>
        <w:t xml:space="preserve">Statuts</w:t>
      </w:r>
      <w:r>
        <w:t xml:space="preserve"> </w:t>
      </w:r>
      <w:r>
        <w:t xml:space="preserve">: vert (valide), ambre (expire bientôt, rappel par SMS), rouge (expiré), selon le moteur de titres (§ 19A).</w:t>
      </w:r>
    </w:p>
    <w:p>
      <w:pPr>
        <w:pStyle w:val="Compact"/>
        <w:numPr>
          <w:ilvl w:val="0"/>
          <w:numId w:val="1023"/>
        </w:numPr>
      </w:pPr>
      <w:r>
        <w:rPr>
          <w:b/>
          <w:bCs/>
        </w:rPr>
        <w:t xml:space="preserve">Un pass, un conducteur, une moto</w:t>
      </w:r>
      <w:r>
        <w:t xml:space="preserve"> </w:t>
      </w:r>
      <w:r>
        <w:t xml:space="preserve">: lié à la plaque et au conducteur, non transférable.</w:t>
      </w:r>
    </w:p>
    <w:bookmarkEnd w:id="113"/>
    <w:bookmarkStart w:id="114" w:name="paiement-sans-espèces-sur-la-route"/>
    <w:p>
      <w:pPr>
        <w:pStyle w:val="Heading3"/>
      </w:pPr>
      <w:r>
        <w:t xml:space="preserve">Paiement sans espèces sur la route</w:t>
      </w:r>
    </w:p>
    <w:p>
      <w:pPr>
        <w:pStyle w:val="Compact"/>
        <w:numPr>
          <w:ilvl w:val="0"/>
          <w:numId w:val="1024"/>
        </w:numPr>
      </w:pPr>
      <w:r>
        <w:t xml:space="preserve">Paiement par le conducteur sur son téléphone (Mobile Money, USSD), par la coopérative pour ses membres (paiement groupé, activation individuelle de chaque pass), ou chez un point de paiement agréé.</w:t>
      </w:r>
    </w:p>
    <w:p>
      <w:pPr>
        <w:pStyle w:val="Compact"/>
        <w:numPr>
          <w:ilvl w:val="0"/>
          <w:numId w:val="1024"/>
        </w:numPr>
      </w:pPr>
      <w:r>
        <w:rPr>
          <w:b/>
          <w:bCs/>
        </w:rPr>
        <w:t xml:space="preserve">Aucun contrôleur, agent ou responsable de coopérative n’encaisse d’espèces sur la route</w:t>
      </w:r>
      <w:r>
        <w:t xml:space="preserve"> </w:t>
      </w:r>
      <w:r>
        <w:t xml:space="preserve">(§ 18A, § 11D.4). Une moto en vert n’a rien à payer lors d’un contrôle.</w:t>
      </w:r>
    </w:p>
    <w:p>
      <w:pPr>
        <w:pStyle w:val="Compact"/>
        <w:numPr>
          <w:ilvl w:val="0"/>
          <w:numId w:val="1024"/>
        </w:numPr>
      </w:pPr>
      <w:r>
        <w:t xml:space="preserve">Chaque paiement produit une quittance SMS et met à jour le statut de la moto immédiatement.</w:t>
      </w:r>
    </w:p>
    <w:bookmarkEnd w:id="114"/>
    <w:bookmarkStart w:id="115" w:name="contrôle-protecteur"/>
    <w:p>
      <w:pPr>
        <w:pStyle w:val="Heading3"/>
      </w:pPr>
      <w:r>
        <w:t xml:space="preserve">Contrôle protecteur</w:t>
      </w:r>
    </w:p>
    <w:p>
      <w:pPr>
        <w:pStyle w:val="Compact"/>
        <w:numPr>
          <w:ilvl w:val="0"/>
          <w:numId w:val="1025"/>
        </w:numPr>
      </w:pPr>
      <w:r>
        <w:t xml:space="preserve">Le contrôleur scanne le gilet ou l’autocollant, ou saisit la plaque : statut du pass, identité vérifiée du conducteur et autorisation s’affichent, en ligne ou hors ligne.</w:t>
      </w:r>
    </w:p>
    <w:p>
      <w:pPr>
        <w:pStyle w:val="Compact"/>
        <w:numPr>
          <w:ilvl w:val="0"/>
          <w:numId w:val="1025"/>
        </w:numPr>
      </w:pPr>
      <w:r>
        <w:t xml:space="preserve">Chaque contrôle est journalisé (qui, où, quand, résultat) : un wewa en vert ne peut pas être sanctionné, et un contrôle abusif laisse une trace.</w:t>
      </w:r>
    </w:p>
    <w:p>
      <w:pPr>
        <w:pStyle w:val="Compact"/>
        <w:numPr>
          <w:ilvl w:val="0"/>
          <w:numId w:val="1025"/>
        </w:numPr>
      </w:pPr>
      <w:r>
        <w:t xml:space="preserve">Le passager peut scanner le gilet pour vérifier que le conducteur est enregistré.</w:t>
      </w:r>
    </w:p>
    <w:p>
      <w:pPr>
        <w:pStyle w:val="Compact"/>
        <w:numPr>
          <w:ilvl w:val="0"/>
          <w:numId w:val="1025"/>
        </w:numPr>
      </w:pPr>
      <w:r>
        <w:t xml:space="preserve">Pass expiré ou absent : constat par agent habilité, pénalité selon le barème réglementaire (§ 11D.3), contestable ; aucune immobilisation décidée par l’algorithme (§ 21).</w:t>
      </w:r>
    </w:p>
    <w:p>
      <w:pPr>
        <w:pStyle w:val="Compact"/>
        <w:numPr>
          <w:ilvl w:val="0"/>
          <w:numId w:val="1025"/>
        </w:numPr>
      </w:pPr>
      <w:r>
        <w:t xml:space="preserve">La ligne de signalement (§ 18A.8) recueille les plaintes de prélèvements irréguliers.</w:t>
      </w:r>
    </w:p>
    <w:bookmarkEnd w:id="115"/>
    <w:bookmarkStart w:id="116" w:name="coopératives-et-associations-de-wewa"/>
    <w:p>
      <w:pPr>
        <w:pStyle w:val="Heading3"/>
      </w:pPr>
      <w:r>
        <w:t xml:space="preserve">Coopératives et associations de wewa</w:t>
      </w:r>
    </w:p>
    <w:p>
      <w:pPr>
        <w:pStyle w:val="FirstParagraph"/>
      </w:pPr>
      <w:r>
        <w:t xml:space="preserve">Invitées (§ 12A) et accréditées comme opérateurs de billetterie, elles peuvent inscrire et suivre leurs membres, payer les pass de façon groupée, voir la conformité de leurs membres et de leurs stations, et recevoir les alertes de renouvellement. Elles ne peuvent ni encaisser d’espèces pour le compte de la Ville hors point agréé, ni modifier un tarif, ni valider un contrôle : elles deviennent des partenaires de la conformité plutôt que des intermédiaires de collecte.</w:t>
      </w:r>
    </w:p>
    <w:bookmarkEnd w:id="116"/>
    <w:bookmarkStart w:id="117" w:name="ce-que-les-wewa-y-gagnent"/>
    <w:p>
      <w:pPr>
        <w:pStyle w:val="Heading3"/>
      </w:pPr>
      <w:r>
        <w:t xml:space="preserve">Ce que les wewa y gagnent</w:t>
      </w:r>
    </w:p>
    <w:p>
      <w:pPr>
        <w:pStyle w:val="Compact"/>
        <w:numPr>
          <w:ilvl w:val="0"/>
          <w:numId w:val="1026"/>
        </w:numPr>
      </w:pPr>
      <w:r>
        <w:t xml:space="preserve">Une</w:t>
      </w:r>
      <w:r>
        <w:t xml:space="preserve"> </w:t>
      </w:r>
      <w:r>
        <w:rPr>
          <w:b/>
          <w:bCs/>
        </w:rPr>
        <w:t xml:space="preserve">reconnaissance officielle</w:t>
      </w:r>
      <w:r>
        <w:t xml:space="preserve"> </w:t>
      </w:r>
      <w:r>
        <w:t xml:space="preserve">et une preuve de leur droit à exercer.</w:t>
      </w:r>
    </w:p>
    <w:p>
      <w:pPr>
        <w:pStyle w:val="Compact"/>
        <w:numPr>
          <w:ilvl w:val="0"/>
          <w:numId w:val="1026"/>
        </w:numPr>
      </w:pPr>
      <w:r>
        <w:t xml:space="preserve">La</w:t>
      </w:r>
      <w:r>
        <w:t xml:space="preserve"> </w:t>
      </w:r>
      <w:r>
        <w:rPr>
          <w:b/>
          <w:bCs/>
        </w:rPr>
        <w:t xml:space="preserve">fin des prélèvements multiples et informels</w:t>
      </w:r>
      <w:r>
        <w:t xml:space="preserve"> </w:t>
      </w:r>
      <w:r>
        <w:t xml:space="preserve">: un seul pass, un seul prix, vérifiable.</w:t>
      </w:r>
    </w:p>
    <w:p>
      <w:pPr>
        <w:pStyle w:val="Compact"/>
        <w:numPr>
          <w:ilvl w:val="0"/>
          <w:numId w:val="1026"/>
        </w:numPr>
      </w:pPr>
      <w:r>
        <w:t xml:space="preserve">Un historique de paiement numérique pouvant ouvrir, via des partenaires, l’accès à l’assurance, à l’épargne mobile ou au crédit pour l’achat de leur moto.</w:t>
      </w:r>
    </w:p>
    <w:p>
      <w:pPr>
        <w:pStyle w:val="Compact"/>
        <w:numPr>
          <w:ilvl w:val="0"/>
          <w:numId w:val="1026"/>
        </w:numPr>
      </w:pPr>
      <w:r>
        <w:t xml:space="preserve">La</w:t>
      </w:r>
      <w:r>
        <w:t xml:space="preserve"> </w:t>
      </w:r>
      <w:r>
        <w:rPr>
          <w:b/>
          <w:bCs/>
        </w:rPr>
        <w:t xml:space="preserve">sécurité</w:t>
      </w:r>
      <w:r>
        <w:t xml:space="preserve"> </w:t>
      </w:r>
      <w:r>
        <w:t xml:space="preserve">: conducteurs identifiés, passagers rassurés, stations organisées.</w:t>
      </w:r>
    </w:p>
    <w:bookmarkEnd w:id="117"/>
    <w:bookmarkStart w:id="118" w:name="illustration-économique"/>
    <w:p>
      <w:pPr>
        <w:pStyle w:val="Heading3"/>
      </w:pPr>
      <w:r>
        <w:t xml:space="preserve">Illustration économique</w:t>
      </w:r>
    </w:p>
    <w:p>
      <w:pPr>
        <w:pStyle w:val="FirstParagraph"/>
      </w:pPr>
      <w:r>
        <w:rPr>
          <w:b/>
          <w:bCs/>
        </w:rPr>
        <w:t xml:space="preserve">Recette annuelle = nombre de motos actives × tarif journalier du pass × jours d’activité × taux de conformité.</w:t>
      </w:r>
      <w:r>
        <w:t xml:space="preserve"> </w:t>
      </w:r>
      <w:r>
        <w:t xml:space="preserve">À titre illustratif, avec un pass de 500 FC par jour et 300 jours d’activité par an, chaque tranche de 100 000 wewa en règle représente 15 milliards de FC par an (≈ 6,5 M</w:t>
      </w:r>
      <m:oMath>
        <m:r>
          <m:rPr>
            <m:sty m:val="p"/>
          </m:rPr>
          <m:t>)</m:t>
        </m:r>
        <m:r>
          <m:rPr>
            <m:sty m:val="p"/>
          </m:rPr>
          <m:t>.</m:t>
        </m:r>
        <m:r>
          <m:t>P</m:t>
        </m:r>
        <m:r>
          <m:t>o</m:t>
        </m:r>
        <m:r>
          <m:t>u</m:t>
        </m:r>
        <m:r>
          <m:t>r</m:t>
        </m:r>
        <m:r>
          <m:rPr>
            <m:sty m:val="p"/>
          </m:rPr>
          <m:t>*</m:t>
        </m:r>
        <m:r>
          <m:rPr>
            <m:sty m:val="p"/>
          </m:rPr>
          <m:t>*</m:t>
        </m:r>
        <m:r>
          <m:t>u</m:t>
        </m:r>
        <m:r>
          <m:t>n</m:t>
        </m:r>
        <m:r>
          <m:t>m</m:t>
        </m:r>
        <m:r>
          <m:t>i</m:t>
        </m:r>
        <m:r>
          <m:t>l</m:t>
        </m:r>
        <m:r>
          <m:t>l</m:t>
        </m:r>
        <m:r>
          <m:t>i</m:t>
        </m:r>
        <m:r>
          <m:t>o</m:t>
        </m:r>
        <m:r>
          <m:t>n</m:t>
        </m:r>
        <m:r>
          <m:t>d</m:t>
        </m:r>
        <m:r>
          <m:t>e</m:t>
        </m:r>
        <m:r>
          <m:t>w</m:t>
        </m:r>
        <m:r>
          <m:t>e</m:t>
        </m:r>
        <m:r>
          <m:t>w</m:t>
        </m:r>
        <m:r>
          <m:t>a</m:t>
        </m:r>
        <m:r>
          <m:rPr>
            <m:sty m:val="p"/>
          </m:rPr>
          <m:t>*</m:t>
        </m:r>
        <m:r>
          <m:rPr>
            <m:sty m:val="p"/>
          </m:rPr>
          <m:t>*</m:t>
        </m:r>
        <m:r>
          <m:rPr>
            <m:sty m:val="p"/>
          </m:rPr>
          <m:t>,</m:t>
        </m:r>
        <m:r>
          <m:t>l</m:t>
        </m:r>
        <m:r>
          <m:t>e</m:t>
        </m:r>
        <m:r>
          <m:t>p</m:t>
        </m:r>
        <m:r>
          <m:t>o</m:t>
        </m:r>
        <m:r>
          <m:t>t</m:t>
        </m:r>
        <m:r>
          <m:t>e</m:t>
        </m:r>
        <m:r>
          <m:t>n</m:t>
        </m:r>
        <m:r>
          <m:t>t</m:t>
        </m:r>
        <m:r>
          <m:t>i</m:t>
        </m:r>
        <m:r>
          <m:t>e</m:t>
        </m:r>
        <m:r>
          <m:t>l</m:t>
        </m:r>
        <m:r>
          <m:t>a</m:t>
        </m:r>
        <m:r>
          <m:t>t</m:t>
        </m:r>
        <m:r>
          <m:t>t</m:t>
        </m:r>
        <m:r>
          <m:t>e</m:t>
        </m:r>
        <m:r>
          <m:t>i</m:t>
        </m:r>
        <m:r>
          <m:t>n</m:t>
        </m:r>
        <m:r>
          <m:t>t</m:t>
        </m:r>
        <m:r>
          <m:rPr>
            <m:sty m:val="p"/>
          </m:rPr>
          <m:t>*</m:t>
        </m:r>
        <m:r>
          <m:rPr>
            <m:sty m:val="p"/>
          </m:rPr>
          <m:t>*</m:t>
        </m:r>
        <m:r>
          <m:t>150</m:t>
        </m:r>
        <m:r>
          <m:t>m</m:t>
        </m:r>
        <m:r>
          <m:t>i</m:t>
        </m:r>
        <m:r>
          <m:t>l</m:t>
        </m:r>
        <m:r>
          <m:t>l</m:t>
        </m:r>
        <m:r>
          <m:t>i</m:t>
        </m:r>
        <m:r>
          <m:t>a</m:t>
        </m:r>
        <m:r>
          <m:t>r</m:t>
        </m:r>
        <m:r>
          <m:t>d</m:t>
        </m:r>
        <m:r>
          <m:t>s</m:t>
        </m:r>
        <m:r>
          <m:t>d</m:t>
        </m:r>
        <m:r>
          <m:t>e</m:t>
        </m:r>
        <m:r>
          <m:t>F</m:t>
        </m:r>
        <m:r>
          <m:t>C</m:t>
        </m:r>
        <m:r>
          <m:t>p</m:t>
        </m:r>
        <m:r>
          <m:t>a</m:t>
        </m:r>
        <m:r>
          <m:t>r</m:t>
        </m:r>
        <m:r>
          <m:t>a</m:t>
        </m:r>
        <m:r>
          <m:t>n</m:t>
        </m:r>
        <m:r>
          <m:rPr>
            <m:sty m:val="p"/>
          </m:rPr>
          <m:t>,</m:t>
        </m:r>
        <m:r>
          <m:t>s</m:t>
        </m:r>
        <m:r>
          <m:t>o</m:t>
        </m:r>
        <m:r>
          <m:t>i</m:t>
        </m:r>
        <m:r>
          <m:t>t</m:t>
        </m:r>
        <m:r>
          <m:rPr>
            <m:sty m:val="p"/>
          </m:rPr>
          <m:t>≈</m:t>
        </m:r>
        <m:r>
          <m:t>65</m:t>
        </m:r>
        <m:r>
          <m:t>M</m:t>
        </m:r>
      </m:oMath>
      <w:r>
        <w:t xml:space="preserve"> </w:t>
      </w:r>
      <w:r>
        <w:t xml:space="preserve">à conformité totale**, et ≈ 33 M$ à 50 % de conformité. Conversion au cours d’environ 2 300 CDF pour 1 USD (cours officiel de la Banque Centrale du Congo : 2 267,75 CDF le 22 septembre 2026). Le nombre de motos, le tarif et le taux de conformité doivent être établis par le recensement du pilote et par l’acte réglementaire, après concertation.</w:t>
      </w:r>
    </w:p>
    <w:bookmarkEnd w:id="118"/>
    <w:bookmarkStart w:id="119" w:name="déploiement"/>
    <w:p>
      <w:pPr>
        <w:pStyle w:val="Heading3"/>
      </w:pPr>
      <w:r>
        <w:t xml:space="preserve">Déploiement</w:t>
      </w:r>
    </w:p>
    <w:p>
      <w:pPr>
        <w:pStyle w:val="Compact"/>
        <w:numPr>
          <w:ilvl w:val="0"/>
          <w:numId w:val="1027"/>
        </w:numPr>
      </w:pPr>
      <w:r>
        <w:t xml:space="preserve">Concertation avec les coopératives et associations de wewa, la police de circulation et les communes.</w:t>
      </w:r>
    </w:p>
    <w:p>
      <w:pPr>
        <w:pStyle w:val="Compact"/>
        <w:numPr>
          <w:ilvl w:val="0"/>
          <w:numId w:val="1027"/>
        </w:numPr>
      </w:pPr>
      <w:r>
        <w:t xml:space="preserve">Recensement par stations et par coopératives ; campagne d’enregistrement gratuite ; remise du gilet et de l’autocollant.</w:t>
      </w:r>
    </w:p>
    <w:p>
      <w:pPr>
        <w:pStyle w:val="Compact"/>
        <w:numPr>
          <w:ilvl w:val="0"/>
          <w:numId w:val="1027"/>
        </w:numPr>
      </w:pPr>
      <w:r>
        <w:t xml:space="preserve">Période de grâce avec contrôles pédagogiques, sans pénalité.</w:t>
      </w:r>
    </w:p>
    <w:p>
      <w:pPr>
        <w:pStyle w:val="Compact"/>
        <w:numPr>
          <w:ilvl w:val="0"/>
          <w:numId w:val="1027"/>
        </w:numPr>
      </w:pPr>
      <w:r>
        <w:t xml:space="preserve">Ouverture des paiements et des contrôles dans les communes pilotes.</w:t>
      </w:r>
    </w:p>
    <w:p>
      <w:pPr>
        <w:pStyle w:val="Compact"/>
        <w:numPr>
          <w:ilvl w:val="0"/>
          <w:numId w:val="1027"/>
        </w:numPr>
      </w:pPr>
      <w:r>
        <w:t xml:space="preserve">Extension commune par commune.</w:t>
      </w:r>
    </w:p>
    <w:bookmarkEnd w:id="119"/>
    <w:bookmarkStart w:id="120" w:name="cadre-juridique"/>
    <w:p>
      <w:pPr>
        <w:pStyle w:val="Heading3"/>
      </w:pPr>
      <w:r>
        <w:t xml:space="preserve">Cadre juridique</w:t>
      </w:r>
    </w:p>
    <w:p>
      <w:pPr>
        <w:pStyle w:val="FirstParagraph"/>
      </w:pPr>
      <w:r>
        <w:t xml:space="preserve">Base légale et tarif du pass (taxe journalière des transports, autorisation de transport ou droit équivalent) ; articulation avec la vignette, l’autorisation de transport et les prélèvements communaux, pour éviter toute double imposition ; statut des gilets et autocollants ; rôle des coopératives ; pouvoirs de contrôle (Annexe B, point 29).</w:t>
      </w:r>
    </w:p>
    <w:p>
      <w:pPr>
        <w:pStyle w:val="BodyText"/>
      </w:pPr>
      <w:r>
        <w:rPr>
          <w:b/>
          <w:bCs/>
        </w:rPr>
        <w:t xml:space="preserve">Critères d’acceptation.</w:t>
      </w:r>
      <w:r>
        <w:t xml:space="preserve"> </w:t>
      </w:r>
      <w:r>
        <w:rPr>
          <w:b/>
          <w:bCs/>
        </w:rPr>
        <w:t xml:space="preserve">Étant donné</w:t>
      </w:r>
      <w:r>
        <w:t xml:space="preserve"> </w:t>
      </w:r>
      <w:r>
        <w:t xml:space="preserve">une moto dont le pass est en vert,</w:t>
      </w:r>
      <w:r>
        <w:t xml:space="preserve"> </w:t>
      </w:r>
      <w:r>
        <w:rPr>
          <w:b/>
          <w:bCs/>
        </w:rPr>
        <w:t xml:space="preserve">lorsqu’</w:t>
      </w:r>
      <w:r>
        <w:t xml:space="preserve">un contrôleur scanne le gilet,</w:t>
      </w:r>
      <w:r>
        <w:t xml:space="preserve"> </w:t>
      </w:r>
      <w:r>
        <w:rPr>
          <w:b/>
          <w:bCs/>
        </w:rPr>
        <w:t xml:space="preserve">alors</w:t>
      </w:r>
      <w:r>
        <w:t xml:space="preserve"> </w:t>
      </w:r>
      <w:r>
        <w:t xml:space="preserve">le statut, le conducteur vérifié et la validité s’affichent, le contrôle est journalisé et aucun paiement n’est demandé.</w:t>
      </w:r>
      <w:r>
        <w:t xml:space="preserve"> </w:t>
      </w:r>
      <w:r>
        <w:rPr>
          <w:b/>
          <w:bCs/>
        </w:rPr>
        <w:t xml:space="preserve">Étant donné</w:t>
      </w:r>
      <w:r>
        <w:t xml:space="preserve"> </w:t>
      </w:r>
      <w:r>
        <w:t xml:space="preserve">une coopérative,</w:t>
      </w:r>
      <w:r>
        <w:t xml:space="preserve"> </w:t>
      </w:r>
      <w:r>
        <w:rPr>
          <w:b/>
          <w:bCs/>
        </w:rPr>
        <w:t xml:space="preserve">lorsqu’</w:t>
      </w:r>
      <w:r>
        <w:t xml:space="preserve">elle paie les pass de ses membres,</w:t>
      </w:r>
      <w:r>
        <w:t xml:space="preserve"> </w:t>
      </w:r>
      <w:r>
        <w:rPr>
          <w:b/>
          <w:bCs/>
        </w:rPr>
        <w:t xml:space="preserve">alors</w:t>
      </w:r>
      <w:r>
        <w:t xml:space="preserve"> </w:t>
      </w:r>
      <w:r>
        <w:t xml:space="preserve">chaque pass est activé individuellement, lié à sa plaque et à son conducteur, avec quittance.</w:t>
      </w:r>
    </w:p>
    <w:bookmarkEnd w:id="120"/>
    <w:bookmarkEnd w:id="121"/>
    <w:bookmarkEnd w:id="122"/>
    <w:bookmarkStart w:id="129" w:name="rôles-et-matrice-dhabilitations"/>
    <w:p>
      <w:pPr>
        <w:pStyle w:val="Heading1"/>
      </w:pPr>
      <w:r>
        <w:t xml:space="preserve">12. Rôles et matrice d'habilitations</w:t>
      </w:r>
    </w:p>
    <w:p>
      <w:pPr>
        <w:pStyle w:val="FirstParagraph"/>
      </w:pPr>
      <w:r>
        <w:t xml:space="preserve">Le modèle combine des rôles (fonction) et des attributs (territoire,</w:t>
      </w:r>
      <w:r>
        <w:t xml:space="preserve"> </w:t>
      </w:r>
      <w:r>
        <w:t xml:space="preserve">période, dossier, appareil, sensibilité). Toute action financière</w:t>
      </w:r>
      <w:r>
        <w:t xml:space="preserve"> </w:t>
      </w:r>
      <w:r>
        <w:t xml:space="preserve">sensible exige une double validation par deux personnes distinctes, une</w:t>
      </w:r>
      <w:r>
        <w:t xml:space="preserve"> </w:t>
      </w:r>
      <w:r>
        <w:t xml:space="preserve">authentification renforcée et une justification enregistrée.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143"/>
        <w:gridCol w:w="1863"/>
        <w:gridCol w:w="1863"/>
        <w:gridCol w:w="1863"/>
      </w:tblGrid>
      <w:tr>
        <w:trPr>
          <w:tblHeader w:val="true"/>
          <w:tblHeader/>
        </w:trPr>
        <w:tc>
          <w:tcPr>
            <w:shd w:val="clear" w:color="auto" w:fill="1BA996"/>
          </w:tcPr>
          <w:p>
            <w:pPr>
              <w:pStyle w:val="Compact"/>
              <w:spacing w:after="20" w:before="20" w:line="240" w:lineRule="auto"/>
              <w:jc w:val="left"/>
            </w:pPr>
            <w:r>
              <w:rPr>
                <w:b/>
                <w:bCs/>
                <w:color w:val="FFFFFF"/>
                <w:sz w:val="17"/>
              </w:rPr>
              <w:t xml:space="preserve">Rôle</w:t>
            </w:r>
          </w:p>
        </w:tc>
        <w:tc>
          <w:tcPr>
            <w:shd w:val="clear" w:color="auto" w:fill="1BA996"/>
          </w:tcPr>
          <w:p>
            <w:pPr>
              <w:pStyle w:val="Compact"/>
              <w:spacing w:after="20" w:before="20" w:line="240" w:lineRule="auto"/>
              <w:jc w:val="left"/>
            </w:pPr>
            <w:r>
              <w:rPr>
                <w:b/>
                <w:bCs/>
                <w:color w:val="FFFFFF"/>
                <w:sz w:val="17"/>
              </w:rPr>
              <w:t xml:space="preserve">Voit</w:t>
            </w:r>
          </w:p>
        </w:tc>
        <w:tc>
          <w:tcPr>
            <w:shd w:val="clear" w:color="auto" w:fill="1BA996"/>
          </w:tcPr>
          <w:p>
            <w:pPr>
              <w:pStyle w:val="Compact"/>
              <w:spacing w:after="20" w:before="20" w:line="240" w:lineRule="auto"/>
              <w:jc w:val="left"/>
            </w:pPr>
            <w:r>
              <w:rPr>
                <w:b/>
                <w:bCs/>
                <w:color w:val="FFFFFF"/>
                <w:sz w:val="17"/>
              </w:rPr>
              <w:t xml:space="preserve">Peut faire</w:t>
            </w:r>
          </w:p>
        </w:tc>
        <w:tc>
          <w:tcPr>
            <w:shd w:val="clear" w:color="auto" w:fill="1BA996"/>
          </w:tcPr>
          <w:p>
            <w:pPr>
              <w:pStyle w:val="Compact"/>
              <w:spacing w:after="20" w:before="20" w:line="240" w:lineRule="auto"/>
              <w:jc w:val="left"/>
            </w:pPr>
            <w:r>
              <w:rPr>
                <w:b/>
                <w:bCs/>
                <w:color w:val="FFFFFF"/>
                <w:sz w:val="17"/>
              </w:rPr>
              <w:t xml:space="preserve">Ne peut jamais</w:t>
            </w:r>
          </w:p>
        </w:tc>
      </w:tr>
      <w:tr>
        <w:tc>
          <w:tcPr/>
          <w:p>
            <w:pPr>
              <w:pStyle w:val="Compact"/>
              <w:spacing w:after="20" w:before="20" w:line="240" w:lineRule="auto"/>
              <w:jc w:val="left"/>
            </w:pPr>
            <w:r>
              <w:rPr>
                <w:sz w:val="17"/>
              </w:rPr>
              <w:t xml:space="preserve">Gouverneur</w:t>
            </w:r>
          </w:p>
        </w:tc>
        <w:tc>
          <w:tcPr/>
          <w:p>
            <w:pPr>
              <w:pStyle w:val="Compact"/>
              <w:spacing w:after="20" w:before="20" w:line="240" w:lineRule="auto"/>
              <w:jc w:val="left"/>
            </w:pPr>
            <w:r>
              <w:rPr>
                <w:sz w:val="17"/>
              </w:rPr>
              <w:t xml:space="preserve">Vision consolidée :</w:t>
            </w:r>
            <w:r>
              <w:rPr>
                <w:sz w:val="17"/>
              </w:rPr>
              <w:t xml:space="preserve"> </w:t>
            </w:r>
            <w:r>
              <w:rPr>
                <w:sz w:val="17"/>
              </w:rPr>
              <w:t xml:space="preserve">recettes,</w:t>
            </w:r>
            <w:r>
              <w:rPr>
                <w:sz w:val="17"/>
              </w:rPr>
              <w:t xml:space="preserve"> </w:t>
            </w:r>
            <w:r>
              <w:rPr>
                <w:sz w:val="17"/>
              </w:rPr>
              <w:t xml:space="preserve">performance,</w:t>
            </w:r>
            <w:r>
              <w:rPr>
                <w:sz w:val="17"/>
              </w:rPr>
              <w:t xml:space="preserve"> </w:t>
            </w:r>
            <w:r>
              <w:rPr>
                <w:sz w:val="17"/>
              </w:rPr>
              <w:t xml:space="preserve">risques,</w:t>
            </w:r>
            <w:r>
              <w:rPr>
                <w:sz w:val="17"/>
              </w:rPr>
              <w:t xml:space="preserve"> </w:t>
            </w:r>
            <w:r>
              <w:rPr>
                <w:sz w:val="17"/>
              </w:rPr>
              <w:t xml:space="preserve">couverture,</w:t>
            </w:r>
            <w:r>
              <w:rPr>
                <w:sz w:val="17"/>
              </w:rPr>
              <w:t xml:space="preserve"> </w:t>
            </w:r>
            <w:r>
              <w:rPr>
                <w:sz w:val="17"/>
              </w:rPr>
              <w:t xml:space="preserve">prévisions,</w:t>
            </w:r>
            <w:r>
              <w:rPr>
                <w:sz w:val="17"/>
              </w:rPr>
              <w:t xml:space="preserve"> </w:t>
            </w:r>
            <w:r>
              <w:rPr>
                <w:sz w:val="17"/>
              </w:rPr>
              <w:t xml:space="preserve">capacité</w:t>
            </w:r>
            <w:r>
              <w:rPr>
                <w:sz w:val="17"/>
              </w:rPr>
              <w:t xml:space="preserve"> </w:t>
            </w:r>
            <w:r>
              <w:rPr>
                <w:sz w:val="17"/>
              </w:rPr>
              <w:t xml:space="preserve">d'affectation</w:t>
            </w:r>
          </w:p>
        </w:tc>
        <w:tc>
          <w:tcPr/>
          <w:p>
            <w:pPr>
              <w:pStyle w:val="Compact"/>
              <w:spacing w:after="20" w:before="20" w:line="240" w:lineRule="auto"/>
              <w:jc w:val="left"/>
            </w:pPr>
            <w:r>
              <w:rPr>
                <w:sz w:val="17"/>
              </w:rPr>
              <w:t xml:space="preserve">Demander des</w:t>
            </w:r>
            <w:r>
              <w:rPr>
                <w:sz w:val="17"/>
              </w:rPr>
              <w:t xml:space="preserve"> </w:t>
            </w:r>
            <w:r>
              <w:rPr>
                <w:sz w:val="17"/>
              </w:rPr>
              <w:t xml:space="preserve">enquêtes, arbitrer</w:t>
            </w:r>
            <w:r>
              <w:rPr>
                <w:sz w:val="17"/>
              </w:rPr>
              <w:t xml:space="preserve"> </w:t>
            </w:r>
            <w:r>
              <w:rPr>
                <w:sz w:val="17"/>
              </w:rPr>
              <w:t xml:space="preserve">des priorités selon</w:t>
            </w:r>
            <w:r>
              <w:rPr>
                <w:sz w:val="17"/>
              </w:rPr>
              <w:t xml:space="preserve"> </w:t>
            </w:r>
            <w:r>
              <w:rPr>
                <w:sz w:val="17"/>
              </w:rPr>
              <w:t xml:space="preserve">ses pouvoirs,</w:t>
            </w:r>
            <w:r>
              <w:rPr>
                <w:sz w:val="17"/>
              </w:rPr>
              <w:t xml:space="preserve"> </w:t>
            </w:r>
            <w:r>
              <w:rPr>
                <w:sz w:val="17"/>
              </w:rPr>
              <w:t xml:space="preserve">valider des</w:t>
            </w:r>
            <w:r>
              <w:rPr>
                <w:sz w:val="17"/>
              </w:rPr>
              <w:t xml:space="preserve"> </w:t>
            </w:r>
            <w:r>
              <w:rPr>
                <w:sz w:val="17"/>
              </w:rPr>
              <w:t xml:space="preserve">orientations</w:t>
            </w:r>
          </w:p>
        </w:tc>
        <w:tc>
          <w:tcPr/>
          <w:p>
            <w:pPr>
              <w:pStyle w:val="Compact"/>
              <w:spacing w:after="20" w:before="20" w:line="240" w:lineRule="auto"/>
              <w:jc w:val="left"/>
            </w:pPr>
            <w:r>
              <w:rPr>
                <w:sz w:val="17"/>
              </w:rPr>
              <w:t xml:space="preserve">Supprimer une</w:t>
            </w:r>
            <w:r>
              <w:rPr>
                <w:sz w:val="17"/>
              </w:rPr>
              <w:t xml:space="preserve"> </w:t>
            </w:r>
            <w:r>
              <w:rPr>
                <w:sz w:val="17"/>
              </w:rPr>
              <w:t xml:space="preserve">transaction,</w:t>
            </w:r>
            <w:r>
              <w:rPr>
                <w:sz w:val="17"/>
              </w:rPr>
              <w:t xml:space="preserve"> </w:t>
            </w:r>
            <w:r>
              <w:rPr>
                <w:sz w:val="17"/>
              </w:rPr>
              <w:t xml:space="preserve">réécrire une</w:t>
            </w:r>
            <w:r>
              <w:rPr>
                <w:sz w:val="17"/>
              </w:rPr>
              <w:t xml:space="preserve"> </w:t>
            </w:r>
            <w:r>
              <w:rPr>
                <w:sz w:val="17"/>
              </w:rPr>
              <w:t xml:space="preserve">quittance, changer</w:t>
            </w:r>
            <w:r>
              <w:rPr>
                <w:sz w:val="17"/>
              </w:rPr>
              <w:t xml:space="preserve"> </w:t>
            </w:r>
            <w:r>
              <w:rPr>
                <w:sz w:val="17"/>
              </w:rPr>
              <w:t xml:space="preserve">un compte</w:t>
            </w:r>
            <w:r>
              <w:rPr>
                <w:sz w:val="17"/>
              </w:rPr>
              <w:t xml:space="preserve"> </w:t>
            </w:r>
            <w:r>
              <w:rPr>
                <w:sz w:val="17"/>
              </w:rPr>
              <w:t xml:space="preserve">bénéficiaire,</w:t>
            </w:r>
            <w:r>
              <w:rPr>
                <w:sz w:val="17"/>
              </w:rPr>
              <w:t xml:space="preserve"> </w:t>
            </w:r>
            <w:r>
              <w:rPr>
                <w:sz w:val="17"/>
              </w:rPr>
              <w:t xml:space="preserve">modifier le journal</w:t>
            </w:r>
            <w:r>
              <w:rPr>
                <w:sz w:val="17"/>
              </w:rPr>
              <w:t xml:space="preserve"> </w:t>
            </w:r>
            <w:r>
              <w:rPr>
                <w:sz w:val="17"/>
              </w:rPr>
              <w:t xml:space="preserve">d'audit</w:t>
            </w:r>
          </w:p>
        </w:tc>
      </w:tr>
      <w:tr>
        <w:tc>
          <w:tcPr>
            <w:shd w:val="clear" w:color="auto" w:fill="F2F9F8"/>
          </w:tcPr>
          <w:p>
            <w:pPr>
              <w:pStyle w:val="Compact"/>
              <w:spacing w:after="20" w:before="20" w:line="240" w:lineRule="auto"/>
              <w:jc w:val="left"/>
            </w:pPr>
            <w:r>
              <w:rPr>
                <w:sz w:val="17"/>
              </w:rPr>
              <w:t xml:space="preserve">Directeur de cabinet</w:t>
            </w:r>
            <w:r>
              <w:rPr>
                <w:sz w:val="17"/>
              </w:rPr>
              <w:t xml:space="preserve"> </w:t>
            </w:r>
            <w:r>
              <w:rPr>
                <w:sz w:val="17"/>
              </w:rPr>
              <w:t xml:space="preserve">du Gouverneur</w:t>
            </w:r>
          </w:p>
        </w:tc>
        <w:tc>
          <w:tcPr>
            <w:shd w:val="clear" w:color="auto" w:fill="F2F9F8"/>
          </w:tcPr>
          <w:p>
            <w:pPr>
              <w:pStyle w:val="Compact"/>
              <w:spacing w:after="20" w:before="20" w:line="240" w:lineRule="auto"/>
              <w:jc w:val="left"/>
            </w:pPr>
            <w:r>
              <w:rPr>
                <w:sz w:val="17"/>
              </w:rPr>
              <w:t xml:space="preserve">Vue de coordination</w:t>
            </w:r>
            <w:r>
              <w:rPr>
                <w:sz w:val="17"/>
              </w:rPr>
              <w:t xml:space="preserve"> </w:t>
            </w:r>
            <w:r>
              <w:rPr>
                <w:sz w:val="17"/>
              </w:rPr>
              <w:t xml:space="preserve">déléguée, par</w:t>
            </w:r>
            <w:r>
              <w:rPr>
                <w:sz w:val="17"/>
              </w:rPr>
              <w:t xml:space="preserve"> </w:t>
            </w:r>
            <w:r>
              <w:rPr>
                <w:sz w:val="17"/>
              </w:rPr>
              <w:t xml:space="preserve">finalité</w:t>
            </w:r>
          </w:p>
        </w:tc>
        <w:tc>
          <w:tcPr>
            <w:shd w:val="clear" w:color="auto" w:fill="F2F9F8"/>
          </w:tcPr>
          <w:p>
            <w:pPr>
              <w:pStyle w:val="Compact"/>
              <w:spacing w:after="20" w:before="20" w:line="240" w:lineRule="auto"/>
              <w:jc w:val="left"/>
            </w:pPr>
            <w:r>
              <w:rPr>
                <w:sz w:val="17"/>
              </w:rPr>
              <w:t xml:space="preserve">Suivre</w:t>
            </w:r>
            <w:r>
              <w:rPr>
                <w:sz w:val="17"/>
              </w:rPr>
              <w:t xml:space="preserve"> </w:t>
            </w:r>
            <w:r>
              <w:rPr>
                <w:sz w:val="17"/>
              </w:rPr>
              <w:t xml:space="preserve">l'exécution,</w:t>
            </w:r>
            <w:r>
              <w:rPr>
                <w:sz w:val="17"/>
              </w:rPr>
              <w:t xml:space="preserve"> </w:t>
            </w:r>
            <w:r>
              <w:rPr>
                <w:sz w:val="17"/>
              </w:rPr>
              <w:t xml:space="preserve">coordonner les</w:t>
            </w:r>
            <w:r>
              <w:rPr>
                <w:sz w:val="17"/>
              </w:rPr>
              <w:t xml:space="preserve"> </w:t>
            </w:r>
            <w:r>
              <w:rPr>
                <w:sz w:val="17"/>
              </w:rPr>
              <w:t xml:space="preserve">services</w:t>
            </w:r>
          </w:p>
        </w:tc>
        <w:tc>
          <w:tcPr>
            <w:shd w:val="clear" w:color="auto" w:fill="F2F9F8"/>
          </w:tcPr>
          <w:p>
            <w:pPr>
              <w:pStyle w:val="Compact"/>
              <w:spacing w:after="20" w:before="20" w:line="240" w:lineRule="auto"/>
              <w:jc w:val="left"/>
            </w:pPr>
            <w:r>
              <w:rPr>
                <w:sz w:val="17"/>
              </w:rPr>
              <w:t xml:space="preserve">Accéder aux</w:t>
            </w:r>
            <w:r>
              <w:rPr>
                <w:sz w:val="17"/>
              </w:rPr>
              <w:t xml:space="preserve"> </w:t>
            </w:r>
            <w:r>
              <w:rPr>
                <w:sz w:val="17"/>
              </w:rPr>
              <w:t xml:space="preserve">dossiers</w:t>
            </w:r>
            <w:r>
              <w:rPr>
                <w:sz w:val="17"/>
              </w:rPr>
              <w:t xml:space="preserve"> </w:t>
            </w:r>
            <w:r>
              <w:rPr>
                <w:sz w:val="17"/>
              </w:rPr>
              <w:t xml:space="preserve">individuels sans</w:t>
            </w:r>
            <w:r>
              <w:rPr>
                <w:sz w:val="17"/>
              </w:rPr>
              <w:t xml:space="preserve"> </w:t>
            </w:r>
            <w:r>
              <w:rPr>
                <w:sz w:val="17"/>
              </w:rPr>
              <w:t xml:space="preserve">finalité</w:t>
            </w:r>
            <w:r>
              <w:rPr>
                <w:sz w:val="17"/>
              </w:rPr>
              <w:t xml:space="preserve"> </w:t>
            </w:r>
            <w:r>
              <w:rPr>
                <w:sz w:val="17"/>
              </w:rPr>
              <w:t xml:space="preserve">enregistrée</w:t>
            </w:r>
          </w:p>
        </w:tc>
      </w:tr>
      <w:tr>
        <w:tc>
          <w:tcPr/>
          <w:p>
            <w:pPr>
              <w:pStyle w:val="Compact"/>
              <w:spacing w:after="20" w:before="20" w:line="240" w:lineRule="auto"/>
              <w:jc w:val="left"/>
            </w:pPr>
            <w:r>
              <w:rPr>
                <w:sz w:val="17"/>
              </w:rPr>
              <w:t xml:space="preserve">Secrétaire du</w:t>
            </w:r>
            <w:r>
              <w:rPr>
                <w:sz w:val="17"/>
              </w:rPr>
              <w:t xml:space="preserve"> </w:t>
            </w:r>
            <w:r>
              <w:rPr>
                <w:sz w:val="17"/>
              </w:rPr>
              <w:t xml:space="preserve">Gouvernement</w:t>
            </w:r>
            <w:r>
              <w:rPr>
                <w:sz w:val="17"/>
              </w:rPr>
              <w:t xml:space="preserve"> </w:t>
            </w:r>
            <w:r>
              <w:rPr>
                <w:sz w:val="17"/>
              </w:rPr>
              <w:t xml:space="preserve">provincial</w:t>
            </w:r>
          </w:p>
        </w:tc>
        <w:tc>
          <w:tcPr/>
          <w:p>
            <w:pPr>
              <w:pStyle w:val="Compact"/>
              <w:spacing w:after="20" w:before="20" w:line="240" w:lineRule="auto"/>
              <w:jc w:val="left"/>
            </w:pPr>
            <w:r>
              <w:rPr>
                <w:sz w:val="17"/>
              </w:rPr>
              <w:t xml:space="preserve">Décisions, dossiers</w:t>
            </w:r>
            <w:r>
              <w:rPr>
                <w:sz w:val="17"/>
              </w:rPr>
              <w:t xml:space="preserve"> </w:t>
            </w:r>
            <w:r>
              <w:rPr>
                <w:sz w:val="17"/>
              </w:rPr>
              <w:t xml:space="preserve">institutionnels,</w:t>
            </w:r>
            <w:r>
              <w:rPr>
                <w:sz w:val="17"/>
              </w:rPr>
              <w:t xml:space="preserve"> </w:t>
            </w:r>
            <w:r>
              <w:rPr>
                <w:sz w:val="17"/>
              </w:rPr>
              <w:t xml:space="preserve">suivi de mise en</w:t>
            </w:r>
            <w:r>
              <w:rPr>
                <w:sz w:val="17"/>
              </w:rPr>
              <w:t xml:space="preserve"> </w:t>
            </w:r>
            <w:r>
              <w:rPr>
                <w:sz w:val="17"/>
              </w:rPr>
              <w:t xml:space="preserve">œuvre</w:t>
            </w:r>
          </w:p>
        </w:tc>
        <w:tc>
          <w:tcPr/>
          <w:p>
            <w:pPr>
              <w:pStyle w:val="Compact"/>
              <w:spacing w:after="20" w:before="20" w:line="240" w:lineRule="auto"/>
              <w:jc w:val="left"/>
            </w:pPr>
            <w:r>
              <w:rPr>
                <w:sz w:val="17"/>
              </w:rPr>
              <w:t xml:space="preserve">Coordonner,</w:t>
            </w:r>
            <w:r>
              <w:rPr>
                <w:sz w:val="17"/>
              </w:rPr>
              <w:t xml:space="preserve"> </w:t>
            </w:r>
            <w:r>
              <w:rPr>
                <w:sz w:val="17"/>
              </w:rPr>
              <w:t xml:space="preserve">documenter,</w:t>
            </w:r>
            <w:r>
              <w:rPr>
                <w:sz w:val="17"/>
              </w:rPr>
              <w:t xml:space="preserve"> </w:t>
            </w:r>
            <w:r>
              <w:rPr>
                <w:sz w:val="17"/>
              </w:rPr>
              <w:t xml:space="preserve">notifier</w:t>
            </w:r>
          </w:p>
        </w:tc>
        <w:tc>
          <w:tcPr/>
          <w:p>
            <w:pPr>
              <w:pStyle w:val="Compact"/>
              <w:spacing w:after="20" w:before="20" w:line="240" w:lineRule="auto"/>
              <w:jc w:val="left"/>
            </w:pPr>
            <w:r>
              <w:rPr>
                <w:sz w:val="17"/>
              </w:rPr>
              <w:t xml:space="preserve">Agir sur les</w:t>
            </w:r>
            <w:r>
              <w:rPr>
                <w:sz w:val="17"/>
              </w:rPr>
              <w:t xml:space="preserve"> </w:t>
            </w:r>
            <w:r>
              <w:rPr>
                <w:sz w:val="17"/>
              </w:rPr>
              <w:t xml:space="preserve">obligations ou les</w:t>
            </w:r>
            <w:r>
              <w:rPr>
                <w:sz w:val="17"/>
              </w:rPr>
              <w:t xml:space="preserve"> </w:t>
            </w:r>
            <w:r>
              <w:rPr>
                <w:sz w:val="17"/>
              </w:rPr>
              <w:t xml:space="preserve">paiements</w:t>
            </w:r>
          </w:p>
        </w:tc>
      </w:tr>
      <w:tr>
        <w:tc>
          <w:tcPr>
            <w:shd w:val="clear" w:color="auto" w:fill="F2F9F8"/>
          </w:tcPr>
          <w:p>
            <w:pPr>
              <w:pStyle w:val="Compact"/>
              <w:spacing w:after="20" w:before="20" w:line="240" w:lineRule="auto"/>
              <w:jc w:val="left"/>
            </w:pPr>
            <w:r>
              <w:rPr>
                <w:sz w:val="17"/>
              </w:rPr>
              <w:t xml:space="preserve">Ministre provincial</w:t>
            </w:r>
          </w:p>
        </w:tc>
        <w:tc>
          <w:tcPr>
            <w:shd w:val="clear" w:color="auto" w:fill="F2F9F8"/>
          </w:tcPr>
          <w:p>
            <w:pPr>
              <w:pStyle w:val="Compact"/>
              <w:spacing w:after="20" w:before="20" w:line="240" w:lineRule="auto"/>
              <w:jc w:val="left"/>
            </w:pPr>
            <w:r>
              <w:rPr>
                <w:sz w:val="17"/>
              </w:rPr>
              <w:t xml:space="preserve">Périmètre légal de</w:t>
            </w:r>
            <w:r>
              <w:rPr>
                <w:sz w:val="17"/>
              </w:rPr>
              <w:t xml:space="preserve"> </w:t>
            </w:r>
            <w:r>
              <w:rPr>
                <w:sz w:val="17"/>
              </w:rPr>
              <w:t xml:space="preserve">son ministère</w:t>
            </w:r>
            <w:r>
              <w:rPr>
                <w:sz w:val="17"/>
              </w:rPr>
              <w:t xml:space="preserve"> </w:t>
            </w:r>
            <w:r>
              <w:rPr>
                <w:sz w:val="17"/>
              </w:rPr>
              <w:t xml:space="preserve">uniquement</w:t>
            </w:r>
          </w:p>
        </w:tc>
        <w:tc>
          <w:tcPr>
            <w:shd w:val="clear" w:color="auto" w:fill="F2F9F8"/>
          </w:tcPr>
          <w:p>
            <w:pPr>
              <w:pStyle w:val="Compact"/>
              <w:spacing w:after="20" w:before="20" w:line="240" w:lineRule="auto"/>
              <w:jc w:val="left"/>
            </w:pPr>
            <w:r>
              <w:rPr>
                <w:sz w:val="17"/>
              </w:rPr>
              <w:t xml:space="preserve">Piloter ses</w:t>
            </w:r>
            <w:r>
              <w:rPr>
                <w:sz w:val="17"/>
              </w:rPr>
              <w:t xml:space="preserve"> </w:t>
            </w:r>
            <w:r>
              <w:rPr>
                <w:sz w:val="17"/>
              </w:rPr>
              <w:t xml:space="preserve">services, valider</w:t>
            </w:r>
            <w:r>
              <w:rPr>
                <w:sz w:val="17"/>
              </w:rPr>
              <w:t xml:space="preserve"> </w:t>
            </w:r>
            <w:r>
              <w:rPr>
                <w:sz w:val="17"/>
              </w:rPr>
              <w:t xml:space="preserve">ses actes</w:t>
            </w:r>
          </w:p>
        </w:tc>
        <w:tc>
          <w:tcPr>
            <w:shd w:val="clear" w:color="auto" w:fill="F2F9F8"/>
          </w:tcPr>
          <w:p>
            <w:pPr>
              <w:pStyle w:val="Compact"/>
              <w:spacing w:after="20" w:before="20" w:line="240" w:lineRule="auto"/>
              <w:jc w:val="left"/>
            </w:pPr>
            <w:r>
              <w:rPr>
                <w:sz w:val="17"/>
              </w:rPr>
              <w:t xml:space="preserve">Consulter des</w:t>
            </w:r>
            <w:r>
              <w:rPr>
                <w:sz w:val="17"/>
              </w:rPr>
              <w:t xml:space="preserve"> </w:t>
            </w:r>
            <w:r>
              <w:rPr>
                <w:sz w:val="17"/>
              </w:rPr>
              <w:t xml:space="preserve">données fiscales</w:t>
            </w:r>
            <w:r>
              <w:rPr>
                <w:sz w:val="17"/>
              </w:rPr>
              <w:t xml:space="preserve"> </w:t>
            </w:r>
            <w:r>
              <w:rPr>
                <w:sz w:val="17"/>
              </w:rPr>
              <w:t xml:space="preserve">étrangères à sa</w:t>
            </w:r>
            <w:r>
              <w:rPr>
                <w:sz w:val="17"/>
              </w:rPr>
              <w:t xml:space="preserve"> </w:t>
            </w:r>
            <w:r>
              <w:rPr>
                <w:sz w:val="17"/>
              </w:rPr>
              <w:t xml:space="preserve">compétence</w:t>
            </w:r>
          </w:p>
        </w:tc>
      </w:tr>
      <w:tr>
        <w:tc>
          <w:tcPr/>
          <w:p>
            <w:pPr>
              <w:pStyle w:val="Compact"/>
              <w:spacing w:after="20" w:before="20" w:line="240" w:lineRule="auto"/>
              <w:jc w:val="left"/>
            </w:pPr>
            <w:r>
              <w:rPr>
                <w:sz w:val="17"/>
              </w:rPr>
              <w:t xml:space="preserve">Direction de la régie</w:t>
            </w:r>
            <w:r>
              <w:rPr>
                <w:sz w:val="17"/>
              </w:rPr>
              <w:t xml:space="preserve"> </w:t>
            </w:r>
            <w:r>
              <w:rPr>
                <w:sz w:val="17"/>
              </w:rPr>
              <w:t xml:space="preserve">fiscale</w:t>
            </w:r>
          </w:p>
        </w:tc>
        <w:tc>
          <w:tcPr/>
          <w:p>
            <w:pPr>
              <w:pStyle w:val="Compact"/>
              <w:spacing w:after="20" w:before="20" w:line="240" w:lineRule="auto"/>
              <w:jc w:val="left"/>
            </w:pPr>
            <w:r>
              <w:rPr>
                <w:sz w:val="17"/>
              </w:rPr>
              <w:t xml:space="preserve">Assiette,</w:t>
            </w:r>
            <w:r>
              <w:rPr>
                <w:sz w:val="17"/>
              </w:rPr>
              <w:t xml:space="preserve"> </w:t>
            </w:r>
            <w:r>
              <w:rPr>
                <w:sz w:val="17"/>
              </w:rPr>
              <w:t xml:space="preserve">liquidation,</w:t>
            </w:r>
            <w:r>
              <w:rPr>
                <w:sz w:val="17"/>
              </w:rPr>
              <w:t xml:space="preserve"> </w:t>
            </w:r>
            <w:r>
              <w:rPr>
                <w:sz w:val="17"/>
              </w:rPr>
              <w:t xml:space="preserve">contentieux,</w:t>
            </w:r>
            <w:r>
              <w:rPr>
                <w:sz w:val="17"/>
              </w:rPr>
              <w:t xml:space="preserve"> </w:t>
            </w:r>
            <w:r>
              <w:rPr>
                <w:sz w:val="17"/>
              </w:rPr>
              <w:t xml:space="preserve">recouvrement</w:t>
            </w:r>
          </w:p>
        </w:tc>
        <w:tc>
          <w:tcPr/>
          <w:p>
            <w:pPr>
              <w:pStyle w:val="Compact"/>
              <w:spacing w:after="20" w:before="20" w:line="240" w:lineRule="auto"/>
              <w:jc w:val="left"/>
            </w:pPr>
            <w:r>
              <w:rPr>
                <w:sz w:val="17"/>
              </w:rPr>
              <w:t xml:space="preserve">Diriger les</w:t>
            </w:r>
            <w:r>
              <w:rPr>
                <w:sz w:val="17"/>
              </w:rPr>
              <w:t xml:space="preserve"> </w:t>
            </w:r>
            <w:r>
              <w:rPr>
                <w:sz w:val="17"/>
              </w:rPr>
              <w:t xml:space="preserve">opérations, valider</w:t>
            </w:r>
            <w:r>
              <w:rPr>
                <w:sz w:val="17"/>
              </w:rPr>
              <w:t xml:space="preserve"> </w:t>
            </w:r>
            <w:r>
              <w:rPr>
                <w:sz w:val="17"/>
              </w:rPr>
              <w:t xml:space="preserve">les campagnes</w:t>
            </w:r>
          </w:p>
        </w:tc>
        <w:tc>
          <w:tcPr/>
          <w:p>
            <w:pPr>
              <w:pStyle w:val="Compact"/>
              <w:spacing w:after="20" w:before="20" w:line="240" w:lineRule="auto"/>
              <w:jc w:val="left"/>
            </w:pPr>
            <w:r>
              <w:rPr>
                <w:sz w:val="17"/>
              </w:rPr>
              <w:t xml:space="preserve">Modifier seule une</w:t>
            </w:r>
            <w:r>
              <w:rPr>
                <w:sz w:val="17"/>
              </w:rPr>
              <w:t xml:space="preserve"> </w:t>
            </w:r>
            <w:r>
              <w:rPr>
                <w:sz w:val="17"/>
              </w:rPr>
              <w:t xml:space="preserve">règle ou un compte</w:t>
            </w:r>
            <w:r>
              <w:rPr>
                <w:sz w:val="17"/>
              </w:rPr>
              <w:t xml:space="preserve"> </w:t>
            </w:r>
            <w:r>
              <w:rPr>
                <w:sz w:val="17"/>
              </w:rPr>
              <w:t xml:space="preserve">bénéficiaire</w:t>
            </w:r>
          </w:p>
        </w:tc>
      </w:tr>
      <w:tr>
        <w:tc>
          <w:tcPr>
            <w:shd w:val="clear" w:color="auto" w:fill="F2F9F8"/>
          </w:tcPr>
          <w:p>
            <w:pPr>
              <w:pStyle w:val="Compact"/>
              <w:spacing w:after="20" w:before="20" w:line="240" w:lineRule="auto"/>
              <w:jc w:val="left"/>
            </w:pPr>
            <w:r>
              <w:rPr>
                <w:sz w:val="17"/>
              </w:rPr>
              <w:t xml:space="preserve">Direction de la régie</w:t>
            </w:r>
            <w:r>
              <w:rPr>
                <w:sz w:val="17"/>
              </w:rPr>
              <w:t xml:space="preserve"> </w:t>
            </w:r>
            <w:r>
              <w:rPr>
                <w:sz w:val="17"/>
              </w:rPr>
              <w:t xml:space="preserve">des taxes</w:t>
            </w:r>
          </w:p>
        </w:tc>
        <w:tc>
          <w:tcPr>
            <w:shd w:val="clear" w:color="auto" w:fill="F2F9F8"/>
          </w:tcPr>
          <w:p>
            <w:pPr>
              <w:pStyle w:val="Compact"/>
              <w:spacing w:after="20" w:before="20" w:line="240" w:lineRule="auto"/>
              <w:jc w:val="left"/>
            </w:pPr>
            <w:r>
              <w:rPr>
                <w:sz w:val="17"/>
              </w:rPr>
              <w:t xml:space="preserve">Droits, taxes et</w:t>
            </w:r>
            <w:r>
              <w:rPr>
                <w:sz w:val="17"/>
              </w:rPr>
              <w:t xml:space="preserve"> </w:t>
            </w:r>
            <w:r>
              <w:rPr>
                <w:sz w:val="17"/>
              </w:rPr>
              <w:t xml:space="preserve">redevances urbaines</w:t>
            </w:r>
          </w:p>
        </w:tc>
        <w:tc>
          <w:tcPr>
            <w:shd w:val="clear" w:color="auto" w:fill="F2F9F8"/>
          </w:tcPr>
          <w:p>
            <w:pPr>
              <w:pStyle w:val="Compact"/>
              <w:spacing w:after="20" w:before="20" w:line="240" w:lineRule="auto"/>
              <w:jc w:val="left"/>
            </w:pPr>
            <w:r>
              <w:rPr>
                <w:sz w:val="17"/>
              </w:rPr>
              <w:t xml:space="preserve">Ordonnancer et</w:t>
            </w:r>
            <w:r>
              <w:rPr>
                <w:sz w:val="17"/>
              </w:rPr>
              <w:t xml:space="preserve"> </w:t>
            </w:r>
            <w:r>
              <w:rPr>
                <w:sz w:val="17"/>
              </w:rPr>
              <w:t xml:space="preserve">suivre la</w:t>
            </w:r>
            <w:r>
              <w:rPr>
                <w:sz w:val="17"/>
              </w:rPr>
              <w:t xml:space="preserve"> </w:t>
            </w:r>
            <w:r>
              <w:rPr>
                <w:sz w:val="17"/>
              </w:rPr>
              <w:t xml:space="preserve">perception</w:t>
            </w:r>
          </w:p>
        </w:tc>
        <w:tc>
          <w:tcPr>
            <w:shd w:val="clear" w:color="auto" w:fill="F2F9F8"/>
          </w:tcPr>
          <w:p>
            <w:pPr>
              <w:pStyle w:val="Compact"/>
              <w:spacing w:after="20" w:before="20" w:line="240" w:lineRule="auto"/>
              <w:jc w:val="left"/>
            </w:pPr>
            <w:r>
              <w:rPr>
                <w:sz w:val="17"/>
              </w:rPr>
              <w:t xml:space="preserve">Créer une recette</w:t>
            </w:r>
            <w:r>
              <w:rPr>
                <w:sz w:val="17"/>
              </w:rPr>
              <w:t xml:space="preserve"> </w:t>
            </w:r>
            <w:r>
              <w:rPr>
                <w:sz w:val="17"/>
              </w:rPr>
              <w:t xml:space="preserve">non prévue au</w:t>
            </w:r>
            <w:r>
              <w:rPr>
                <w:sz w:val="17"/>
              </w:rPr>
              <w:t xml:space="preserve"> </w:t>
            </w:r>
            <w:r>
              <w:rPr>
                <w:sz w:val="17"/>
              </w:rPr>
              <w:t xml:space="preserve">référentiel</w:t>
            </w:r>
          </w:p>
        </w:tc>
      </w:tr>
      <w:tr>
        <w:tc>
          <w:tcPr/>
          <w:p>
            <w:pPr>
              <w:pStyle w:val="Compact"/>
              <w:spacing w:after="20" w:before="20" w:line="240" w:lineRule="auto"/>
              <w:jc w:val="left"/>
            </w:pPr>
            <w:r>
              <w:rPr>
                <w:sz w:val="17"/>
              </w:rPr>
              <w:t xml:space="preserve">Super-administrateur</w:t>
            </w:r>
            <w:r>
              <w:rPr>
                <w:sz w:val="17"/>
              </w:rPr>
              <w:t xml:space="preserve"> </w:t>
            </w:r>
            <w:r>
              <w:rPr>
                <w:sz w:val="17"/>
              </w:rPr>
              <w:t xml:space="preserve">de la plateforme</w:t>
            </w:r>
          </w:p>
        </w:tc>
        <w:tc>
          <w:tcPr/>
          <w:p>
            <w:pPr>
              <w:pStyle w:val="Compact"/>
              <w:spacing w:after="20" w:before="20" w:line="240" w:lineRule="auto"/>
              <w:jc w:val="left"/>
            </w:pPr>
            <w:r>
              <w:rPr>
                <w:sz w:val="17"/>
              </w:rPr>
              <w:t xml:space="preserve">Configuration</w:t>
            </w:r>
            <w:r>
              <w:rPr>
                <w:sz w:val="17"/>
              </w:rPr>
              <w:t xml:space="preserve"> </w:t>
            </w:r>
            <w:r>
              <w:rPr>
                <w:sz w:val="17"/>
              </w:rPr>
              <w:t xml:space="preserve">technique,</w:t>
            </w:r>
            <w:r>
              <w:rPr>
                <w:sz w:val="17"/>
              </w:rPr>
              <w:t xml:space="preserve"> </w:t>
            </w:r>
            <w:r>
              <w:rPr>
                <w:sz w:val="17"/>
              </w:rPr>
              <w:t xml:space="preserve">disponibilité,</w:t>
            </w:r>
            <w:r>
              <w:rPr>
                <w:sz w:val="17"/>
              </w:rPr>
              <w:t xml:space="preserve"> </w:t>
            </w:r>
            <w:r>
              <w:rPr>
                <w:sz w:val="17"/>
              </w:rPr>
              <w:t xml:space="preserve">sécurité,</w:t>
            </w:r>
            <w:r>
              <w:rPr>
                <w:sz w:val="17"/>
              </w:rPr>
              <w:t xml:space="preserve"> </w:t>
            </w:r>
            <w:r>
              <w:rPr>
                <w:sz w:val="17"/>
              </w:rPr>
              <w:t xml:space="preserve">intégrations</w:t>
            </w:r>
          </w:p>
        </w:tc>
        <w:tc>
          <w:tcPr/>
          <w:p>
            <w:pPr>
              <w:pStyle w:val="Compact"/>
              <w:spacing w:after="20" w:before="20" w:line="240" w:lineRule="auto"/>
              <w:jc w:val="left"/>
            </w:pPr>
            <w:r>
              <w:rPr>
                <w:sz w:val="17"/>
              </w:rPr>
              <w:t xml:space="preserve">Gérer</w:t>
            </w:r>
            <w:r>
              <w:rPr>
                <w:sz w:val="17"/>
              </w:rPr>
              <w:t xml:space="preserve"> </w:t>
            </w:r>
            <w:r>
              <w:rPr>
                <w:sz w:val="17"/>
              </w:rPr>
              <w:t xml:space="preserve">environnements,</w:t>
            </w:r>
            <w:r>
              <w:rPr>
                <w:sz w:val="17"/>
              </w:rPr>
              <w:t xml:space="preserve"> </w:t>
            </w:r>
            <w:r>
              <w:rPr>
                <w:sz w:val="17"/>
              </w:rPr>
              <w:t xml:space="preserve">versions, comptes</w:t>
            </w:r>
            <w:r>
              <w:rPr>
                <w:sz w:val="17"/>
              </w:rPr>
              <w:t xml:space="preserve"> </w:t>
            </w:r>
            <w:r>
              <w:rPr>
                <w:sz w:val="17"/>
              </w:rPr>
              <w:t xml:space="preserve">techniques</w:t>
            </w:r>
          </w:p>
        </w:tc>
        <w:tc>
          <w:tcPr/>
          <w:p>
            <w:pPr>
              <w:pStyle w:val="Compact"/>
              <w:spacing w:after="20" w:before="20" w:line="240" w:lineRule="auto"/>
              <w:jc w:val="left"/>
            </w:pPr>
            <w:r>
              <w:rPr>
                <w:sz w:val="17"/>
              </w:rPr>
              <w:t xml:space="preserve">Modifier une dette,</w:t>
            </w:r>
            <w:r>
              <w:rPr>
                <w:sz w:val="17"/>
              </w:rPr>
              <w:t xml:space="preserve"> </w:t>
            </w:r>
            <w:r>
              <w:rPr>
                <w:sz w:val="17"/>
              </w:rPr>
              <w:t xml:space="preserve">un paiement, un</w:t>
            </w:r>
            <w:r>
              <w:rPr>
                <w:sz w:val="17"/>
              </w:rPr>
              <w:t xml:space="preserve"> </w:t>
            </w:r>
            <w:r>
              <w:rPr>
                <w:sz w:val="17"/>
              </w:rPr>
              <w:t xml:space="preserve">bénéficiaire, une</w:t>
            </w:r>
            <w:r>
              <w:rPr>
                <w:sz w:val="17"/>
              </w:rPr>
              <w:t xml:space="preserve"> </w:t>
            </w:r>
            <w:r>
              <w:rPr>
                <w:sz w:val="17"/>
              </w:rPr>
              <w:t xml:space="preserve">quittance ou un</w:t>
            </w:r>
            <w:r>
              <w:rPr>
                <w:sz w:val="17"/>
              </w:rPr>
              <w:t xml:space="preserve"> </w:t>
            </w:r>
            <w:r>
              <w:rPr>
                <w:sz w:val="17"/>
              </w:rPr>
              <w:t xml:space="preserve">journal d'audit</w:t>
            </w:r>
          </w:p>
        </w:tc>
      </w:tr>
      <w:tr>
        <w:tc>
          <w:tcPr>
            <w:shd w:val="clear" w:color="auto" w:fill="F2F9F8"/>
          </w:tcPr>
          <w:p>
            <w:pPr>
              <w:pStyle w:val="Compact"/>
              <w:spacing w:after="20" w:before="20" w:line="240" w:lineRule="auto"/>
              <w:jc w:val="left"/>
            </w:pPr>
            <w:r>
              <w:rPr>
                <w:sz w:val="17"/>
              </w:rPr>
              <w:t xml:space="preserve">Administrateur</w:t>
            </w:r>
            <w:r>
              <w:rPr>
                <w:sz w:val="17"/>
              </w:rPr>
              <w:t xml:space="preserve"> </w:t>
            </w:r>
            <w:r>
              <w:rPr>
                <w:sz w:val="17"/>
              </w:rPr>
              <w:t xml:space="preserve">ministériel ou</w:t>
            </w:r>
            <w:r>
              <w:rPr>
                <w:sz w:val="17"/>
              </w:rPr>
              <w:t xml:space="preserve"> </w:t>
            </w:r>
            <w:r>
              <w:rPr>
                <w:sz w:val="17"/>
              </w:rPr>
              <w:t xml:space="preserve">départemental</w:t>
            </w:r>
          </w:p>
        </w:tc>
        <w:tc>
          <w:tcPr>
            <w:shd w:val="clear" w:color="auto" w:fill="F2F9F8"/>
          </w:tcPr>
          <w:p>
            <w:pPr>
              <w:pStyle w:val="Compact"/>
              <w:spacing w:after="20" w:before="20" w:line="240" w:lineRule="auto"/>
              <w:jc w:val="left"/>
            </w:pPr>
            <w:r>
              <w:rPr>
                <w:sz w:val="17"/>
              </w:rPr>
              <w:t xml:space="preserve">Personnel,</w:t>
            </w:r>
            <w:r>
              <w:rPr>
                <w:sz w:val="17"/>
              </w:rPr>
              <w:t xml:space="preserve"> </w:t>
            </w:r>
            <w:r>
              <w:rPr>
                <w:sz w:val="17"/>
              </w:rPr>
              <w:t xml:space="preserve">affectations, flux</w:t>
            </w:r>
            <w:r>
              <w:rPr>
                <w:sz w:val="17"/>
              </w:rPr>
              <w:t xml:space="preserve"> </w:t>
            </w:r>
            <w:r>
              <w:rPr>
                <w:sz w:val="17"/>
              </w:rPr>
              <w:t xml:space="preserve">approuvés de son</w:t>
            </w:r>
            <w:r>
              <w:rPr>
                <w:sz w:val="17"/>
              </w:rPr>
              <w:t xml:space="preserve"> </w:t>
            </w:r>
            <w:r>
              <w:rPr>
                <w:sz w:val="17"/>
              </w:rPr>
              <w:t xml:space="preserve">périmètre</w:t>
            </w:r>
          </w:p>
        </w:tc>
        <w:tc>
          <w:tcPr>
            <w:shd w:val="clear" w:color="auto" w:fill="F2F9F8"/>
          </w:tcPr>
          <w:p>
            <w:pPr>
              <w:pStyle w:val="Compact"/>
              <w:spacing w:after="20" w:before="20" w:line="240" w:lineRule="auto"/>
              <w:jc w:val="left"/>
            </w:pPr>
            <w:r>
              <w:rPr>
                <w:sz w:val="17"/>
              </w:rPr>
              <w:t xml:space="preserve">Affecter, habiliter</w:t>
            </w:r>
            <w:r>
              <w:rPr>
                <w:sz w:val="17"/>
              </w:rPr>
              <w:t xml:space="preserve"> </w:t>
            </w:r>
            <w:r>
              <w:rPr>
                <w:sz w:val="17"/>
              </w:rPr>
              <w:t xml:space="preserve">temporairement</w:t>
            </w:r>
          </w:p>
        </w:tc>
        <w:tc>
          <w:tcPr>
            <w:shd w:val="clear" w:color="auto" w:fill="F2F9F8"/>
          </w:tcPr>
          <w:p>
            <w:pPr>
              <w:pStyle w:val="Compact"/>
              <w:spacing w:after="20" w:before="20" w:line="240" w:lineRule="auto"/>
              <w:jc w:val="left"/>
            </w:pPr>
            <w:r>
              <w:rPr>
                <w:sz w:val="17"/>
              </w:rPr>
              <w:t xml:space="preserve">Élargir son propre</w:t>
            </w:r>
            <w:r>
              <w:rPr>
                <w:sz w:val="17"/>
              </w:rPr>
              <w:t xml:space="preserve"> </w:t>
            </w:r>
            <w:r>
              <w:rPr>
                <w:sz w:val="17"/>
              </w:rPr>
              <w:t xml:space="preserve">périmètre</w:t>
            </w:r>
          </w:p>
        </w:tc>
      </w:tr>
      <w:tr>
        <w:tc>
          <w:tcPr/>
          <w:p>
            <w:pPr>
              <w:pStyle w:val="Compact"/>
              <w:spacing w:after="20" w:before="20" w:line="240" w:lineRule="auto"/>
              <w:jc w:val="left"/>
            </w:pPr>
            <w:r>
              <w:rPr>
                <w:sz w:val="17"/>
              </w:rPr>
              <w:t xml:space="preserve">Finances et trésorerie</w:t>
            </w:r>
          </w:p>
        </w:tc>
        <w:tc>
          <w:tcPr/>
          <w:p>
            <w:pPr>
              <w:pStyle w:val="Compact"/>
              <w:spacing w:after="20" w:before="20" w:line="240" w:lineRule="auto"/>
              <w:jc w:val="left"/>
            </w:pPr>
            <w:r>
              <w:rPr>
                <w:sz w:val="17"/>
              </w:rPr>
              <w:t xml:space="preserve">Règlements,</w:t>
            </w:r>
            <w:r>
              <w:rPr>
                <w:sz w:val="17"/>
              </w:rPr>
              <w:t xml:space="preserve"> </w:t>
            </w:r>
            <w:r>
              <w:rPr>
                <w:sz w:val="17"/>
              </w:rPr>
              <w:t xml:space="preserve">rapprochements,</w:t>
            </w:r>
            <w:r>
              <w:rPr>
                <w:sz w:val="17"/>
              </w:rPr>
              <w:t xml:space="preserve"> </w:t>
            </w:r>
            <w:r>
              <w:rPr>
                <w:sz w:val="17"/>
              </w:rPr>
              <w:t xml:space="preserve">exceptions</w:t>
            </w:r>
            <w:r>
              <w:rPr>
                <w:sz w:val="17"/>
              </w:rPr>
              <w:t xml:space="preserve"> </w:t>
            </w:r>
            <w:r>
              <w:rPr>
                <w:sz w:val="17"/>
              </w:rPr>
              <w:t xml:space="preserve">comptables</w:t>
            </w:r>
          </w:p>
        </w:tc>
        <w:tc>
          <w:tcPr/>
          <w:p>
            <w:pPr>
              <w:pStyle w:val="Compact"/>
              <w:spacing w:after="20" w:before="20" w:line="240" w:lineRule="auto"/>
              <w:jc w:val="left"/>
            </w:pPr>
            <w:r>
              <w:rPr>
                <w:sz w:val="17"/>
              </w:rPr>
              <w:t xml:space="preserve">Imputer, justifier,</w:t>
            </w:r>
            <w:r>
              <w:rPr>
                <w:sz w:val="17"/>
              </w:rPr>
              <w:t xml:space="preserve"> </w:t>
            </w:r>
            <w:r>
              <w:rPr>
                <w:sz w:val="17"/>
              </w:rPr>
              <w:t xml:space="preserve">clôturer des écarts</w:t>
            </w:r>
          </w:p>
        </w:tc>
        <w:tc>
          <w:tcPr/>
          <w:p>
            <w:pPr>
              <w:pStyle w:val="Compact"/>
              <w:spacing w:after="20" w:before="20" w:line="240" w:lineRule="auto"/>
              <w:jc w:val="left"/>
            </w:pPr>
            <w:r>
              <w:rPr>
                <w:sz w:val="17"/>
              </w:rPr>
              <w:t xml:space="preserve">Créer l'obligation</w:t>
            </w:r>
            <w:r>
              <w:rPr>
                <w:sz w:val="17"/>
              </w:rPr>
              <w:t xml:space="preserve"> </w:t>
            </w:r>
            <w:r>
              <w:rPr>
                <w:sz w:val="17"/>
              </w:rPr>
              <w:t xml:space="preserve">sous-jacente</w:t>
            </w:r>
          </w:p>
        </w:tc>
      </w:tr>
      <w:tr>
        <w:tc>
          <w:tcPr>
            <w:shd w:val="clear" w:color="auto" w:fill="F2F9F8"/>
          </w:tcPr>
          <w:p>
            <w:pPr>
              <w:pStyle w:val="Compact"/>
              <w:spacing w:after="20" w:before="20" w:line="240" w:lineRule="auto"/>
              <w:jc w:val="left"/>
            </w:pPr>
            <w:r>
              <w:rPr>
                <w:sz w:val="17"/>
              </w:rPr>
              <w:t xml:space="preserve">Juriste et</w:t>
            </w:r>
            <w:r>
              <w:rPr>
                <w:sz w:val="17"/>
              </w:rPr>
              <w:t xml:space="preserve"> </w:t>
            </w:r>
            <w:r>
              <w:rPr>
                <w:sz w:val="17"/>
              </w:rPr>
              <w:t xml:space="preserve">tarificateur</w:t>
            </w:r>
          </w:p>
        </w:tc>
        <w:tc>
          <w:tcPr>
            <w:shd w:val="clear" w:color="auto" w:fill="F2F9F8"/>
          </w:tcPr>
          <w:p>
            <w:pPr>
              <w:pStyle w:val="Compact"/>
              <w:spacing w:after="20" w:before="20" w:line="240" w:lineRule="auto"/>
              <w:jc w:val="left"/>
            </w:pPr>
            <w:r>
              <w:rPr>
                <w:sz w:val="17"/>
              </w:rPr>
              <w:t xml:space="preserve">Fiches de recettes</w:t>
            </w:r>
            <w:r>
              <w:rPr>
                <w:sz w:val="17"/>
              </w:rPr>
              <w:t xml:space="preserve"> </w:t>
            </w:r>
            <w:r>
              <w:rPr>
                <w:sz w:val="17"/>
              </w:rPr>
              <w:t xml:space="preserve">et versions</w:t>
            </w:r>
          </w:p>
        </w:tc>
        <w:tc>
          <w:tcPr>
            <w:shd w:val="clear" w:color="auto" w:fill="F2F9F8"/>
          </w:tcPr>
          <w:p>
            <w:pPr>
              <w:pStyle w:val="Compact"/>
              <w:spacing w:after="20" w:before="20" w:line="240" w:lineRule="auto"/>
              <w:jc w:val="left"/>
            </w:pPr>
            <w:r>
              <w:rPr>
                <w:sz w:val="17"/>
              </w:rPr>
              <w:t xml:space="preserve">Rédiger et proposer</w:t>
            </w:r>
            <w:r>
              <w:rPr>
                <w:sz w:val="17"/>
              </w:rPr>
              <w:t xml:space="preserve"> </w:t>
            </w:r>
            <w:r>
              <w:rPr>
                <w:sz w:val="17"/>
              </w:rPr>
              <w:t xml:space="preserve">une règle</w:t>
            </w:r>
          </w:p>
        </w:tc>
        <w:tc>
          <w:tcPr>
            <w:shd w:val="clear" w:color="auto" w:fill="F2F9F8"/>
          </w:tcPr>
          <w:p>
            <w:pPr>
              <w:pStyle w:val="Compact"/>
              <w:spacing w:after="20" w:before="20" w:line="240" w:lineRule="auto"/>
              <w:jc w:val="left"/>
            </w:pPr>
            <w:r>
              <w:rPr>
                <w:sz w:val="17"/>
              </w:rPr>
              <w:t xml:space="preserve">Créer, valider et</w:t>
            </w:r>
            <w:r>
              <w:rPr>
                <w:sz w:val="17"/>
              </w:rPr>
              <w:t xml:space="preserve"> </w:t>
            </w:r>
            <w:r>
              <w:rPr>
                <w:sz w:val="17"/>
              </w:rPr>
              <w:t xml:space="preserve">publier seul la</w:t>
            </w:r>
            <w:r>
              <w:rPr>
                <w:sz w:val="17"/>
              </w:rPr>
              <w:t xml:space="preserve"> </w:t>
            </w:r>
            <w:r>
              <w:rPr>
                <w:sz w:val="17"/>
              </w:rPr>
              <w:t xml:space="preserve">même règle</w:t>
            </w:r>
          </w:p>
        </w:tc>
      </w:tr>
      <w:tr>
        <w:tc>
          <w:tcPr/>
          <w:p>
            <w:pPr>
              <w:pStyle w:val="Compact"/>
              <w:spacing w:after="20" w:before="20" w:line="240" w:lineRule="auto"/>
              <w:jc w:val="left"/>
            </w:pPr>
            <w:r>
              <w:rPr>
                <w:sz w:val="17"/>
              </w:rPr>
              <w:t xml:space="preserve">Auditeur</w:t>
            </w:r>
          </w:p>
        </w:tc>
        <w:tc>
          <w:tcPr/>
          <w:p>
            <w:pPr>
              <w:pStyle w:val="Compact"/>
              <w:spacing w:after="20" w:before="20" w:line="240" w:lineRule="auto"/>
              <w:jc w:val="left"/>
            </w:pPr>
            <w:r>
              <w:rPr>
                <w:sz w:val="17"/>
              </w:rPr>
              <w:t xml:space="preserve">Accès complet en</w:t>
            </w:r>
            <w:r>
              <w:rPr>
                <w:sz w:val="17"/>
              </w:rPr>
              <w:t xml:space="preserve"> </w:t>
            </w:r>
            <w:r>
              <w:rPr>
                <w:sz w:val="17"/>
              </w:rPr>
              <w:t xml:space="preserve">lecture aux preuves</w:t>
            </w:r>
          </w:p>
        </w:tc>
        <w:tc>
          <w:tcPr/>
          <w:p>
            <w:pPr>
              <w:pStyle w:val="Compact"/>
              <w:spacing w:after="20" w:before="20" w:line="240" w:lineRule="auto"/>
              <w:jc w:val="left"/>
            </w:pPr>
            <w:r>
              <w:rPr>
                <w:sz w:val="17"/>
              </w:rPr>
              <w:t xml:space="preserve">Extraire, tracer,</w:t>
            </w:r>
            <w:r>
              <w:rPr>
                <w:sz w:val="17"/>
              </w:rPr>
              <w:t xml:space="preserve"> </w:t>
            </w:r>
            <w:r>
              <w:rPr>
                <w:sz w:val="17"/>
              </w:rPr>
              <w:t xml:space="preserve">signaler</w:t>
            </w:r>
          </w:p>
        </w:tc>
        <w:tc>
          <w:tcPr/>
          <w:p>
            <w:pPr>
              <w:pStyle w:val="Compact"/>
              <w:spacing w:after="20" w:before="20" w:line="240" w:lineRule="auto"/>
              <w:jc w:val="left"/>
            </w:pPr>
            <w:r>
              <w:rPr>
                <w:sz w:val="17"/>
              </w:rPr>
              <w:t xml:space="preserve">Modifier une donnée</w:t>
            </w:r>
          </w:p>
        </w:tc>
      </w:tr>
      <w:tr>
        <w:tc>
          <w:tcPr>
            <w:shd w:val="clear" w:color="auto" w:fill="F2F9F8"/>
          </w:tcPr>
          <w:p>
            <w:pPr>
              <w:pStyle w:val="Compact"/>
              <w:spacing w:after="20" w:before="20" w:line="240" w:lineRule="auto"/>
              <w:jc w:val="left"/>
            </w:pPr>
            <w:r>
              <w:rPr>
                <w:sz w:val="17"/>
              </w:rPr>
              <w:t xml:space="preserve">Enquêteur anti-fraude</w:t>
            </w:r>
          </w:p>
        </w:tc>
        <w:tc>
          <w:tcPr>
            <w:shd w:val="clear" w:color="auto" w:fill="F2F9F8"/>
          </w:tcPr>
          <w:p>
            <w:pPr>
              <w:pStyle w:val="Compact"/>
              <w:spacing w:after="20" w:before="20" w:line="240" w:lineRule="auto"/>
              <w:jc w:val="left"/>
            </w:pPr>
            <w:r>
              <w:rPr>
                <w:sz w:val="17"/>
              </w:rPr>
              <w:t xml:space="preserve">Alertes, dossiers,</w:t>
            </w:r>
            <w:r>
              <w:rPr>
                <w:sz w:val="17"/>
              </w:rPr>
              <w:t xml:space="preserve"> </w:t>
            </w:r>
            <w:r>
              <w:rPr>
                <w:sz w:val="17"/>
              </w:rPr>
              <w:t xml:space="preserve">liens</w:t>
            </w:r>
          </w:p>
        </w:tc>
        <w:tc>
          <w:tcPr>
            <w:shd w:val="clear" w:color="auto" w:fill="F2F9F8"/>
          </w:tcPr>
          <w:p>
            <w:pPr>
              <w:pStyle w:val="Compact"/>
              <w:spacing w:after="20" w:before="20" w:line="240" w:lineRule="auto"/>
              <w:jc w:val="left"/>
            </w:pPr>
            <w:r>
              <w:rPr>
                <w:sz w:val="17"/>
              </w:rPr>
              <w:t xml:space="preserve">Instruire, demander</w:t>
            </w:r>
            <w:r>
              <w:rPr>
                <w:sz w:val="17"/>
              </w:rPr>
              <w:t xml:space="preserve"> </w:t>
            </w:r>
            <w:r>
              <w:rPr>
                <w:sz w:val="17"/>
              </w:rPr>
              <w:t xml:space="preserve">des pièces, saisir</w:t>
            </w:r>
            <w:r>
              <w:rPr>
                <w:sz w:val="17"/>
              </w:rPr>
              <w:t xml:space="preserve"> </w:t>
            </w:r>
            <w:r>
              <w:rPr>
                <w:sz w:val="17"/>
              </w:rPr>
              <w:t xml:space="preserve">l'autorité</w:t>
            </w:r>
          </w:p>
        </w:tc>
        <w:tc>
          <w:tcPr>
            <w:shd w:val="clear" w:color="auto" w:fill="F2F9F8"/>
          </w:tcPr>
          <w:p>
            <w:pPr>
              <w:pStyle w:val="Compact"/>
              <w:spacing w:after="20" w:before="20" w:line="240" w:lineRule="auto"/>
              <w:jc w:val="left"/>
            </w:pPr>
            <w:r>
              <w:rPr>
                <w:sz w:val="17"/>
              </w:rPr>
              <w:t xml:space="preserve">Sanctionner sans</w:t>
            </w:r>
            <w:r>
              <w:rPr>
                <w:sz w:val="17"/>
              </w:rPr>
              <w:t xml:space="preserve"> </w:t>
            </w:r>
            <w:r>
              <w:rPr>
                <w:sz w:val="17"/>
              </w:rPr>
              <w:t xml:space="preserve">décision compétente</w:t>
            </w:r>
          </w:p>
        </w:tc>
      </w:tr>
      <w:tr>
        <w:tc>
          <w:tcPr/>
          <w:p>
            <w:pPr>
              <w:pStyle w:val="Compact"/>
              <w:spacing w:after="20" w:before="20" w:line="240" w:lineRule="auto"/>
              <w:jc w:val="left"/>
            </w:pPr>
            <w:r>
              <w:rPr>
                <w:sz w:val="17"/>
              </w:rPr>
              <w:t xml:space="preserve">Agent recenseur</w:t>
            </w:r>
          </w:p>
        </w:tc>
        <w:tc>
          <w:tcPr/>
          <w:p>
            <w:pPr>
              <w:pStyle w:val="Compact"/>
              <w:spacing w:after="20" w:before="20" w:line="240" w:lineRule="auto"/>
              <w:jc w:val="left"/>
            </w:pPr>
            <w:r>
              <w:rPr>
                <w:sz w:val="17"/>
              </w:rPr>
              <w:t xml:space="preserve">Zone et mission</w:t>
            </w:r>
            <w:r>
              <w:rPr>
                <w:sz w:val="17"/>
              </w:rPr>
              <w:t xml:space="preserve"> </w:t>
            </w:r>
            <w:r>
              <w:rPr>
                <w:sz w:val="17"/>
              </w:rPr>
              <w:t xml:space="preserve">assignées</w:t>
            </w:r>
          </w:p>
        </w:tc>
        <w:tc>
          <w:tcPr/>
          <w:p>
            <w:pPr>
              <w:pStyle w:val="Compact"/>
              <w:spacing w:after="20" w:before="20" w:line="240" w:lineRule="auto"/>
              <w:jc w:val="left"/>
            </w:pPr>
            <w:r>
              <w:rPr>
                <w:sz w:val="17"/>
              </w:rPr>
              <w:t xml:space="preserve">Créer un objet</w:t>
            </w:r>
            <w:r>
              <w:rPr>
                <w:sz w:val="17"/>
              </w:rPr>
              <w:t xml:space="preserve"> </w:t>
            </w:r>
            <w:r>
              <w:rPr>
                <w:sz w:val="17"/>
              </w:rPr>
              <w:t xml:space="preserve">provisoire,</w:t>
            </w:r>
            <w:r>
              <w:rPr>
                <w:sz w:val="17"/>
              </w:rPr>
              <w:t xml:space="preserve"> </w:t>
            </w:r>
            <w:r>
              <w:rPr>
                <w:sz w:val="17"/>
              </w:rPr>
              <w:t xml:space="preserve">photographier,</w:t>
            </w:r>
            <w:r>
              <w:rPr>
                <w:sz w:val="17"/>
              </w:rPr>
              <w:t xml:space="preserve"> </w:t>
            </w:r>
            <w:r>
              <w:rPr>
                <w:sz w:val="17"/>
              </w:rPr>
              <w:t xml:space="preserve">géolocaliser</w:t>
            </w:r>
          </w:p>
        </w:tc>
        <w:tc>
          <w:tcPr/>
          <w:p>
            <w:pPr>
              <w:pStyle w:val="Compact"/>
              <w:spacing w:after="20" w:before="20" w:line="240" w:lineRule="auto"/>
              <w:jc w:val="left"/>
            </w:pPr>
            <w:r>
              <w:rPr>
                <w:sz w:val="17"/>
              </w:rPr>
              <w:t xml:space="preserve">Encaisser, fixer</w:t>
            </w:r>
            <w:r>
              <w:rPr>
                <w:sz w:val="17"/>
              </w:rPr>
              <w:t xml:space="preserve"> </w:t>
            </w:r>
            <w:r>
              <w:rPr>
                <w:sz w:val="17"/>
              </w:rPr>
              <w:t xml:space="preserve">une dette,</w:t>
            </w:r>
            <w:r>
              <w:rPr>
                <w:sz w:val="17"/>
              </w:rPr>
              <w:t xml:space="preserve"> </w:t>
            </w:r>
            <w:r>
              <w:rPr>
                <w:sz w:val="17"/>
              </w:rPr>
              <w:t xml:space="preserve">déterminer la</w:t>
            </w:r>
            <w:r>
              <w:rPr>
                <w:sz w:val="17"/>
              </w:rPr>
              <w:t xml:space="preserve"> </w:t>
            </w:r>
            <w:r>
              <w:rPr>
                <w:sz w:val="17"/>
              </w:rPr>
              <w:t xml:space="preserve">propriété</w:t>
            </w:r>
          </w:p>
        </w:tc>
      </w:tr>
      <w:tr>
        <w:tc>
          <w:tcPr>
            <w:shd w:val="clear" w:color="auto" w:fill="F2F9F8"/>
          </w:tcPr>
          <w:p>
            <w:pPr>
              <w:pStyle w:val="Compact"/>
              <w:spacing w:after="20" w:before="20" w:line="240" w:lineRule="auto"/>
              <w:jc w:val="left"/>
            </w:pPr>
            <w:r>
              <w:rPr>
                <w:sz w:val="17"/>
              </w:rPr>
              <w:t xml:space="preserve">Agent de constat et</w:t>
            </w:r>
            <w:r>
              <w:rPr>
                <w:sz w:val="17"/>
              </w:rPr>
              <w:t xml:space="preserve"> </w:t>
            </w:r>
            <w:r>
              <w:rPr>
                <w:sz w:val="17"/>
              </w:rPr>
              <w:t xml:space="preserve">contrôleur</w:t>
            </w:r>
          </w:p>
        </w:tc>
        <w:tc>
          <w:tcPr>
            <w:shd w:val="clear" w:color="auto" w:fill="F2F9F8"/>
          </w:tcPr>
          <w:p>
            <w:pPr>
              <w:pStyle w:val="Compact"/>
              <w:spacing w:after="20" w:before="20" w:line="240" w:lineRule="auto"/>
              <w:jc w:val="left"/>
            </w:pPr>
            <w:r>
              <w:rPr>
                <w:sz w:val="17"/>
              </w:rPr>
              <w:t xml:space="preserve">Objets assignés,</w:t>
            </w:r>
            <w:r>
              <w:rPr>
                <w:sz w:val="17"/>
              </w:rPr>
              <w:t xml:space="preserve"> </w:t>
            </w:r>
            <w:r>
              <w:rPr>
                <w:sz w:val="17"/>
              </w:rPr>
              <w:t xml:space="preserve">statut minimal</w:t>
            </w:r>
            <w:r>
              <w:rPr>
                <w:sz w:val="17"/>
              </w:rPr>
              <w:t xml:space="preserve"> </w:t>
            </w:r>
            <w:r>
              <w:rPr>
                <w:sz w:val="17"/>
              </w:rPr>
              <w:t xml:space="preserve">nécessaire</w:t>
            </w:r>
          </w:p>
        </w:tc>
        <w:tc>
          <w:tcPr>
            <w:shd w:val="clear" w:color="auto" w:fill="F2F9F8"/>
          </w:tcPr>
          <w:p>
            <w:pPr>
              <w:pStyle w:val="Compact"/>
              <w:spacing w:after="20" w:before="20" w:line="240" w:lineRule="auto"/>
              <w:jc w:val="left"/>
            </w:pPr>
            <w:r>
              <w:rPr>
                <w:sz w:val="17"/>
              </w:rPr>
              <w:t xml:space="preserve">Constater,</w:t>
            </w:r>
            <w:r>
              <w:rPr>
                <w:sz w:val="17"/>
              </w:rPr>
              <w:t xml:space="preserve"> </w:t>
            </w:r>
            <w:r>
              <w:rPr>
                <w:sz w:val="17"/>
              </w:rPr>
              <w:t xml:space="preserve">notifier, dresser</w:t>
            </w:r>
            <w:r>
              <w:rPr>
                <w:sz w:val="17"/>
              </w:rPr>
              <w:t xml:space="preserve"> </w:t>
            </w:r>
            <w:r>
              <w:rPr>
                <w:sz w:val="17"/>
              </w:rPr>
              <w:t xml:space="preserve">procès-verbal selon</w:t>
            </w:r>
            <w:r>
              <w:rPr>
                <w:sz w:val="17"/>
              </w:rPr>
              <w:t xml:space="preserve"> </w:t>
            </w:r>
            <w:r>
              <w:rPr>
                <w:sz w:val="17"/>
              </w:rPr>
              <w:t xml:space="preserve">ses pouvoirs</w:t>
            </w:r>
          </w:p>
        </w:tc>
        <w:tc>
          <w:tcPr>
            <w:shd w:val="clear" w:color="auto" w:fill="F2F9F8"/>
          </w:tcPr>
          <w:p>
            <w:pPr>
              <w:pStyle w:val="Compact"/>
              <w:spacing w:after="20" w:before="20" w:line="240" w:lineRule="auto"/>
              <w:jc w:val="left"/>
            </w:pPr>
            <w:r>
              <w:rPr>
                <w:sz w:val="17"/>
              </w:rPr>
              <w:t xml:space="preserve">Encaisser des</w:t>
            </w:r>
            <w:r>
              <w:rPr>
                <w:sz w:val="17"/>
              </w:rPr>
              <w:t xml:space="preserve"> </w:t>
            </w:r>
            <w:r>
              <w:rPr>
                <w:sz w:val="17"/>
              </w:rPr>
              <w:t xml:space="preserve">espèces, annuler</w:t>
            </w:r>
            <w:r>
              <w:rPr>
                <w:sz w:val="17"/>
              </w:rPr>
              <w:t xml:space="preserve"> </w:t>
            </w:r>
            <w:r>
              <w:rPr>
                <w:sz w:val="17"/>
              </w:rPr>
              <w:t xml:space="preserve">une dette</w:t>
            </w:r>
          </w:p>
        </w:tc>
      </w:tr>
      <w:tr>
        <w:tc>
          <w:tcPr/>
          <w:p>
            <w:pPr>
              <w:pStyle w:val="Compact"/>
              <w:spacing w:after="20" w:before="20" w:line="240" w:lineRule="auto"/>
              <w:jc w:val="left"/>
            </w:pPr>
            <w:r>
              <w:rPr>
                <w:sz w:val="17"/>
              </w:rPr>
              <w:t xml:space="preserve">Contribuable</w:t>
            </w:r>
          </w:p>
        </w:tc>
        <w:tc>
          <w:tcPr/>
          <w:p>
            <w:pPr>
              <w:pStyle w:val="Compact"/>
              <w:spacing w:after="20" w:before="20" w:line="240" w:lineRule="auto"/>
              <w:jc w:val="left"/>
            </w:pPr>
            <w:r>
              <w:rPr>
                <w:sz w:val="17"/>
              </w:rPr>
              <w:t xml:space="preserve">Ses objets,</w:t>
            </w:r>
            <w:r>
              <w:rPr>
                <w:sz w:val="17"/>
              </w:rPr>
              <w:t xml:space="preserve"> </w:t>
            </w:r>
            <w:r>
              <w:rPr>
                <w:sz w:val="17"/>
              </w:rPr>
              <w:t xml:space="preserve">obligations,</w:t>
            </w:r>
            <w:r>
              <w:rPr>
                <w:sz w:val="17"/>
              </w:rPr>
              <w:t xml:space="preserve"> </w:t>
            </w:r>
            <w:r>
              <w:rPr>
                <w:sz w:val="17"/>
              </w:rPr>
              <w:t xml:space="preserve">paiements, recours</w:t>
            </w:r>
          </w:p>
        </w:tc>
        <w:tc>
          <w:tcPr/>
          <w:p>
            <w:pPr>
              <w:pStyle w:val="Compact"/>
              <w:spacing w:after="20" w:before="20" w:line="240" w:lineRule="auto"/>
              <w:jc w:val="left"/>
            </w:pPr>
            <w:r>
              <w:rPr>
                <w:sz w:val="17"/>
              </w:rPr>
              <w:t xml:space="preserve">Déclarer, payer,</w:t>
            </w:r>
            <w:r>
              <w:rPr>
                <w:sz w:val="17"/>
              </w:rPr>
              <w:t xml:space="preserve"> </w:t>
            </w:r>
            <w:r>
              <w:rPr>
                <w:sz w:val="17"/>
              </w:rPr>
              <w:t xml:space="preserve">contester, mandater</w:t>
            </w:r>
          </w:p>
        </w:tc>
        <w:tc>
          <w:tcPr/>
          <w:p>
            <w:pPr>
              <w:pStyle w:val="Compact"/>
              <w:spacing w:after="20" w:before="20" w:line="240" w:lineRule="auto"/>
              <w:jc w:val="left"/>
            </w:pPr>
            <w:r>
              <w:rPr>
                <w:sz w:val="17"/>
              </w:rPr>
              <w:t xml:space="preserve">Voir les données</w:t>
            </w:r>
            <w:r>
              <w:rPr>
                <w:sz w:val="17"/>
              </w:rPr>
              <w:t xml:space="preserve"> </w:t>
            </w:r>
            <w:r>
              <w:rPr>
                <w:sz w:val="17"/>
              </w:rPr>
              <w:t xml:space="preserve">d'un tiers</w:t>
            </w:r>
          </w:p>
        </w:tc>
      </w:tr>
      <w:tr>
        <w:tc>
          <w:tcPr>
            <w:shd w:val="clear" w:color="auto" w:fill="F2F9F8"/>
          </w:tcPr>
          <w:p>
            <w:pPr>
              <w:pStyle w:val="Compact"/>
              <w:spacing w:after="20" w:before="20" w:line="240" w:lineRule="auto"/>
              <w:jc w:val="left"/>
            </w:pPr>
            <w:r>
              <w:rPr>
                <w:sz w:val="17"/>
              </w:rPr>
              <w:t xml:space="preserve">Partenaire externe</w:t>
            </w:r>
          </w:p>
        </w:tc>
        <w:tc>
          <w:tcPr>
            <w:shd w:val="clear" w:color="auto" w:fill="F2F9F8"/>
          </w:tcPr>
          <w:p>
            <w:pPr>
              <w:pStyle w:val="Compact"/>
              <w:spacing w:after="20" w:before="20" w:line="240" w:lineRule="auto"/>
              <w:jc w:val="left"/>
            </w:pPr>
            <w:r>
              <w:rPr>
                <w:sz w:val="17"/>
              </w:rPr>
              <w:t xml:space="preserve">Strictement les</w:t>
            </w:r>
            <w:r>
              <w:rPr>
                <w:sz w:val="17"/>
              </w:rPr>
              <w:t xml:space="preserve"> </w:t>
            </w:r>
            <w:r>
              <w:rPr>
                <w:sz w:val="17"/>
              </w:rPr>
              <w:t xml:space="preserve">points d'API</w:t>
            </w:r>
            <w:r>
              <w:rPr>
                <w:sz w:val="17"/>
              </w:rPr>
              <w:t xml:space="preserve"> </w:t>
            </w:r>
            <w:r>
              <w:rPr>
                <w:sz w:val="17"/>
              </w:rPr>
              <w:t xml:space="preserve">contractés</w:t>
            </w:r>
          </w:p>
        </w:tc>
        <w:tc>
          <w:tcPr>
            <w:shd w:val="clear" w:color="auto" w:fill="F2F9F8"/>
          </w:tcPr>
          <w:p>
            <w:pPr>
              <w:pStyle w:val="Compact"/>
              <w:spacing w:after="20" w:before="20" w:line="240" w:lineRule="auto"/>
              <w:jc w:val="left"/>
            </w:pPr>
            <w:r>
              <w:rPr>
                <w:sz w:val="17"/>
              </w:rPr>
              <w:t xml:space="preserve">Confirmer un</w:t>
            </w:r>
            <w:r>
              <w:rPr>
                <w:sz w:val="17"/>
              </w:rPr>
              <w:t xml:space="preserve"> </w:t>
            </w:r>
            <w:r>
              <w:rPr>
                <w:sz w:val="17"/>
              </w:rPr>
              <w:t xml:space="preserve">paiement,</w:t>
            </w:r>
            <w:r>
              <w:rPr>
                <w:sz w:val="17"/>
              </w:rPr>
              <w:t xml:space="preserve"> </w:t>
            </w:r>
            <w:r>
              <w:rPr>
                <w:sz w:val="17"/>
              </w:rPr>
              <w:t xml:space="preserve">transmettre un jeu</w:t>
            </w:r>
            <w:r>
              <w:rPr>
                <w:sz w:val="17"/>
              </w:rPr>
              <w:t xml:space="preserve"> </w:t>
            </w:r>
            <w:r>
              <w:rPr>
                <w:sz w:val="17"/>
              </w:rPr>
              <w:t xml:space="preserve">de données convenu</w:t>
            </w:r>
          </w:p>
        </w:tc>
        <w:tc>
          <w:tcPr>
            <w:shd w:val="clear" w:color="auto" w:fill="F2F9F8"/>
          </w:tcPr>
          <w:p>
            <w:pPr>
              <w:pStyle w:val="Compact"/>
              <w:spacing w:after="20" w:before="20" w:line="240" w:lineRule="auto"/>
              <w:jc w:val="left"/>
            </w:pPr>
            <w:r>
              <w:rPr>
                <w:sz w:val="17"/>
              </w:rPr>
              <w:t xml:space="preserve">Interroger le</w:t>
            </w:r>
            <w:r>
              <w:rPr>
                <w:sz w:val="17"/>
              </w:rPr>
              <w:t xml:space="preserve"> </w:t>
            </w:r>
            <w:r>
              <w:rPr>
                <w:sz w:val="17"/>
              </w:rPr>
              <w:t xml:space="preserve">registre au-delà de</w:t>
            </w:r>
            <w:r>
              <w:rPr>
                <w:sz w:val="17"/>
              </w:rPr>
              <w:t xml:space="preserve"> </w:t>
            </w:r>
            <w:r>
              <w:rPr>
                <w:sz w:val="17"/>
              </w:rPr>
              <w:t xml:space="preserve">son objet</w:t>
            </w:r>
          </w:p>
        </w:tc>
      </w:tr>
    </w:tbl>
    <w:bookmarkStart w:id="123" w:name="modèle-dautorisation-rbac-abac"/>
    <w:p>
      <w:pPr>
        <w:pStyle w:val="Heading3"/>
      </w:pPr>
      <w:r>
        <w:t xml:space="preserve">Modèle d’autorisation RBAC + ABAC</w:t>
      </w:r>
    </w:p>
    <w:p>
      <w:pPr>
        <w:pStyle w:val="FirstParagraph"/>
      </w:pPr>
      <w:r>
        <w:t xml:space="preserve">Les rôles (RBAC) définissent les fonctions ; les attributs (ABAC) restreignent chaque accès selon : territoire, régie, type de recette, dossier, période et heure, appareil et confiance de l’appareil (device trust), niveau de sensibilité et conflit d’intérêts. S’y ajoutent l’accès juste-à-temps, la délégation temporaire avec expiration, l’authentification multifacteur, la gestion des accès privilégiés (PAM) et les revues périodiques. Deux rôles complètent la matrice : le Cabinet et le Secrétariat, qui pilotent selon leur mandat ; le partenaire, limité à une API minimale.</w:t>
      </w:r>
    </w:p>
    <w:bookmarkEnd w:id="123"/>
    <w:bookmarkStart w:id="124" w:name="contrôles-transverses"/>
    <w:p>
      <w:pPr>
        <w:pStyle w:val="Heading2"/>
      </w:pPr>
      <w:r>
        <w:t xml:space="preserve">12.1 Contrôles transverses</w:t>
      </w:r>
    </w:p>
    <w:p>
      <w:pPr>
        <w:numPr>
          <w:ilvl w:val="0"/>
          <w:numId w:val="1028"/>
        </w:numPr>
      </w:pPr>
      <w:r>
        <w:t xml:space="preserve">Moindre privilège et séparation des fonctions appliquées par</w:t>
      </w:r>
      <w:r>
        <w:t xml:space="preserve"> </w:t>
      </w:r>
      <w:r>
        <w:t xml:space="preserve">conception, non par consigne.</w:t>
      </w:r>
    </w:p>
    <w:p>
      <w:pPr>
        <w:numPr>
          <w:ilvl w:val="0"/>
          <w:numId w:val="1028"/>
        </w:numPr>
      </w:pPr>
      <w:r>
        <w:t xml:space="preserve">Double validation et quatre yeux pour : publication d'une règle,</w:t>
      </w:r>
      <w:r>
        <w:t xml:space="preserve"> </w:t>
      </w:r>
      <w:r>
        <w:t xml:space="preserve">changement de compte bénéficiaire, annulation, remboursement,</w:t>
      </w:r>
      <w:r>
        <w:t xml:space="preserve"> </w:t>
      </w:r>
      <w:r>
        <w:t xml:space="preserve">exonération, fusion d'identités, extraction massive.</w:t>
      </w:r>
    </w:p>
    <w:p>
      <w:pPr>
        <w:numPr>
          <w:ilvl w:val="0"/>
          <w:numId w:val="1028"/>
        </w:numPr>
      </w:pPr>
      <w:r>
        <w:t xml:space="preserve">Accès privilégié juste-à-temps : élévation temporaire, motivée,</w:t>
      </w:r>
      <w:r>
        <w:t xml:space="preserve"> </w:t>
      </w:r>
      <w:r>
        <w:t xml:space="preserve">tracée et expirant automatiquement.</w:t>
      </w:r>
    </w:p>
    <w:p>
      <w:pPr>
        <w:numPr>
          <w:ilvl w:val="0"/>
          <w:numId w:val="1028"/>
        </w:numPr>
      </w:pPr>
      <w:r>
        <w:t xml:space="preserve">Authentification multifacteur pour tout utilisateur interne ;</w:t>
      </w:r>
      <w:r>
        <w:t xml:space="preserve"> </w:t>
      </w:r>
      <w:r>
        <w:t xml:space="preserve">authentification résistante au hameçonnage pour les rôles sensibles.</w:t>
      </w:r>
    </w:p>
    <w:p>
      <w:pPr>
        <w:numPr>
          <w:ilvl w:val="0"/>
          <w:numId w:val="1028"/>
        </w:numPr>
      </w:pPr>
      <w:r>
        <w:t xml:space="preserve">Liaison appareil–utilisateur pour les agents terrain, avec</w:t>
      </w:r>
      <w:r>
        <w:t xml:space="preserve"> </w:t>
      </w:r>
      <w:r>
        <w:t xml:space="preserve">révocation à distance.</w:t>
      </w:r>
    </w:p>
    <w:p>
      <w:pPr>
        <w:numPr>
          <w:ilvl w:val="0"/>
          <w:numId w:val="1028"/>
        </w:numPr>
      </w:pPr>
      <w:r>
        <w:t xml:space="preserve">Revue trimestrielle des habilitations et détection automatique des</w:t>
      </w:r>
      <w:r>
        <w:t xml:space="preserve"> </w:t>
      </w:r>
      <w:r>
        <w:t xml:space="preserve">conflits d'intérêts.</w:t>
      </w:r>
    </w:p>
    <w:p>
      <w:pPr>
        <w:numPr>
          <w:ilvl w:val="0"/>
          <w:numId w:val="1028"/>
        </w:numPr>
      </w:pPr>
      <w:r>
        <w:t xml:space="preserve">Journalisation intégrale, y compris des simples consultations de</w:t>
      </w:r>
      <w:r>
        <w:t xml:space="preserve"> </w:t>
      </w:r>
      <w:r>
        <w:t xml:space="preserve">dossiers individuels.</w:t>
      </w:r>
    </w:p>
    <w:p>
      <w:pPr>
        <w:pStyle w:val="BlockText"/>
      </w:pPr>
      <w:r>
        <w:rPr>
          <w:b/>
          <w:bCs/>
        </w:rPr>
        <w:t xml:space="preserve">Principe non négociable.</w:t>
      </w:r>
      <w:r>
        <w:t xml:space="preserve"> </w:t>
      </w:r>
      <w:r>
        <w:t xml:space="preserve">Aucune personne, quel que soit son rang,</w:t>
      </w:r>
      <w:r>
        <w:t xml:space="preserve"> </w:t>
      </w:r>
      <w:r>
        <w:t xml:space="preserve">ne peut à elle seule modifier une information financière critique sans</w:t>
      </w:r>
      <w:r>
        <w:t xml:space="preserve"> </w:t>
      </w:r>
      <w:r>
        <w:t xml:space="preserve">que l'action soit détectable, attribuable et prouvable.</w:t>
      </w:r>
    </w:p>
    <w:bookmarkEnd w:id="124"/>
    <w:bookmarkStart w:id="125" w:name="X720e586c2135d7cd591ed465a69014ddd5b5f47"/>
    <w:p>
      <w:pPr>
        <w:pStyle w:val="Heading2"/>
      </w:pPr>
      <w:r>
        <w:t xml:space="preserve">12.2 Matrice synthétique Voir / Initier / Approuver / Interdit</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584"/>
        <w:gridCol w:w="1584"/>
        <w:gridCol w:w="1584"/>
        <w:gridCol w:w="1584"/>
        <w:gridCol w:w="1584"/>
      </w:tblGrid>
      <w:tr>
        <w:trPr>
          <w:tblHeader w:val="true"/>
          <w:tblHeader/>
        </w:trPr>
        <w:tc>
          <w:tcPr>
            <w:shd w:val="clear" w:color="auto" w:fill="1BA996"/>
          </w:tcPr>
          <w:p>
            <w:pPr>
              <w:pStyle w:val="Compact"/>
              <w:spacing w:after="20" w:before="20" w:line="240" w:lineRule="auto"/>
              <w:jc w:val="left"/>
            </w:pPr>
            <w:r>
              <w:rPr>
                <w:b/>
                <w:color w:val="FFFFFF"/>
                <w:sz w:val="17"/>
              </w:rPr>
              <w:t xml:space="preserve">Rôle</w:t>
            </w:r>
          </w:p>
        </w:tc>
        <w:tc>
          <w:tcPr>
            <w:shd w:val="clear" w:color="auto" w:fill="1BA996"/>
          </w:tcPr>
          <w:p>
            <w:pPr>
              <w:pStyle w:val="Compact"/>
              <w:spacing w:after="20" w:before="20" w:line="240" w:lineRule="auto"/>
              <w:jc w:val="left"/>
            </w:pPr>
            <w:r>
              <w:rPr>
                <w:b/>
                <w:color w:val="FFFFFF"/>
                <w:sz w:val="17"/>
              </w:rPr>
              <w:t xml:space="preserve">Voir</w:t>
            </w:r>
          </w:p>
        </w:tc>
        <w:tc>
          <w:tcPr>
            <w:shd w:val="clear" w:color="auto" w:fill="1BA996"/>
          </w:tcPr>
          <w:p>
            <w:pPr>
              <w:pStyle w:val="Compact"/>
              <w:spacing w:after="20" w:before="20" w:line="240" w:lineRule="auto"/>
              <w:jc w:val="left"/>
            </w:pPr>
            <w:r>
              <w:rPr>
                <w:b/>
                <w:color w:val="FFFFFF"/>
                <w:sz w:val="17"/>
              </w:rPr>
              <w:t xml:space="preserve">Créer ou initier</w:t>
            </w:r>
          </w:p>
        </w:tc>
        <w:tc>
          <w:tcPr>
            <w:shd w:val="clear" w:color="auto" w:fill="1BA996"/>
          </w:tcPr>
          <w:p>
            <w:pPr>
              <w:pStyle w:val="Compact"/>
              <w:spacing w:after="20" w:before="20" w:line="240" w:lineRule="auto"/>
              <w:jc w:val="left"/>
            </w:pPr>
            <w:r>
              <w:rPr>
                <w:b/>
                <w:color w:val="FFFFFF"/>
                <w:sz w:val="17"/>
              </w:rPr>
              <w:t xml:space="preserve">Approuver</w:t>
            </w:r>
          </w:p>
        </w:tc>
        <w:tc>
          <w:tcPr>
            <w:shd w:val="clear" w:color="auto" w:fill="1BA996"/>
          </w:tcPr>
          <w:p>
            <w:pPr>
              <w:pStyle w:val="Compact"/>
              <w:spacing w:after="20" w:before="20" w:line="240" w:lineRule="auto"/>
              <w:jc w:val="left"/>
            </w:pPr>
            <w:r>
              <w:rPr>
                <w:b/>
                <w:color w:val="FFFFFF"/>
                <w:sz w:val="17"/>
              </w:rPr>
              <w:t xml:space="preserve">Interdit</w:t>
            </w:r>
          </w:p>
        </w:tc>
      </w:tr>
      <w:tr>
        <w:tc>
          <w:tcPr/>
          <w:p>
            <w:pPr>
              <w:pStyle w:val="Compact"/>
              <w:spacing w:after="20" w:before="20" w:line="240" w:lineRule="auto"/>
              <w:jc w:val="left"/>
            </w:pPr>
            <w:r>
              <w:rPr>
                <w:sz w:val="17"/>
              </w:rPr>
              <w:t xml:space="preserve">Gouverneur</w:t>
            </w:r>
          </w:p>
        </w:tc>
        <w:tc>
          <w:tcPr/>
          <w:p>
            <w:pPr>
              <w:pStyle w:val="Compact"/>
              <w:spacing w:after="20" w:before="20" w:line="240" w:lineRule="auto"/>
              <w:jc w:val="left"/>
            </w:pPr>
            <w:r>
              <w:rPr>
                <w:sz w:val="17"/>
              </w:rPr>
              <w:t xml:space="preserve">Tableaux agrégés et consultation détaillée (drill-down) autorisée</w:t>
            </w:r>
          </w:p>
        </w:tc>
        <w:tc>
          <w:tcPr/>
          <w:p>
            <w:pPr>
              <w:pStyle w:val="Compact"/>
              <w:spacing w:after="20" w:before="20" w:line="240" w:lineRule="auto"/>
              <w:jc w:val="left"/>
            </w:pPr>
            <w:r>
              <w:rPr>
                <w:sz w:val="17"/>
              </w:rPr>
              <w:t xml:space="preserve">Décisions de programme</w:t>
            </w:r>
          </w:p>
        </w:tc>
        <w:tc>
          <w:tcPr/>
          <w:p>
            <w:pPr>
              <w:pStyle w:val="Compact"/>
              <w:spacing w:after="20" w:before="20" w:line="240" w:lineRule="auto"/>
              <w:jc w:val="left"/>
            </w:pPr>
            <w:r>
              <w:rPr>
                <w:sz w:val="17"/>
              </w:rPr>
              <w:t xml:space="preserve">Selon les actes de gouvernance, jamais les transactions</w:t>
            </w:r>
          </w:p>
        </w:tc>
        <w:tc>
          <w:tcPr/>
          <w:p>
            <w:pPr>
              <w:pStyle w:val="Compact"/>
              <w:spacing w:after="20" w:before="20" w:line="240" w:lineRule="auto"/>
              <w:jc w:val="left"/>
            </w:pPr>
            <w:r>
              <w:rPr>
                <w:sz w:val="17"/>
              </w:rPr>
              <w:t xml:space="preserve">Éditer dette, paiement, grand livre ou audit</w:t>
            </w:r>
          </w:p>
        </w:tc>
      </w:tr>
      <w:tr>
        <w:tc>
          <w:tcPr>
            <w:shd w:val="clear" w:color="auto" w:fill="F2F9F8"/>
          </w:tcPr>
          <w:p>
            <w:pPr>
              <w:pStyle w:val="Compact"/>
              <w:spacing w:after="20" w:before="20" w:line="240" w:lineRule="auto"/>
              <w:jc w:val="left"/>
            </w:pPr>
            <w:r>
              <w:rPr>
                <w:sz w:val="17"/>
              </w:rPr>
              <w:t xml:space="preserve">Régie</w:t>
            </w:r>
          </w:p>
        </w:tc>
        <w:tc>
          <w:tcPr>
            <w:shd w:val="clear" w:color="auto" w:fill="F2F9F8"/>
          </w:tcPr>
          <w:p>
            <w:pPr>
              <w:pStyle w:val="Compact"/>
              <w:spacing w:after="20" w:before="20" w:line="240" w:lineRule="auto"/>
              <w:jc w:val="left"/>
            </w:pPr>
            <w:r>
              <w:rPr>
                <w:sz w:val="17"/>
              </w:rPr>
              <w:t xml:space="preserve">Dossiers de sa compétence</w:t>
            </w:r>
          </w:p>
        </w:tc>
        <w:tc>
          <w:tcPr>
            <w:shd w:val="clear" w:color="auto" w:fill="F2F9F8"/>
          </w:tcPr>
          <w:p>
            <w:pPr>
              <w:pStyle w:val="Compact"/>
              <w:spacing w:after="20" w:before="20" w:line="240" w:lineRule="auto"/>
              <w:jc w:val="left"/>
            </w:pPr>
            <w:r>
              <w:rPr>
                <w:sz w:val="17"/>
              </w:rPr>
              <w:t xml:space="preserve">Liquidation ou dossier selon habilitation</w:t>
            </w:r>
          </w:p>
        </w:tc>
        <w:tc>
          <w:tcPr>
            <w:shd w:val="clear" w:color="auto" w:fill="F2F9F8"/>
          </w:tcPr>
          <w:p>
            <w:pPr>
              <w:pStyle w:val="Compact"/>
              <w:spacing w:after="20" w:before="20" w:line="240" w:lineRule="auto"/>
              <w:jc w:val="left"/>
            </w:pPr>
            <w:r>
              <w:rPr>
                <w:sz w:val="17"/>
              </w:rPr>
              <w:t xml:space="preserve">Workflow métier</w:t>
            </w:r>
          </w:p>
        </w:tc>
        <w:tc>
          <w:tcPr>
            <w:shd w:val="clear" w:color="auto" w:fill="F2F9F8"/>
          </w:tcPr>
          <w:p>
            <w:pPr>
              <w:pStyle w:val="Compact"/>
              <w:spacing w:after="20" w:before="20" w:line="240" w:lineRule="auto"/>
              <w:jc w:val="left"/>
            </w:pPr>
            <w:r>
              <w:rPr>
                <w:sz w:val="17"/>
              </w:rPr>
              <w:t xml:space="preserve">Accès aux autres régies ; action sur un bénéficiaire</w:t>
            </w:r>
          </w:p>
        </w:tc>
      </w:tr>
      <w:tr>
        <w:tc>
          <w:tcPr/>
          <w:p>
            <w:pPr>
              <w:pStyle w:val="Compact"/>
              <w:spacing w:after="20" w:before="20" w:line="240" w:lineRule="auto"/>
              <w:jc w:val="left"/>
            </w:pPr>
            <w:r>
              <w:rPr>
                <w:sz w:val="17"/>
              </w:rPr>
              <w:t xml:space="preserve">Finance et Trésor</w:t>
            </w:r>
          </w:p>
        </w:tc>
        <w:tc>
          <w:tcPr/>
          <w:p>
            <w:pPr>
              <w:pStyle w:val="Compact"/>
              <w:spacing w:after="20" w:before="20" w:line="240" w:lineRule="auto"/>
              <w:jc w:val="left"/>
            </w:pPr>
            <w:r>
              <w:rPr>
                <w:sz w:val="17"/>
              </w:rPr>
              <w:t xml:space="preserve">Règlements, grand livre, rapprochements</w:t>
            </w:r>
          </w:p>
        </w:tc>
        <w:tc>
          <w:tcPr/>
          <w:p>
            <w:pPr>
              <w:pStyle w:val="Compact"/>
              <w:spacing w:after="20" w:before="20" w:line="240" w:lineRule="auto"/>
              <w:jc w:val="left"/>
            </w:pPr>
            <w:r>
              <w:rPr>
                <w:sz w:val="17"/>
              </w:rPr>
              <w:t xml:space="preserve">Rapprochement, ajustement proposé</w:t>
            </w:r>
          </w:p>
        </w:tc>
        <w:tc>
          <w:tcPr/>
          <w:p>
            <w:pPr>
              <w:pStyle w:val="Compact"/>
              <w:spacing w:after="20" w:before="20" w:line="240" w:lineRule="auto"/>
              <w:jc w:val="left"/>
            </w:pPr>
            <w:r>
              <w:rPr>
                <w:sz w:val="17"/>
              </w:rPr>
              <w:t xml:space="preserve">Clôtures et contre-écritures selon séparation des tâches</w:t>
            </w:r>
          </w:p>
        </w:tc>
        <w:tc>
          <w:tcPr/>
          <w:p>
            <w:pPr>
              <w:pStyle w:val="Compact"/>
              <w:spacing w:after="20" w:before="20" w:line="240" w:lineRule="auto"/>
              <w:jc w:val="left"/>
            </w:pPr>
            <w:r>
              <w:rPr>
                <w:sz w:val="17"/>
              </w:rPr>
              <w:t xml:space="preserve">Créer une taxe</w:t>
            </w:r>
          </w:p>
        </w:tc>
      </w:tr>
      <w:tr>
        <w:tc>
          <w:tcPr>
            <w:shd w:val="clear" w:color="auto" w:fill="F2F9F8"/>
          </w:tcPr>
          <w:p>
            <w:pPr>
              <w:pStyle w:val="Compact"/>
              <w:spacing w:after="20" w:before="20" w:line="240" w:lineRule="auto"/>
              <w:jc w:val="left"/>
            </w:pPr>
            <w:r>
              <w:rPr>
                <w:sz w:val="17"/>
              </w:rPr>
              <w:t xml:space="preserve">Juridique</w:t>
            </w:r>
          </w:p>
        </w:tc>
        <w:tc>
          <w:tcPr>
            <w:shd w:val="clear" w:color="auto" w:fill="F2F9F8"/>
          </w:tcPr>
          <w:p>
            <w:pPr>
              <w:pStyle w:val="Compact"/>
              <w:spacing w:after="20" w:before="20" w:line="240" w:lineRule="auto"/>
              <w:jc w:val="left"/>
            </w:pPr>
            <w:r>
              <w:rPr>
                <w:sz w:val="17"/>
              </w:rPr>
              <w:t xml:space="preserve">Règles et textes</w:t>
            </w:r>
          </w:p>
        </w:tc>
        <w:tc>
          <w:tcPr>
            <w:shd w:val="clear" w:color="auto" w:fill="F2F9F8"/>
          </w:tcPr>
          <w:p>
            <w:pPr>
              <w:pStyle w:val="Compact"/>
              <w:spacing w:after="20" w:before="20" w:line="240" w:lineRule="auto"/>
              <w:jc w:val="left"/>
            </w:pPr>
            <w:r>
              <w:rPr>
                <w:sz w:val="17"/>
              </w:rPr>
              <w:t xml:space="preserve">Projet de règle</w:t>
            </w:r>
          </w:p>
        </w:tc>
        <w:tc>
          <w:tcPr>
            <w:shd w:val="clear" w:color="auto" w:fill="F2F9F8"/>
          </w:tcPr>
          <w:p>
            <w:pPr>
              <w:pStyle w:val="Compact"/>
              <w:spacing w:after="20" w:before="20" w:line="240" w:lineRule="auto"/>
              <w:jc w:val="left"/>
            </w:pPr>
            <w:r>
              <w:rPr>
                <w:sz w:val="17"/>
              </w:rPr>
              <w:t xml:space="preserve">Validation juridique</w:t>
            </w:r>
          </w:p>
        </w:tc>
        <w:tc>
          <w:tcPr>
            <w:shd w:val="clear" w:color="auto" w:fill="F2F9F8"/>
          </w:tcPr>
          <w:p>
            <w:pPr>
              <w:pStyle w:val="Compact"/>
              <w:spacing w:after="20" w:before="20" w:line="240" w:lineRule="auto"/>
              <w:jc w:val="left"/>
            </w:pPr>
            <w:r>
              <w:rPr>
                <w:sz w:val="17"/>
              </w:rPr>
              <w:t xml:space="preserve">Paiement, grand livre</w:t>
            </w:r>
          </w:p>
        </w:tc>
      </w:tr>
      <w:tr>
        <w:tc>
          <w:tcPr/>
          <w:p>
            <w:pPr>
              <w:pStyle w:val="Compact"/>
              <w:spacing w:after="20" w:before="20" w:line="240" w:lineRule="auto"/>
              <w:jc w:val="left"/>
            </w:pPr>
            <w:r>
              <w:rPr>
                <w:sz w:val="17"/>
              </w:rPr>
              <w:t xml:space="preserve">Audit</w:t>
            </w:r>
          </w:p>
        </w:tc>
        <w:tc>
          <w:tcPr/>
          <w:p>
            <w:pPr>
              <w:pStyle w:val="Compact"/>
              <w:spacing w:after="20" w:before="20" w:line="240" w:lineRule="auto"/>
              <w:jc w:val="left"/>
            </w:pPr>
            <w:r>
              <w:rPr>
                <w:sz w:val="17"/>
              </w:rPr>
              <w:t xml:space="preserve">Tous événements autorisés</w:t>
            </w:r>
          </w:p>
        </w:tc>
        <w:tc>
          <w:tcPr/>
          <w:p>
            <w:pPr>
              <w:pStyle w:val="Compact"/>
              <w:spacing w:after="20" w:before="20" w:line="240" w:lineRule="auto"/>
              <w:jc w:val="left"/>
            </w:pPr>
            <w:r>
              <w:rPr>
                <w:sz w:val="17"/>
              </w:rPr>
              <w:t xml:space="preserve">Investigation</w:t>
            </w:r>
          </w:p>
        </w:tc>
        <w:tc>
          <w:tcPr/>
          <w:p>
            <w:pPr>
              <w:pStyle w:val="Compact"/>
              <w:spacing w:after="20" w:before="20" w:line="240" w:lineRule="auto"/>
              <w:jc w:val="left"/>
            </w:pPr>
            <w:r>
              <w:rPr>
                <w:sz w:val="17"/>
              </w:rPr>
              <w:t xml:space="preserve">Constats</w:t>
            </w:r>
          </w:p>
        </w:tc>
        <w:tc>
          <w:tcPr/>
          <w:p>
            <w:pPr>
              <w:pStyle w:val="Compact"/>
              <w:spacing w:after="20" w:before="20" w:line="240" w:lineRule="auto"/>
              <w:jc w:val="left"/>
            </w:pPr>
            <w:r>
              <w:rPr>
                <w:sz w:val="17"/>
              </w:rPr>
              <w:t xml:space="preserve">Modifier une preuve</w:t>
            </w:r>
          </w:p>
        </w:tc>
      </w:tr>
      <w:tr>
        <w:tc>
          <w:tcPr>
            <w:shd w:val="clear" w:color="auto" w:fill="F2F9F8"/>
          </w:tcPr>
          <w:p>
            <w:pPr>
              <w:pStyle w:val="Compact"/>
              <w:spacing w:after="20" w:before="20" w:line="240" w:lineRule="auto"/>
              <w:jc w:val="left"/>
            </w:pPr>
            <w:r>
              <w:rPr>
                <w:sz w:val="17"/>
              </w:rPr>
              <w:t xml:space="preserve">Administrateur plateforme</w:t>
            </w:r>
          </w:p>
        </w:tc>
        <w:tc>
          <w:tcPr>
            <w:shd w:val="clear" w:color="auto" w:fill="F2F9F8"/>
          </w:tcPr>
          <w:p>
            <w:pPr>
              <w:pStyle w:val="Compact"/>
              <w:spacing w:after="20" w:before="20" w:line="240" w:lineRule="auto"/>
              <w:jc w:val="left"/>
            </w:pPr>
            <w:r>
              <w:rPr>
                <w:sz w:val="17"/>
              </w:rPr>
              <w:t xml:space="preserve">Santé du système, configuration technique</w:t>
            </w:r>
          </w:p>
        </w:tc>
        <w:tc>
          <w:tcPr>
            <w:shd w:val="clear" w:color="auto" w:fill="F2F9F8"/>
          </w:tcPr>
          <w:p>
            <w:pPr>
              <w:pStyle w:val="Compact"/>
              <w:spacing w:after="20" w:before="20" w:line="240" w:lineRule="auto"/>
              <w:jc w:val="left"/>
            </w:pPr>
            <w:r>
              <w:rPr>
                <w:sz w:val="17"/>
              </w:rPr>
              <w:t xml:space="preserve">Opérations techniques</w:t>
            </w:r>
          </w:p>
        </w:tc>
        <w:tc>
          <w:tcPr>
            <w:shd w:val="clear" w:color="auto" w:fill="F2F9F8"/>
          </w:tcPr>
          <w:p>
            <w:pPr>
              <w:pStyle w:val="Compact"/>
              <w:spacing w:after="20" w:before="20" w:line="240" w:lineRule="auto"/>
              <w:jc w:val="left"/>
            </w:pPr>
            <w:r>
              <w:rPr>
                <w:sz w:val="17"/>
              </w:rPr>
              <w:t xml:space="preserve">Déploiement technique</w:t>
            </w:r>
          </w:p>
        </w:tc>
        <w:tc>
          <w:tcPr>
            <w:shd w:val="clear" w:color="auto" w:fill="F2F9F8"/>
          </w:tcPr>
          <w:p>
            <w:pPr>
              <w:pStyle w:val="Compact"/>
              <w:spacing w:after="20" w:before="20" w:line="240" w:lineRule="auto"/>
              <w:jc w:val="left"/>
            </w:pPr>
            <w:r>
              <w:rPr>
                <w:sz w:val="17"/>
              </w:rPr>
              <w:t xml:space="preserve">Dette, paiement, bénéficiaire, audit</w:t>
            </w:r>
          </w:p>
        </w:tc>
      </w:tr>
      <w:tr>
        <w:tc>
          <w:tcPr/>
          <w:p>
            <w:pPr>
              <w:pStyle w:val="Compact"/>
              <w:spacing w:after="20" w:before="20" w:line="240" w:lineRule="auto"/>
              <w:jc w:val="left"/>
            </w:pPr>
            <w:r>
              <w:rPr>
                <w:sz w:val="17"/>
              </w:rPr>
              <w:t xml:space="preserve">Agent terrain</w:t>
            </w:r>
          </w:p>
        </w:tc>
        <w:tc>
          <w:tcPr/>
          <w:p>
            <w:pPr>
              <w:pStyle w:val="Compact"/>
              <w:spacing w:after="20" w:before="20" w:line="240" w:lineRule="auto"/>
              <w:jc w:val="left"/>
            </w:pPr>
            <w:r>
              <w:rPr>
                <w:sz w:val="17"/>
              </w:rPr>
              <w:t xml:space="preserve">Mission et objets assignés</w:t>
            </w:r>
          </w:p>
        </w:tc>
        <w:tc>
          <w:tcPr/>
          <w:p>
            <w:pPr>
              <w:pStyle w:val="Compact"/>
              <w:spacing w:after="20" w:before="20" w:line="240" w:lineRule="auto"/>
              <w:jc w:val="left"/>
            </w:pPr>
            <w:r>
              <w:rPr>
                <w:sz w:val="17"/>
              </w:rPr>
              <w:t xml:space="preserve">Observations et preuves</w:t>
            </w:r>
          </w:p>
        </w:tc>
        <w:tc>
          <w:tcPr/>
          <w:p>
            <w:pPr>
              <w:pStyle w:val="Compact"/>
              <w:spacing w:after="20" w:before="20" w:line="240" w:lineRule="auto"/>
              <w:jc w:val="left"/>
            </w:pPr>
            <w:r>
              <w:rPr>
                <w:sz w:val="17"/>
              </w:rPr>
              <w:t xml:space="preserve">Aucune décision fiscale finale</w:t>
            </w:r>
          </w:p>
        </w:tc>
        <w:tc>
          <w:tcPr/>
          <w:p>
            <w:pPr>
              <w:pStyle w:val="Compact"/>
              <w:spacing w:after="20" w:before="20" w:line="240" w:lineRule="auto"/>
              <w:jc w:val="left"/>
            </w:pPr>
            <w:r>
              <w:rPr>
                <w:sz w:val="17"/>
              </w:rPr>
              <w:t xml:space="preserve">Encaissement d’espèces ; décision de propriété</w:t>
            </w:r>
          </w:p>
        </w:tc>
      </w:tr>
      <w:tr>
        <w:tc>
          <w:tcPr>
            <w:shd w:val="clear" w:color="auto" w:fill="F2F9F8"/>
          </w:tcPr>
          <w:p>
            <w:pPr>
              <w:pStyle w:val="Compact"/>
              <w:spacing w:after="20" w:before="20" w:line="240" w:lineRule="auto"/>
              <w:jc w:val="left"/>
            </w:pPr>
            <w:r>
              <w:rPr>
                <w:sz w:val="17"/>
              </w:rPr>
              <w:t xml:space="preserve">Contribuable</w:t>
            </w:r>
          </w:p>
        </w:tc>
        <w:tc>
          <w:tcPr>
            <w:shd w:val="clear" w:color="auto" w:fill="F2F9F8"/>
          </w:tcPr>
          <w:p>
            <w:pPr>
              <w:pStyle w:val="Compact"/>
              <w:spacing w:after="20" w:before="20" w:line="240" w:lineRule="auto"/>
              <w:jc w:val="left"/>
            </w:pPr>
            <w:r>
              <w:rPr>
                <w:sz w:val="17"/>
              </w:rPr>
              <w:t xml:space="preserve">Ses propres données</w:t>
            </w:r>
          </w:p>
        </w:tc>
        <w:tc>
          <w:tcPr>
            <w:shd w:val="clear" w:color="auto" w:fill="F2F9F8"/>
          </w:tcPr>
          <w:p>
            <w:pPr>
              <w:pStyle w:val="Compact"/>
              <w:spacing w:after="20" w:before="20" w:line="240" w:lineRule="auto"/>
              <w:jc w:val="left"/>
            </w:pPr>
            <w:r>
              <w:rPr>
                <w:sz w:val="17"/>
              </w:rPr>
              <w:t xml:space="preserve">Déclaration, paiement, recours</w:t>
            </w:r>
          </w:p>
        </w:tc>
        <w:tc>
          <w:tcPr>
            <w:shd w:val="clear" w:color="auto" w:fill="F2F9F8"/>
          </w:tcPr>
          <w:p>
            <w:pPr>
              <w:pStyle w:val="Compact"/>
              <w:spacing w:after="20" w:before="20" w:line="240" w:lineRule="auto"/>
              <w:jc w:val="left"/>
            </w:pPr>
            <w:r>
              <w:rPr>
                <w:sz w:val="17"/>
              </w:rPr>
              <w:t xml:space="preserve">Ses propres mandats</w:t>
            </w:r>
          </w:p>
        </w:tc>
        <w:tc>
          <w:tcPr>
            <w:shd w:val="clear" w:color="auto" w:fill="F2F9F8"/>
          </w:tcPr>
          <w:p>
            <w:pPr>
              <w:pStyle w:val="Compact"/>
              <w:spacing w:after="20" w:before="20" w:line="240" w:lineRule="auto"/>
              <w:jc w:val="left"/>
            </w:pPr>
            <w:r>
              <w:rPr>
                <w:sz w:val="17"/>
              </w:rPr>
              <w:t xml:space="preserve">Données de tiers</w:t>
            </w:r>
          </w:p>
        </w:tc>
      </w:tr>
      <w:tr>
        <w:tc>
          <w:tcPr/>
          <w:p>
            <w:pPr>
              <w:pStyle w:val="Compact"/>
              <w:spacing w:after="20" w:before="20" w:line="240" w:lineRule="auto"/>
              <w:jc w:val="left"/>
            </w:pPr>
            <w:r>
              <w:rPr>
                <w:sz w:val="17"/>
              </w:rPr>
              <w:t xml:space="preserve">Partenaire</w:t>
            </w:r>
          </w:p>
        </w:tc>
        <w:tc>
          <w:tcPr/>
          <w:p>
            <w:pPr>
              <w:pStyle w:val="Compact"/>
              <w:spacing w:after="20" w:before="20" w:line="240" w:lineRule="auto"/>
              <w:jc w:val="left"/>
            </w:pPr>
            <w:r>
              <w:rPr>
                <w:sz w:val="17"/>
              </w:rPr>
              <w:t xml:space="preserve">Points d’API contractés</w:t>
            </w:r>
          </w:p>
        </w:tc>
        <w:tc>
          <w:tcPr/>
          <w:p>
            <w:pPr>
              <w:pStyle w:val="Compact"/>
              <w:spacing w:after="20" w:before="20" w:line="240" w:lineRule="auto"/>
              <w:jc w:val="left"/>
            </w:pPr>
            <w:r>
              <w:rPr>
                <w:sz w:val="17"/>
              </w:rPr>
              <w:t xml:space="preserve">Confirmation de paiement, jeu de données convenu</w:t>
            </w:r>
          </w:p>
        </w:tc>
        <w:tc>
          <w:tcPr/>
          <w:p>
            <w:pPr>
              <w:pStyle w:val="Compact"/>
              <w:spacing w:after="20" w:before="20" w:line="240" w:lineRule="auto"/>
              <w:jc w:val="left"/>
            </w:pPr>
            <w:r>
              <w:rPr>
                <w:sz w:val="17"/>
              </w:rPr>
              <w:t xml:space="preserve">Aucune</w:t>
            </w:r>
          </w:p>
        </w:tc>
        <w:tc>
          <w:tcPr/>
          <w:p>
            <w:pPr>
              <w:pStyle w:val="Compact"/>
              <w:spacing w:after="20" w:before="20" w:line="240" w:lineRule="auto"/>
              <w:jc w:val="left"/>
            </w:pPr>
            <w:r>
              <w:rPr>
                <w:sz w:val="17"/>
              </w:rPr>
              <w:t xml:space="preserve">Interrogation du registre hors objet</w:t>
            </w:r>
          </w:p>
        </w:tc>
      </w:tr>
    </w:tbl>
    <w:bookmarkEnd w:id="125"/>
    <w:bookmarkStart w:id="126" w:name="la-constitution-financière-mosolo"/>
    <w:p>
      <w:pPr>
        <w:pStyle w:val="Heading2"/>
      </w:pPr>
      <w:r>
        <w:t xml:space="preserve">12.3 La Constitution financière MOSOLO</w:t>
      </w:r>
    </w:p>
    <w:p>
      <w:pPr>
        <w:pStyle w:val="FirstParagraph"/>
      </w:pPr>
      <w:r>
        <w:rPr>
          <w:b/>
          <w:bCs/>
        </w:rPr>
        <w:t xml:space="preserve">Aucun individu ne possède toutes les clés du système financier.</w:t>
      </w:r>
      <w:r>
        <w:t xml:space="preserve"> </w:t>
      </w:r>
      <w:r>
        <w:t xml:space="preserve">La Constitution financière est l’ensemble des règles techniques et organisationnelles qui rendent ce principe vérifiable. Les opérations sensibles sont réparties entre un initiateur, un vérificateur, un approbateur et un auditeur, qui sont nécessairement quatre personnes distinctes ; l’administrateur technique est techniquement incapable d’éditer une dette, un paiement ou une écriture du grand livre.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584"/>
        <w:gridCol w:w="1584"/>
        <w:gridCol w:w="1584"/>
        <w:gridCol w:w="1584"/>
        <w:gridCol w:w="1584"/>
      </w:tblGrid>
      <w:tr>
        <w:trPr>
          <w:tblHeader w:val="true"/>
          <w:tblHeader/>
        </w:trPr>
        <w:tc>
          <w:tcPr>
            <w:shd w:val="clear" w:color="auto" w:fill="1BA996"/>
          </w:tcPr>
          <w:p>
            <w:pPr>
              <w:pStyle w:val="Compact"/>
              <w:spacing w:after="20" w:before="20" w:line="240" w:lineRule="auto"/>
              <w:jc w:val="left"/>
            </w:pPr>
            <w:r>
              <w:rPr>
                <w:b/>
                <w:color w:val="FFFFFF"/>
                <w:sz w:val="17"/>
              </w:rPr>
              <w:t xml:space="preserve">Opération sensible</w:t>
            </w:r>
          </w:p>
        </w:tc>
        <w:tc>
          <w:tcPr>
            <w:shd w:val="clear" w:color="auto" w:fill="1BA996"/>
          </w:tcPr>
          <w:p>
            <w:pPr>
              <w:pStyle w:val="Compact"/>
              <w:spacing w:after="20" w:before="20" w:line="240" w:lineRule="auto"/>
              <w:jc w:val="left"/>
            </w:pPr>
            <w:r>
              <w:rPr>
                <w:b/>
                <w:color w:val="FFFFFF"/>
                <w:sz w:val="17"/>
              </w:rPr>
              <w:t xml:space="preserve">Initiateur</w:t>
            </w:r>
          </w:p>
        </w:tc>
        <w:tc>
          <w:tcPr>
            <w:shd w:val="clear" w:color="auto" w:fill="1BA996"/>
          </w:tcPr>
          <w:p>
            <w:pPr>
              <w:pStyle w:val="Compact"/>
              <w:spacing w:after="20" w:before="20" w:line="240" w:lineRule="auto"/>
              <w:jc w:val="left"/>
            </w:pPr>
            <w:r>
              <w:rPr>
                <w:b/>
                <w:color w:val="FFFFFF"/>
                <w:sz w:val="17"/>
              </w:rPr>
              <w:t xml:space="preserve">Vérificateur</w:t>
            </w:r>
          </w:p>
        </w:tc>
        <w:tc>
          <w:tcPr>
            <w:shd w:val="clear" w:color="auto" w:fill="1BA996"/>
          </w:tcPr>
          <w:p>
            <w:pPr>
              <w:pStyle w:val="Compact"/>
              <w:spacing w:after="20" w:before="20" w:line="240" w:lineRule="auto"/>
              <w:jc w:val="left"/>
            </w:pPr>
            <w:r>
              <w:rPr>
                <w:b/>
                <w:color w:val="FFFFFF"/>
                <w:sz w:val="17"/>
              </w:rPr>
              <w:t xml:space="preserve">Approbateur</w:t>
            </w:r>
          </w:p>
        </w:tc>
        <w:tc>
          <w:tcPr>
            <w:shd w:val="clear" w:color="auto" w:fill="1BA996"/>
          </w:tcPr>
          <w:p>
            <w:pPr>
              <w:pStyle w:val="Compact"/>
              <w:spacing w:after="20" w:before="20" w:line="240" w:lineRule="auto"/>
              <w:jc w:val="left"/>
            </w:pPr>
            <w:r>
              <w:rPr>
                <w:b/>
                <w:color w:val="FFFFFF"/>
                <w:sz w:val="17"/>
              </w:rPr>
              <w:t xml:space="preserve">Garanties supplémentaires</w:t>
            </w:r>
          </w:p>
        </w:tc>
      </w:tr>
      <w:tr>
        <w:tc>
          <w:tcPr/>
          <w:p>
            <w:pPr>
              <w:pStyle w:val="Compact"/>
              <w:spacing w:after="20" w:before="20" w:line="240" w:lineRule="auto"/>
              <w:jc w:val="left"/>
            </w:pPr>
            <w:r>
              <w:rPr>
                <w:sz w:val="17"/>
              </w:rPr>
              <w:t xml:space="preserve">Changement de compte bénéficiaire</w:t>
            </w:r>
          </w:p>
        </w:tc>
        <w:tc>
          <w:tcPr/>
          <w:p>
            <w:pPr>
              <w:pStyle w:val="Compact"/>
              <w:spacing w:after="20" w:before="20" w:line="240" w:lineRule="auto"/>
              <w:jc w:val="left"/>
            </w:pPr>
            <w:r>
              <w:rPr>
                <w:sz w:val="17"/>
              </w:rPr>
              <w:t xml:space="preserve">Trésorerie provinciale</w:t>
            </w:r>
          </w:p>
        </w:tc>
        <w:tc>
          <w:tcPr/>
          <w:p>
            <w:pPr>
              <w:pStyle w:val="Compact"/>
              <w:spacing w:after="20" w:before="20" w:line="240" w:lineRule="auto"/>
              <w:jc w:val="left"/>
            </w:pPr>
            <w:r>
              <w:rPr>
                <w:sz w:val="17"/>
              </w:rPr>
              <w:t xml:space="preserve">Finance, autre personne</w:t>
            </w:r>
          </w:p>
        </w:tc>
        <w:tc>
          <w:tcPr/>
          <w:p>
            <w:pPr>
              <w:pStyle w:val="Compact"/>
              <w:spacing w:after="20" w:before="20" w:line="240" w:lineRule="auto"/>
              <w:jc w:val="left"/>
            </w:pPr>
            <w:r>
              <w:rPr>
                <w:sz w:val="17"/>
              </w:rPr>
              <w:t xml:space="preserve">Quorum d’au moins deux membres habilités du comité</w:t>
            </w:r>
          </w:p>
        </w:tc>
        <w:tc>
          <w:tcPr/>
          <w:p>
            <w:pPr>
              <w:pStyle w:val="Compact"/>
              <w:spacing w:after="20" w:before="20" w:line="240" w:lineRule="auto"/>
              <w:jc w:val="left"/>
            </w:pPr>
            <w:r>
              <w:rPr>
                <w:sz w:val="17"/>
              </w:rPr>
              <w:t xml:space="preserve">Vérification bancaire hors bande, délai de refroidissement, journal immuable, alerte immédiate à l’audit et au comité</w:t>
            </w:r>
          </w:p>
        </w:tc>
      </w:tr>
      <w:tr>
        <w:tc>
          <w:tcPr>
            <w:shd w:val="clear" w:color="auto" w:fill="F2F9F8"/>
          </w:tcPr>
          <w:p>
            <w:pPr>
              <w:pStyle w:val="Compact"/>
              <w:spacing w:after="20" w:before="20" w:line="240" w:lineRule="auto"/>
              <w:jc w:val="left"/>
            </w:pPr>
            <w:r>
              <w:rPr>
                <w:sz w:val="17"/>
              </w:rPr>
              <w:t xml:space="preserve">Publication d’une règle</w:t>
            </w:r>
          </w:p>
        </w:tc>
        <w:tc>
          <w:tcPr>
            <w:shd w:val="clear" w:color="auto" w:fill="F2F9F8"/>
          </w:tcPr>
          <w:p>
            <w:pPr>
              <w:pStyle w:val="Compact"/>
              <w:spacing w:after="20" w:before="20" w:line="240" w:lineRule="auto"/>
              <w:jc w:val="left"/>
            </w:pPr>
            <w:r>
              <w:rPr>
                <w:sz w:val="17"/>
              </w:rPr>
              <w:t xml:space="preserve">Juriste tarificateur</w:t>
            </w:r>
          </w:p>
        </w:tc>
        <w:tc>
          <w:tcPr>
            <w:shd w:val="clear" w:color="auto" w:fill="F2F9F8"/>
          </w:tcPr>
          <w:p>
            <w:pPr>
              <w:pStyle w:val="Compact"/>
              <w:spacing w:after="20" w:before="20" w:line="240" w:lineRule="auto"/>
              <w:jc w:val="left"/>
            </w:pPr>
            <w:r>
              <w:rPr>
                <w:sz w:val="17"/>
              </w:rPr>
              <w:t xml:space="preserve">Valideur juridique</w:t>
            </w:r>
          </w:p>
        </w:tc>
        <w:tc>
          <w:tcPr>
            <w:shd w:val="clear" w:color="auto" w:fill="F2F9F8"/>
          </w:tcPr>
          <w:p>
            <w:pPr>
              <w:pStyle w:val="Compact"/>
              <w:spacing w:after="20" w:before="20" w:line="240" w:lineRule="auto"/>
              <w:jc w:val="left"/>
            </w:pPr>
            <w:r>
              <w:rPr>
                <w:sz w:val="17"/>
              </w:rPr>
              <w:t xml:space="preserve">Autorité compétente</w:t>
            </w:r>
          </w:p>
        </w:tc>
        <w:tc>
          <w:tcPr>
            <w:shd w:val="clear" w:color="auto" w:fill="F2F9F8"/>
          </w:tcPr>
          <w:p>
            <w:pPr>
              <w:pStyle w:val="Compact"/>
              <w:spacing w:after="20" w:before="20" w:line="240" w:lineRule="auto"/>
              <w:jc w:val="left"/>
            </w:pPr>
            <w:r>
              <w:rPr>
                <w:sz w:val="17"/>
              </w:rPr>
              <w:t xml:space="preserve">Texte légal obligatoire ; même personne interdite aux trois étapes</w:t>
            </w:r>
          </w:p>
        </w:tc>
      </w:tr>
      <w:tr>
        <w:tc>
          <w:tcPr/>
          <w:p>
            <w:pPr>
              <w:pStyle w:val="Compact"/>
              <w:spacing w:after="20" w:before="20" w:line="240" w:lineRule="auto"/>
              <w:jc w:val="left"/>
            </w:pPr>
            <w:r>
              <w:rPr>
                <w:sz w:val="17"/>
              </w:rPr>
              <w:t xml:space="preserve">Annulation, remboursement</w:t>
            </w:r>
          </w:p>
        </w:tc>
        <w:tc>
          <w:tcPr/>
          <w:p>
            <w:pPr>
              <w:pStyle w:val="Compact"/>
              <w:spacing w:after="20" w:before="20" w:line="240" w:lineRule="auto"/>
              <w:jc w:val="left"/>
            </w:pPr>
            <w:r>
              <w:rPr>
                <w:sz w:val="17"/>
              </w:rPr>
              <w:t xml:space="preserve">Agent de régie</w:t>
            </w:r>
          </w:p>
        </w:tc>
        <w:tc>
          <w:tcPr/>
          <w:p>
            <w:pPr>
              <w:pStyle w:val="Compact"/>
              <w:spacing w:after="20" w:before="20" w:line="240" w:lineRule="auto"/>
              <w:jc w:val="left"/>
            </w:pPr>
            <w:r>
              <w:rPr>
                <w:sz w:val="17"/>
              </w:rPr>
              <w:t xml:space="preserve">Chef de service</w:t>
            </w:r>
          </w:p>
        </w:tc>
        <w:tc>
          <w:tcPr/>
          <w:p>
            <w:pPr>
              <w:pStyle w:val="Compact"/>
              <w:spacing w:after="20" w:before="20" w:line="240" w:lineRule="auto"/>
              <w:jc w:val="left"/>
            </w:pPr>
            <w:r>
              <w:rPr>
                <w:sz w:val="17"/>
              </w:rPr>
              <w:t xml:space="preserve">Direction de régie</w:t>
            </w:r>
          </w:p>
        </w:tc>
        <w:tc>
          <w:tcPr/>
          <w:p>
            <w:pPr>
              <w:pStyle w:val="Compact"/>
              <w:spacing w:after="20" w:before="20" w:line="240" w:lineRule="auto"/>
              <w:jc w:val="left"/>
            </w:pPr>
            <w:r>
              <w:rPr>
                <w:sz w:val="17"/>
              </w:rPr>
              <w:t xml:space="preserve">Motif, pièce, contre-écriture liée à l’original</w:t>
            </w:r>
          </w:p>
        </w:tc>
      </w:tr>
      <w:tr>
        <w:tc>
          <w:tcPr>
            <w:shd w:val="clear" w:color="auto" w:fill="F2F9F8"/>
          </w:tcPr>
          <w:p>
            <w:pPr>
              <w:pStyle w:val="Compact"/>
              <w:spacing w:after="20" w:before="20" w:line="240" w:lineRule="auto"/>
              <w:jc w:val="left"/>
            </w:pPr>
            <w:r>
              <w:rPr>
                <w:sz w:val="17"/>
              </w:rPr>
              <w:t xml:space="preserve">Exonération</w:t>
            </w:r>
          </w:p>
        </w:tc>
        <w:tc>
          <w:tcPr>
            <w:shd w:val="clear" w:color="auto" w:fill="F2F9F8"/>
          </w:tcPr>
          <w:p>
            <w:pPr>
              <w:pStyle w:val="Compact"/>
              <w:spacing w:after="20" w:before="20" w:line="240" w:lineRule="auto"/>
              <w:jc w:val="left"/>
            </w:pPr>
            <w:r>
              <w:rPr>
                <w:sz w:val="17"/>
              </w:rPr>
              <w:t xml:space="preserve">Service d’assiette</w:t>
            </w:r>
          </w:p>
        </w:tc>
        <w:tc>
          <w:tcPr>
            <w:shd w:val="clear" w:color="auto" w:fill="F2F9F8"/>
          </w:tcPr>
          <w:p>
            <w:pPr>
              <w:pStyle w:val="Compact"/>
              <w:spacing w:after="20" w:before="20" w:line="240" w:lineRule="auto"/>
              <w:jc w:val="left"/>
            </w:pPr>
            <w:r>
              <w:rPr>
                <w:sz w:val="17"/>
              </w:rPr>
              <w:t xml:space="preserve">Juriste</w:t>
            </w:r>
          </w:p>
        </w:tc>
        <w:tc>
          <w:tcPr>
            <w:shd w:val="clear" w:color="auto" w:fill="F2F9F8"/>
          </w:tcPr>
          <w:p>
            <w:pPr>
              <w:pStyle w:val="Compact"/>
              <w:spacing w:after="20" w:before="20" w:line="240" w:lineRule="auto"/>
              <w:jc w:val="left"/>
            </w:pPr>
            <w:r>
              <w:rPr>
                <w:sz w:val="17"/>
              </w:rPr>
              <w:t xml:space="preserve">Autorité compétente</w:t>
            </w:r>
          </w:p>
        </w:tc>
        <w:tc>
          <w:tcPr>
            <w:shd w:val="clear" w:color="auto" w:fill="F2F9F8"/>
          </w:tcPr>
          <w:p>
            <w:pPr>
              <w:pStyle w:val="Compact"/>
              <w:spacing w:after="20" w:before="20" w:line="240" w:lineRule="auto"/>
              <w:jc w:val="left"/>
            </w:pPr>
            <w:r>
              <w:rPr>
                <w:sz w:val="17"/>
              </w:rPr>
              <w:t xml:space="preserve">Preuve, durée, révision périodique</w:t>
            </w:r>
          </w:p>
        </w:tc>
      </w:tr>
      <w:tr>
        <w:tc>
          <w:tcPr/>
          <w:p>
            <w:pPr>
              <w:pStyle w:val="Compact"/>
              <w:spacing w:after="20" w:before="20" w:line="240" w:lineRule="auto"/>
              <w:jc w:val="left"/>
            </w:pPr>
            <w:r>
              <w:rPr>
                <w:sz w:val="17"/>
              </w:rPr>
              <w:t xml:space="preserve">Fusion d’identités</w:t>
            </w:r>
          </w:p>
        </w:tc>
        <w:tc>
          <w:tcPr/>
          <w:p>
            <w:pPr>
              <w:pStyle w:val="Compact"/>
              <w:spacing w:after="20" w:before="20" w:line="240" w:lineRule="auto"/>
              <w:jc w:val="left"/>
            </w:pPr>
            <w:r>
              <w:rPr>
                <w:sz w:val="17"/>
              </w:rPr>
              <w:t xml:space="preserve">Agent d’enrôlement</w:t>
            </w:r>
          </w:p>
        </w:tc>
        <w:tc>
          <w:tcPr/>
          <w:p>
            <w:pPr>
              <w:pStyle w:val="Compact"/>
              <w:spacing w:after="20" w:before="20" w:line="240" w:lineRule="auto"/>
              <w:jc w:val="left"/>
            </w:pPr>
            <w:r>
              <w:rPr>
                <w:sz w:val="17"/>
              </w:rPr>
              <w:t xml:space="preserve">Superviseur</w:t>
            </w:r>
          </w:p>
        </w:tc>
        <w:tc>
          <w:tcPr/>
          <w:p>
            <w:pPr>
              <w:pStyle w:val="Compact"/>
              <w:spacing w:after="20" w:before="20" w:line="240" w:lineRule="auto"/>
              <w:jc w:val="left"/>
            </w:pPr>
            <w:r>
              <w:rPr>
                <w:sz w:val="17"/>
              </w:rPr>
              <w:t xml:space="preserve">Responsable du registre</w:t>
            </w:r>
          </w:p>
        </w:tc>
        <w:tc>
          <w:tcPr/>
          <w:p>
            <w:pPr>
              <w:pStyle w:val="Compact"/>
              <w:spacing w:after="20" w:before="20" w:line="240" w:lineRule="auto"/>
              <w:jc w:val="left"/>
            </w:pPr>
            <w:r>
              <w:rPr>
                <w:sz w:val="17"/>
              </w:rPr>
              <w:t xml:space="preserve">Preuve documentaire ; fusion réversible</w:t>
            </w:r>
          </w:p>
        </w:tc>
      </w:tr>
      <w:tr>
        <w:tc>
          <w:tcPr>
            <w:shd w:val="clear" w:color="auto" w:fill="F2F9F8"/>
          </w:tcPr>
          <w:p>
            <w:pPr>
              <w:pStyle w:val="Compact"/>
              <w:spacing w:after="20" w:before="20" w:line="240" w:lineRule="auto"/>
              <w:jc w:val="left"/>
            </w:pPr>
            <w:r>
              <w:rPr>
                <w:sz w:val="17"/>
              </w:rPr>
              <w:t xml:space="preserve">Extraction massive de données</w:t>
            </w:r>
          </w:p>
        </w:tc>
        <w:tc>
          <w:tcPr>
            <w:shd w:val="clear" w:color="auto" w:fill="F2F9F8"/>
          </w:tcPr>
          <w:p>
            <w:pPr>
              <w:pStyle w:val="Compact"/>
              <w:spacing w:after="20" w:before="20" w:line="240" w:lineRule="auto"/>
              <w:jc w:val="left"/>
            </w:pPr>
            <w:r>
              <w:rPr>
                <w:sz w:val="17"/>
              </w:rPr>
              <w:t xml:space="preserve">Demandeur motivé</w:t>
            </w:r>
          </w:p>
        </w:tc>
        <w:tc>
          <w:tcPr>
            <w:shd w:val="clear" w:color="auto" w:fill="F2F9F8"/>
          </w:tcPr>
          <w:p>
            <w:pPr>
              <w:pStyle w:val="Compact"/>
              <w:spacing w:after="20" w:before="20" w:line="240" w:lineRule="auto"/>
              <w:jc w:val="left"/>
            </w:pPr>
            <w:r>
              <w:rPr>
                <w:sz w:val="17"/>
              </w:rPr>
              <w:t xml:space="preserve">Responsable des données</w:t>
            </w:r>
          </w:p>
        </w:tc>
        <w:tc>
          <w:tcPr>
            <w:shd w:val="clear" w:color="auto" w:fill="F2F9F8"/>
          </w:tcPr>
          <w:p>
            <w:pPr>
              <w:pStyle w:val="Compact"/>
              <w:spacing w:after="20" w:before="20" w:line="240" w:lineRule="auto"/>
              <w:jc w:val="left"/>
            </w:pPr>
            <w:r>
              <w:rPr>
                <w:sz w:val="17"/>
              </w:rPr>
              <w:t xml:space="preserve">Comité des données</w:t>
            </w:r>
          </w:p>
        </w:tc>
        <w:tc>
          <w:tcPr>
            <w:shd w:val="clear" w:color="auto" w:fill="F2F9F8"/>
          </w:tcPr>
          <w:p>
            <w:pPr>
              <w:pStyle w:val="Compact"/>
              <w:spacing w:after="20" w:before="20" w:line="240" w:lineRule="auto"/>
              <w:jc w:val="left"/>
            </w:pPr>
            <w:r>
              <w:rPr>
                <w:sz w:val="17"/>
              </w:rPr>
              <w:t xml:space="preserve">Finalité, périmètre, durée, journalisation</w:t>
            </w:r>
          </w:p>
        </w:tc>
      </w:tr>
      <w:tr>
        <w:tc>
          <w:tcPr/>
          <w:p>
            <w:pPr>
              <w:pStyle w:val="Compact"/>
              <w:spacing w:after="20" w:before="20" w:line="240" w:lineRule="auto"/>
              <w:jc w:val="left"/>
            </w:pPr>
            <w:r>
              <w:rPr>
                <w:sz w:val="17"/>
              </w:rPr>
              <w:t xml:space="preserve">Élévation d’accès privilégié</w:t>
            </w:r>
          </w:p>
        </w:tc>
        <w:tc>
          <w:tcPr/>
          <w:p>
            <w:pPr>
              <w:pStyle w:val="Compact"/>
              <w:spacing w:after="20" w:before="20" w:line="240" w:lineRule="auto"/>
              <w:jc w:val="left"/>
            </w:pPr>
            <w:r>
              <w:rPr>
                <w:sz w:val="17"/>
              </w:rPr>
              <w:t xml:space="preserve">Administrateur</w:t>
            </w:r>
          </w:p>
        </w:tc>
        <w:tc>
          <w:tcPr/>
          <w:p>
            <w:pPr>
              <w:pStyle w:val="Compact"/>
              <w:spacing w:after="20" w:before="20" w:line="240" w:lineRule="auto"/>
              <w:jc w:val="left"/>
            </w:pPr>
            <w:r>
              <w:rPr>
                <w:sz w:val="17"/>
              </w:rPr>
              <w:t xml:space="preserve">Responsable sécurité</w:t>
            </w:r>
          </w:p>
        </w:tc>
        <w:tc>
          <w:tcPr/>
          <w:p>
            <w:pPr>
              <w:pStyle w:val="Compact"/>
              <w:spacing w:after="20" w:before="20" w:line="240" w:lineRule="auto"/>
              <w:jc w:val="left"/>
            </w:pPr>
            <w:r>
              <w:rPr>
                <w:sz w:val="17"/>
              </w:rPr>
              <w:t xml:space="preserve">Accès juste-à-temps</w:t>
            </w:r>
          </w:p>
        </w:tc>
        <w:tc>
          <w:tcPr/>
          <w:p>
            <w:pPr>
              <w:pStyle w:val="Compact"/>
              <w:spacing w:after="20" w:before="20" w:line="240" w:lineRule="auto"/>
              <w:jc w:val="left"/>
            </w:pPr>
            <w:r>
              <w:rPr>
                <w:sz w:val="17"/>
              </w:rPr>
              <w:t xml:space="preserve">Motif, expiration automatique, enregistrement de session</w:t>
            </w:r>
          </w:p>
        </w:tc>
      </w:tr>
    </w:tbl>
    <w:bookmarkEnd w:id="126"/>
    <w:bookmarkStart w:id="127" w:name="X942a5c88db208c9c381e8f72ff6ca018e88bccf"/>
    <w:p>
      <w:pPr>
        <w:pStyle w:val="Heading2"/>
      </w:pPr>
      <w:r>
        <w:t xml:space="preserve">12.4 Rôles liés aux canaux assistés, aux points de paiement et à la sous-traitance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blHeader/>
        </w:trPr>
        <w:tc>
          <w:tcPr>
            <w:shd w:val="clear" w:color="auto" w:fill="1BA996"/>
          </w:tcPr>
          <w:p>
            <w:pPr>
              <w:pStyle w:val="Compact"/>
              <w:spacing w:after="20" w:before="20" w:line="240" w:lineRule="auto"/>
              <w:jc w:val="left"/>
            </w:pPr>
            <w:r>
              <w:rPr>
                <w:b/>
                <w:color w:val="FFFFFF"/>
                <w:sz w:val="17"/>
              </w:rPr>
              <w:t xml:space="preserve">Rôle</w:t>
            </w:r>
          </w:p>
        </w:tc>
        <w:tc>
          <w:tcPr>
            <w:shd w:val="clear" w:color="auto" w:fill="1BA996"/>
          </w:tcPr>
          <w:p>
            <w:pPr>
              <w:pStyle w:val="Compact"/>
              <w:spacing w:after="20" w:before="20" w:line="240" w:lineRule="auto"/>
              <w:jc w:val="left"/>
            </w:pPr>
            <w:r>
              <w:rPr>
                <w:b/>
                <w:color w:val="FFFFFF"/>
                <w:sz w:val="17"/>
              </w:rPr>
              <w:t xml:space="preserve">Voit</w:t>
            </w:r>
          </w:p>
        </w:tc>
        <w:tc>
          <w:tcPr>
            <w:shd w:val="clear" w:color="auto" w:fill="1BA996"/>
          </w:tcPr>
          <w:p>
            <w:pPr>
              <w:pStyle w:val="Compact"/>
              <w:spacing w:after="20" w:before="20" w:line="240" w:lineRule="auto"/>
              <w:jc w:val="left"/>
            </w:pPr>
            <w:r>
              <w:rPr>
                <w:b/>
                <w:color w:val="FFFFFF"/>
                <w:sz w:val="17"/>
              </w:rPr>
              <w:t xml:space="preserve">Peut faire</w:t>
            </w:r>
          </w:p>
        </w:tc>
        <w:tc>
          <w:tcPr>
            <w:shd w:val="clear" w:color="auto" w:fill="1BA996"/>
          </w:tcPr>
          <w:p>
            <w:pPr>
              <w:pStyle w:val="Compact"/>
              <w:spacing w:after="20" w:before="20" w:line="240" w:lineRule="auto"/>
              <w:jc w:val="left"/>
            </w:pPr>
            <w:r>
              <w:rPr>
                <w:b/>
                <w:color w:val="FFFFFF"/>
                <w:sz w:val="17"/>
              </w:rPr>
              <w:t xml:space="preserve">Ne peut jamais</w:t>
            </w:r>
          </w:p>
        </w:tc>
      </w:tr>
      <w:tr>
        <w:tc>
          <w:tcPr/>
          <w:p>
            <w:pPr>
              <w:pStyle w:val="Compact"/>
              <w:spacing w:after="20" w:before="20" w:line="240" w:lineRule="auto"/>
              <w:jc w:val="left"/>
            </w:pPr>
            <w:r>
              <w:rPr>
                <w:sz w:val="17"/>
              </w:rPr>
              <w:t xml:space="preserve">Responsable de module (IRL, IF, publicité, marchés, stationnement, véhicules, domaine public, ports, etc.)</w:t>
            </w:r>
          </w:p>
        </w:tc>
        <w:tc>
          <w:tcPr/>
          <w:p>
            <w:pPr>
              <w:pStyle w:val="Compact"/>
              <w:spacing w:after="20" w:before="20" w:line="240" w:lineRule="auto"/>
              <w:jc w:val="left"/>
            </w:pPr>
            <w:r>
              <w:rPr>
                <w:sz w:val="17"/>
              </w:rPr>
              <w:t xml:space="preserve">Missions, agents et résultats de son module</w:t>
            </w:r>
          </w:p>
        </w:tc>
        <w:tc>
          <w:tcPr/>
          <w:p>
            <w:pPr>
              <w:pStyle w:val="Compact"/>
              <w:spacing w:after="20" w:before="20" w:line="240" w:lineRule="auto"/>
              <w:jc w:val="left"/>
            </w:pPr>
            <w:r>
              <w:rPr>
                <w:sz w:val="17"/>
              </w:rPr>
              <w:t xml:space="preserve">Créer et gérer ses équipes d’agents internes, affecter des zones et des missions aux agents ou aux sous-traitants accrédités, suivre la qualité, suspendre un agent</w:t>
            </w:r>
          </w:p>
        </w:tc>
        <w:tc>
          <w:tcPr/>
          <w:p>
            <w:pPr>
              <w:pStyle w:val="Compact"/>
              <w:spacing w:after="20" w:before="20" w:line="240" w:lineRule="auto"/>
              <w:jc w:val="left"/>
            </w:pPr>
            <w:r>
              <w:rPr>
                <w:sz w:val="17"/>
              </w:rPr>
              <w:t xml:space="preserve">Valider seul les constats de ses propres équipes sans contrôle qualité ; toucher des fonds ; créer une dette hors règle</w:t>
            </w:r>
          </w:p>
        </w:tc>
      </w:tr>
      <w:tr>
        <w:tc>
          <w:tcPr>
            <w:shd w:val="clear" w:color="auto" w:fill="F2F9F8"/>
          </w:tcPr>
          <w:p>
            <w:pPr>
              <w:pStyle w:val="Compact"/>
              <w:spacing w:after="20" w:before="20" w:line="240" w:lineRule="auto"/>
              <w:jc w:val="left"/>
            </w:pPr>
            <w:r>
              <w:rPr>
                <w:sz w:val="17"/>
              </w:rPr>
              <w:t xml:space="preserve">Sous-traitant terrain accrédité (entité)</w:t>
            </w:r>
          </w:p>
        </w:tc>
        <w:tc>
          <w:tcPr>
            <w:shd w:val="clear" w:color="auto" w:fill="F2F9F8"/>
          </w:tcPr>
          <w:p>
            <w:pPr>
              <w:pStyle w:val="Compact"/>
              <w:spacing w:after="20" w:before="20" w:line="240" w:lineRule="auto"/>
              <w:jc w:val="left"/>
            </w:pPr>
            <w:r>
              <w:rPr>
                <w:sz w:val="17"/>
              </w:rPr>
              <w:t xml:space="preserve">Missions qui lui sont attribuées et agents qu’il emploie</w:t>
            </w:r>
          </w:p>
        </w:tc>
        <w:tc>
          <w:tcPr>
            <w:shd w:val="clear" w:color="auto" w:fill="F2F9F8"/>
          </w:tcPr>
          <w:p>
            <w:pPr>
              <w:pStyle w:val="Compact"/>
              <w:spacing w:after="20" w:before="20" w:line="240" w:lineRule="auto"/>
              <w:jc w:val="left"/>
            </w:pPr>
            <w:r>
              <w:rPr>
                <w:sz w:val="17"/>
              </w:rPr>
              <w:t xml:space="preserve">Inviter ses agents, les proposer à l’habilitation, répartir les missions reçues entre eux, suivre leur production</w:t>
            </w:r>
          </w:p>
        </w:tc>
        <w:tc>
          <w:tcPr>
            <w:shd w:val="clear" w:color="auto" w:fill="F2F9F8"/>
          </w:tcPr>
          <w:p>
            <w:pPr>
              <w:pStyle w:val="Compact"/>
              <w:spacing w:after="20" w:before="20" w:line="240" w:lineRule="auto"/>
              <w:jc w:val="left"/>
            </w:pPr>
            <w:r>
              <w:rPr>
                <w:sz w:val="17"/>
              </w:rPr>
              <w:t xml:space="preserve">Recevoir un paiement de contribuable ; voir des données fiscales hors mission ; habiliter lui-même un agent ; valider ses propres résultats</w:t>
            </w:r>
          </w:p>
        </w:tc>
      </w:tr>
      <w:tr>
        <w:tc>
          <w:tcPr/>
          <w:p>
            <w:pPr>
              <w:pStyle w:val="Compact"/>
              <w:spacing w:after="20" w:before="20" w:line="240" w:lineRule="auto"/>
              <w:jc w:val="left"/>
            </w:pPr>
            <w:r>
              <w:rPr>
                <w:sz w:val="17"/>
              </w:rPr>
              <w:t xml:space="preserve">Superviseur du sous-traitant</w:t>
            </w:r>
          </w:p>
        </w:tc>
        <w:tc>
          <w:tcPr/>
          <w:p>
            <w:pPr>
              <w:pStyle w:val="Compact"/>
              <w:spacing w:after="20" w:before="20" w:line="240" w:lineRule="auto"/>
              <w:jc w:val="left"/>
            </w:pPr>
            <w:r>
              <w:rPr>
                <w:sz w:val="17"/>
              </w:rPr>
              <w:t xml:space="preserve">Équipes et missions de son sous-traitant</w:t>
            </w:r>
          </w:p>
        </w:tc>
        <w:tc>
          <w:tcPr/>
          <w:p>
            <w:pPr>
              <w:pStyle w:val="Compact"/>
              <w:spacing w:after="20" w:before="20" w:line="240" w:lineRule="auto"/>
              <w:jc w:val="left"/>
            </w:pPr>
            <w:r>
              <w:rPr>
                <w:sz w:val="17"/>
              </w:rPr>
              <w:t xml:space="preserve">Répartir, encadrer, relire les constats avant soumission</w:t>
            </w:r>
          </w:p>
        </w:tc>
        <w:tc>
          <w:tcPr/>
          <w:p>
            <w:pPr>
              <w:pStyle w:val="Compact"/>
              <w:spacing w:after="20" w:before="20" w:line="240" w:lineRule="auto"/>
              <w:jc w:val="left"/>
            </w:pPr>
            <w:r>
              <w:rPr>
                <w:sz w:val="17"/>
              </w:rPr>
              <w:t xml:space="preserve">Mêmes interdictions que le sous-traitant</w:t>
            </w:r>
          </w:p>
        </w:tc>
      </w:tr>
      <w:tr>
        <w:tc>
          <w:tcPr>
            <w:shd w:val="clear" w:color="auto" w:fill="F2F9F8"/>
          </w:tcPr>
          <w:p>
            <w:pPr>
              <w:pStyle w:val="Compact"/>
              <w:spacing w:after="20" w:before="20" w:line="240" w:lineRule="auto"/>
              <w:jc w:val="left"/>
            </w:pPr>
            <w:r>
              <w:rPr>
                <w:sz w:val="17"/>
              </w:rPr>
              <w:t xml:space="preserve">Agent d’enrôlement assisté (interne ou sous-traitant)</w:t>
            </w:r>
          </w:p>
        </w:tc>
        <w:tc>
          <w:tcPr>
            <w:shd w:val="clear" w:color="auto" w:fill="F2F9F8"/>
          </w:tcPr>
          <w:p>
            <w:pPr>
              <w:pStyle w:val="Compact"/>
              <w:spacing w:after="20" w:before="20" w:line="240" w:lineRule="auto"/>
              <w:jc w:val="left"/>
            </w:pPr>
            <w:r>
              <w:rPr>
                <w:sz w:val="17"/>
              </w:rPr>
              <w:t xml:space="preserve">Parcours d’enrôlement et objets de sa mission</w:t>
            </w:r>
          </w:p>
        </w:tc>
        <w:tc>
          <w:tcPr>
            <w:shd w:val="clear" w:color="auto" w:fill="F2F9F8"/>
          </w:tcPr>
          <w:p>
            <w:pPr>
              <w:pStyle w:val="Compact"/>
              <w:spacing w:after="20" w:before="20" w:line="240" w:lineRule="auto"/>
              <w:jc w:val="left"/>
            </w:pPr>
            <w:r>
              <w:rPr>
                <w:sz w:val="17"/>
              </w:rPr>
              <w:t xml:space="preserve">Créer un compte assisté, recueillir consentement et empreinte, remettre la carte MOSOLO, générer une référence de paiement</w:t>
            </w:r>
          </w:p>
        </w:tc>
        <w:tc>
          <w:tcPr>
            <w:shd w:val="clear" w:color="auto" w:fill="F2F9F8"/>
          </w:tcPr>
          <w:p>
            <w:pPr>
              <w:pStyle w:val="Compact"/>
              <w:spacing w:after="20" w:before="20" w:line="240" w:lineRule="auto"/>
              <w:jc w:val="left"/>
            </w:pPr>
            <w:r>
              <w:rPr>
                <w:sz w:val="17"/>
              </w:rPr>
              <w:t xml:space="preserve">Encaisser ; modifier un montant ; enrôler hors zone ou hors horaire autorisés</w:t>
            </w:r>
          </w:p>
        </w:tc>
      </w:tr>
      <w:tr>
        <w:tc>
          <w:tcPr/>
          <w:p>
            <w:pPr>
              <w:pStyle w:val="Compact"/>
              <w:spacing w:after="20" w:before="20" w:line="240" w:lineRule="auto"/>
              <w:jc w:val="left"/>
            </w:pPr>
            <w:r>
              <w:rPr>
                <w:sz w:val="17"/>
              </w:rPr>
              <w:t xml:space="preserve">Point de paiement agréé (banque, agent Mobile Money, guichet bancaire en kiosque)</w:t>
            </w:r>
          </w:p>
        </w:tc>
        <w:tc>
          <w:tcPr/>
          <w:p>
            <w:pPr>
              <w:pStyle w:val="Compact"/>
              <w:spacing w:after="20" w:before="20" w:line="240" w:lineRule="auto"/>
              <w:jc w:val="left"/>
            </w:pPr>
            <w:r>
              <w:rPr>
                <w:sz w:val="17"/>
              </w:rPr>
              <w:t xml:space="preserve">Référence et montant de l’obligation présentée</w:t>
            </w:r>
          </w:p>
        </w:tc>
        <w:tc>
          <w:tcPr/>
          <w:p>
            <w:pPr>
              <w:pStyle w:val="Compact"/>
              <w:spacing w:after="20" w:before="20" w:line="240" w:lineRule="auto"/>
              <w:jc w:val="left"/>
            </w:pPr>
            <w:r>
              <w:rPr>
                <w:sz w:val="17"/>
              </w:rPr>
              <w:t xml:space="preserve">Encaisser pour le compte du contribuable vers le compte public désigné, imprimer ou transmettre la preuve</w:t>
            </w:r>
          </w:p>
        </w:tc>
        <w:tc>
          <w:tcPr/>
          <w:p>
            <w:pPr>
              <w:pStyle w:val="Compact"/>
              <w:spacing w:after="20" w:before="20" w:line="240" w:lineRule="auto"/>
              <w:jc w:val="left"/>
            </w:pPr>
            <w:r>
              <w:rPr>
                <w:sz w:val="17"/>
              </w:rPr>
              <w:t xml:space="preserve">Modifier le montant ; encaisser sans référence ; conserver les fonds hors du délai de règlement contractuel</w:t>
            </w:r>
          </w:p>
        </w:tc>
      </w:tr>
      <w:tr>
        <w:tc>
          <w:tcPr>
            <w:shd w:val="clear" w:color="auto" w:fill="F2F9F8"/>
          </w:tcPr>
          <w:p>
            <w:pPr>
              <w:pStyle w:val="Compact"/>
              <w:spacing w:after="20" w:before="20" w:line="240" w:lineRule="auto"/>
              <w:jc w:val="left"/>
            </w:pPr>
            <w:r>
              <w:rPr>
                <w:sz w:val="17"/>
              </w:rPr>
              <w:t xml:space="preserve">Opérateur de la ligne de signalement</w:t>
            </w:r>
          </w:p>
        </w:tc>
        <w:tc>
          <w:tcPr>
            <w:shd w:val="clear" w:color="auto" w:fill="F2F9F8"/>
          </w:tcPr>
          <w:p>
            <w:pPr>
              <w:pStyle w:val="Compact"/>
              <w:spacing w:after="20" w:before="20" w:line="240" w:lineRule="auto"/>
              <w:jc w:val="left"/>
            </w:pPr>
            <w:r>
              <w:rPr>
                <w:sz w:val="17"/>
              </w:rPr>
              <w:t xml:space="preserve">Signalements reçus</w:t>
            </w:r>
          </w:p>
        </w:tc>
        <w:tc>
          <w:tcPr>
            <w:shd w:val="clear" w:color="auto" w:fill="F2F9F8"/>
          </w:tcPr>
          <w:p>
            <w:pPr>
              <w:pStyle w:val="Compact"/>
              <w:spacing w:after="20" w:before="20" w:line="240" w:lineRule="auto"/>
              <w:jc w:val="left"/>
            </w:pPr>
            <w:r>
              <w:rPr>
                <w:sz w:val="17"/>
              </w:rPr>
              <w:t xml:space="preserve">Enregistrer, qualifier, transmettre à l’enquêteur</w:t>
            </w:r>
          </w:p>
        </w:tc>
        <w:tc>
          <w:tcPr>
            <w:shd w:val="clear" w:color="auto" w:fill="F2F9F8"/>
          </w:tcPr>
          <w:p>
            <w:pPr>
              <w:pStyle w:val="Compact"/>
              <w:spacing w:after="20" w:before="20" w:line="240" w:lineRule="auto"/>
              <w:jc w:val="left"/>
            </w:pPr>
            <w:r>
              <w:rPr>
                <w:sz w:val="17"/>
              </w:rPr>
              <w:t xml:space="preserve">Révéler l’identité du signalant</w:t>
            </w:r>
          </w:p>
        </w:tc>
      </w:tr>
    </w:tbl>
    <w:bookmarkEnd w:id="127"/>
    <w:bookmarkStart w:id="128" w:name="X73230503421989c3253b09c18e1b6085b833cfa"/>
    <w:p>
      <w:pPr>
        <w:pStyle w:val="Heading2"/>
      </w:pPr>
      <w:r>
        <w:t xml:space="preserve">12.5 Règle des impossibilités et contrôle privilégié</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Impossible pour une seule personne</w:t>
            </w:r>
          </w:p>
        </w:tc>
        <w:tc>
          <w:tcPr>
            <w:shd w:val="clear" w:color="auto" w:fill="1BA996"/>
          </w:tcPr>
          <w:p>
            <w:pPr>
              <w:pStyle w:val="Compact"/>
              <w:spacing w:after="20" w:before="20" w:line="240" w:lineRule="auto"/>
              <w:jc w:val="left"/>
            </w:pPr>
            <w:r>
              <w:rPr>
                <w:b/>
                <w:color w:val="FFFFFF"/>
                <w:sz w:val="17"/>
              </w:rPr>
              <w:t xml:space="preserve">Contrôle compensatoire</w:t>
            </w:r>
          </w:p>
        </w:tc>
      </w:tr>
      <w:tr>
        <w:tc>
          <w:tcPr/>
          <w:p>
            <w:pPr>
              <w:pStyle w:val="Compact"/>
              <w:spacing w:after="20" w:before="20" w:line="240" w:lineRule="auto"/>
              <w:jc w:val="left"/>
            </w:pPr>
            <w:r>
              <w:rPr>
                <w:sz w:val="17"/>
              </w:rPr>
              <w:t xml:space="preserve">Créer puis publier une règle financière</w:t>
            </w:r>
          </w:p>
        </w:tc>
        <w:tc>
          <w:tcPr/>
          <w:p>
            <w:pPr>
              <w:pStyle w:val="Compact"/>
              <w:spacing w:after="20" w:before="20" w:line="240" w:lineRule="auto"/>
              <w:jc w:val="left"/>
            </w:pPr>
            <w:r>
              <w:rPr>
                <w:sz w:val="17"/>
              </w:rPr>
              <w:t xml:space="preserve">Quatre yeux et signatures de métiers distincts</w:t>
            </w:r>
          </w:p>
        </w:tc>
      </w:tr>
      <w:tr>
        <w:tc>
          <w:tcPr>
            <w:shd w:val="clear" w:color="auto" w:fill="F2F9F8"/>
          </w:tcPr>
          <w:p>
            <w:pPr>
              <w:pStyle w:val="Compact"/>
              <w:spacing w:after="20" w:before="20" w:line="240" w:lineRule="auto"/>
              <w:jc w:val="left"/>
            </w:pPr>
            <w:r>
              <w:rPr>
                <w:sz w:val="17"/>
              </w:rPr>
              <w:t xml:space="preserve">Liquider puis annuler la même dette</w:t>
            </w:r>
          </w:p>
        </w:tc>
        <w:tc>
          <w:tcPr>
            <w:shd w:val="clear" w:color="auto" w:fill="F2F9F8"/>
          </w:tcPr>
          <w:p>
            <w:pPr>
              <w:pStyle w:val="Compact"/>
              <w:spacing w:after="20" w:before="20" w:line="240" w:lineRule="auto"/>
              <w:jc w:val="left"/>
            </w:pPr>
            <w:r>
              <w:rPr>
                <w:sz w:val="17"/>
              </w:rPr>
              <w:t xml:space="preserve">Rôles incompatibles et contre-écriture</w:t>
            </w:r>
          </w:p>
        </w:tc>
      </w:tr>
      <w:tr>
        <w:tc>
          <w:tcPr/>
          <w:p>
            <w:pPr>
              <w:pStyle w:val="Compact"/>
              <w:spacing w:after="20" w:before="20" w:line="240" w:lineRule="auto"/>
              <w:jc w:val="left"/>
            </w:pPr>
            <w:r>
              <w:rPr>
                <w:sz w:val="17"/>
              </w:rPr>
              <w:t xml:space="preserve">Changer un bénéficiaire puis exécuter un paiement</w:t>
            </w:r>
          </w:p>
        </w:tc>
        <w:tc>
          <w:tcPr/>
          <w:p>
            <w:pPr>
              <w:pStyle w:val="Compact"/>
              <w:spacing w:after="20" w:before="20" w:line="240" w:lineRule="auto"/>
              <w:jc w:val="left"/>
            </w:pPr>
            <w:r>
              <w:rPr>
                <w:sz w:val="17"/>
              </w:rPr>
              <w:t xml:space="preserve">Quorum, délai, vérification bancaire indépendante</w:t>
            </w:r>
          </w:p>
        </w:tc>
      </w:tr>
      <w:tr>
        <w:tc>
          <w:tcPr>
            <w:shd w:val="clear" w:color="auto" w:fill="F2F9F8"/>
          </w:tcPr>
          <w:p>
            <w:pPr>
              <w:pStyle w:val="Compact"/>
              <w:spacing w:after="20" w:before="20" w:line="240" w:lineRule="auto"/>
              <w:jc w:val="left"/>
            </w:pPr>
            <w:r>
              <w:rPr>
                <w:sz w:val="17"/>
              </w:rPr>
              <w:t xml:space="preserve">Créer un agent puis lui attribuer des pouvoirs élevés</w:t>
            </w:r>
          </w:p>
        </w:tc>
        <w:tc>
          <w:tcPr>
            <w:shd w:val="clear" w:color="auto" w:fill="F2F9F8"/>
          </w:tcPr>
          <w:p>
            <w:pPr>
              <w:pStyle w:val="Compact"/>
              <w:spacing w:after="20" w:before="20" w:line="240" w:lineRule="auto"/>
              <w:jc w:val="left"/>
            </w:pPr>
            <w:r>
              <w:rPr>
                <w:sz w:val="17"/>
              </w:rPr>
              <w:t xml:space="preserve">Gestionnaire d’identité distinct et approbation sécurité</w:t>
            </w:r>
          </w:p>
        </w:tc>
      </w:tr>
      <w:tr>
        <w:tc>
          <w:tcPr/>
          <w:p>
            <w:pPr>
              <w:pStyle w:val="Compact"/>
              <w:spacing w:after="20" w:before="20" w:line="240" w:lineRule="auto"/>
              <w:jc w:val="left"/>
            </w:pPr>
            <w:r>
              <w:rPr>
                <w:sz w:val="17"/>
              </w:rPr>
              <w:t xml:space="preserve">Effacer ou réécrire l’audit</w:t>
            </w:r>
          </w:p>
        </w:tc>
        <w:tc>
          <w:tcPr/>
          <w:p>
            <w:pPr>
              <w:pStyle w:val="Compact"/>
              <w:spacing w:after="20" w:before="20" w:line="240" w:lineRule="auto"/>
              <w:jc w:val="left"/>
            </w:pPr>
            <w:r>
              <w:rPr>
                <w:sz w:val="17"/>
              </w:rPr>
              <w:t xml:space="preserve">Journal en ajout seul, scellement et copie indépendante</w:t>
            </w:r>
          </w:p>
        </w:tc>
      </w:tr>
      <w:tr>
        <w:tc>
          <w:tcPr>
            <w:shd w:val="clear" w:color="auto" w:fill="F2F9F8"/>
          </w:tcPr>
          <w:p>
            <w:pPr>
              <w:pStyle w:val="Compact"/>
              <w:spacing w:after="20" w:before="20" w:line="240" w:lineRule="auto"/>
              <w:jc w:val="left"/>
            </w:pPr>
            <w:r>
              <w:rPr>
                <w:sz w:val="17"/>
              </w:rPr>
              <w:t xml:space="preserve">Approuver sa propre exception</w:t>
            </w:r>
          </w:p>
        </w:tc>
        <w:tc>
          <w:tcPr>
            <w:shd w:val="clear" w:color="auto" w:fill="F2F9F8"/>
          </w:tcPr>
          <w:p>
            <w:pPr>
              <w:pStyle w:val="Compact"/>
              <w:spacing w:after="20" w:before="20" w:line="240" w:lineRule="auto"/>
              <w:jc w:val="left"/>
            </w:pPr>
            <w:r>
              <w:rPr>
                <w:sz w:val="17"/>
              </w:rPr>
              <w:t xml:space="preserve">Détection automatique des conflits d’intérêts</w:t>
            </w:r>
          </w:p>
        </w:tc>
      </w:tr>
      <w:tr>
        <w:tc>
          <w:tcPr/>
          <w:p>
            <w:pPr>
              <w:pStyle w:val="Compact"/>
              <w:spacing w:after="20" w:before="20" w:line="240" w:lineRule="auto"/>
              <w:jc w:val="left"/>
            </w:pPr>
            <w:r>
              <w:rPr>
                <w:sz w:val="17"/>
              </w:rPr>
              <w:t xml:space="preserve">Télécharger massivement des données sans justification</w:t>
            </w:r>
          </w:p>
        </w:tc>
        <w:tc>
          <w:tcPr/>
          <w:p>
            <w:pPr>
              <w:pStyle w:val="Compact"/>
              <w:spacing w:after="20" w:before="20" w:line="240" w:lineRule="auto"/>
              <w:jc w:val="left"/>
            </w:pPr>
            <w:r>
              <w:rPr>
                <w:sz w:val="17"/>
              </w:rPr>
              <w:t xml:space="preserve">Accès limité dans le temps, motif, DLP et alerte</w:t>
            </w:r>
          </w:p>
        </w:tc>
      </w:tr>
    </w:tbl>
    <w:p>
      <w:pPr>
        <w:pStyle w:val="BodyText"/>
      </w:pPr>
      <w:r>
        <w:t xml:space="preserve">Profils complémentaires :</w:t>
      </w:r>
      <w:r>
        <w:t xml:space="preserve"> </w:t>
      </w:r>
      <w:r>
        <w:rPr>
          <w:b/>
          <w:bCs/>
        </w:rPr>
        <w:t xml:space="preserve">Présidence ou autorité nationale habilitée</w:t>
      </w:r>
      <w:r>
        <w:t xml:space="preserve"> </w:t>
      </w:r>
      <w:r>
        <w:t xml:space="preserve">(vue macro et preuves selon mandat, peut demander un rapport ou un audit, aucune mutation transactionnelle) ;</w:t>
      </w:r>
      <w:r>
        <w:t xml:space="preserve"> </w:t>
      </w:r>
      <w:r>
        <w:rPr>
          <w:b/>
          <w:bCs/>
        </w:rPr>
        <w:t xml:space="preserve">comité financier restreint</w:t>
      </w:r>
      <w:r>
        <w:t xml:space="preserve"> </w:t>
      </w:r>
      <w:r>
        <w:t xml:space="preserve">(approuve les paramètres financiers sensibles par quorum, jamais seul).</w:t>
      </w:r>
    </w:p>
    <w:p>
      <w:pPr>
        <w:pStyle w:val="BodyText"/>
      </w:pPr>
      <w:r>
        <w:t xml:space="preserve">Contrôle privilégié : authentification résistante au hameçonnage pour tout profil sensible ; comptes nominatifs uniquement, comptes partagés interdits ; accès juste-à-temps ; approbation par deux personnes de directions différentes pour les opérations critiques ; sessions à haut risque enregistrées au niveau des commandes selon proportionnalité ;</w:t>
      </w:r>
      <w:r>
        <w:t xml:space="preserve"> </w:t>
      </w:r>
      <w:r>
        <w:rPr>
          <w:b/>
          <w:bCs/>
        </w:rPr>
        <w:t xml:space="preserve">revue mensuelle des accès privilégiés</w:t>
      </w:r>
      <w:r>
        <w:t xml:space="preserve"> </w:t>
      </w:r>
      <w:r>
        <w:t xml:space="preserve">et révocation automatique à la fin d’une affectation ; alerte immédiate sur export massif, connexion atypique, désactivation de contrôle ou tentative refusée.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blHeader/>
        </w:trPr>
        <w:tc>
          <w:tcPr>
            <w:shd w:val="clear" w:color="auto" w:fill="1BA996"/>
          </w:tcPr>
          <w:p>
            <w:pPr>
              <w:pStyle w:val="Compact"/>
              <w:spacing w:after="20" w:before="20" w:line="240" w:lineRule="auto"/>
              <w:jc w:val="left"/>
            </w:pPr>
            <w:r>
              <w:rPr>
                <w:b/>
                <w:color w:val="FFFFFF"/>
                <w:sz w:val="17"/>
              </w:rPr>
              <w:t xml:space="preserve">Action</w:t>
            </w:r>
          </w:p>
        </w:tc>
        <w:tc>
          <w:tcPr>
            <w:shd w:val="clear" w:color="auto" w:fill="1BA996"/>
          </w:tcPr>
          <w:p>
            <w:pPr>
              <w:pStyle w:val="Compact"/>
              <w:spacing w:after="20" w:before="20" w:line="240" w:lineRule="auto"/>
              <w:jc w:val="left"/>
            </w:pPr>
            <w:r>
              <w:rPr>
                <w:b/>
                <w:color w:val="FFFFFF"/>
                <w:sz w:val="17"/>
              </w:rPr>
              <w:t xml:space="preserve">Initiateur</w:t>
            </w:r>
          </w:p>
        </w:tc>
        <w:tc>
          <w:tcPr>
            <w:shd w:val="clear" w:color="auto" w:fill="1BA996"/>
          </w:tcPr>
          <w:p>
            <w:pPr>
              <w:pStyle w:val="Compact"/>
              <w:spacing w:after="20" w:before="20" w:line="240" w:lineRule="auto"/>
              <w:jc w:val="left"/>
            </w:pPr>
            <w:r>
              <w:rPr>
                <w:b/>
                <w:color w:val="FFFFFF"/>
                <w:sz w:val="17"/>
              </w:rPr>
              <w:t xml:space="preserve">Approbateur</w:t>
            </w:r>
          </w:p>
        </w:tc>
        <w:tc>
          <w:tcPr>
            <w:shd w:val="clear" w:color="auto" w:fill="1BA996"/>
          </w:tcPr>
          <w:p>
            <w:pPr>
              <w:pStyle w:val="Compact"/>
              <w:spacing w:after="20" w:before="20" w:line="240" w:lineRule="auto"/>
              <w:jc w:val="left"/>
            </w:pPr>
            <w:r>
              <w:rPr>
                <w:b/>
                <w:color w:val="FFFFFF"/>
                <w:sz w:val="17"/>
              </w:rPr>
              <w:t xml:space="preserve">Contrôleur</w:t>
            </w:r>
          </w:p>
        </w:tc>
      </w:tr>
      <w:tr>
        <w:tc>
          <w:tcPr/>
          <w:p>
            <w:pPr>
              <w:pStyle w:val="Compact"/>
              <w:spacing w:after="20" w:before="20" w:line="240" w:lineRule="auto"/>
              <w:jc w:val="left"/>
            </w:pPr>
            <w:r>
              <w:rPr>
                <w:sz w:val="17"/>
              </w:rPr>
              <w:t xml:space="preserve">Créer une règle</w:t>
            </w:r>
          </w:p>
        </w:tc>
        <w:tc>
          <w:tcPr/>
          <w:p>
            <w:pPr>
              <w:pStyle w:val="Compact"/>
              <w:spacing w:after="20" w:before="20" w:line="240" w:lineRule="auto"/>
              <w:jc w:val="left"/>
            </w:pPr>
            <w:r>
              <w:rPr>
                <w:sz w:val="17"/>
              </w:rPr>
              <w:t xml:space="preserve">Analyste fiscal</w:t>
            </w:r>
          </w:p>
        </w:tc>
        <w:tc>
          <w:tcPr/>
          <w:p>
            <w:pPr>
              <w:pStyle w:val="Compact"/>
              <w:spacing w:after="20" w:before="20" w:line="240" w:lineRule="auto"/>
              <w:jc w:val="left"/>
            </w:pPr>
            <w:r>
              <w:rPr>
                <w:sz w:val="17"/>
              </w:rPr>
              <w:t xml:space="preserve">Juridique et autorité tarifaire</w:t>
            </w:r>
          </w:p>
        </w:tc>
        <w:tc>
          <w:tcPr/>
          <w:p>
            <w:pPr>
              <w:pStyle w:val="Compact"/>
              <w:spacing w:after="20" w:before="20" w:line="240" w:lineRule="auto"/>
              <w:jc w:val="left"/>
            </w:pPr>
            <w:r>
              <w:rPr>
                <w:sz w:val="17"/>
              </w:rPr>
              <w:t xml:space="preserve">Audit</w:t>
            </w:r>
          </w:p>
        </w:tc>
      </w:tr>
      <w:tr>
        <w:tc>
          <w:tcPr>
            <w:shd w:val="clear" w:color="auto" w:fill="F2F9F8"/>
          </w:tcPr>
          <w:p>
            <w:pPr>
              <w:pStyle w:val="Compact"/>
              <w:spacing w:after="20" w:before="20" w:line="240" w:lineRule="auto"/>
              <w:jc w:val="left"/>
            </w:pPr>
            <w:r>
              <w:rPr>
                <w:sz w:val="17"/>
              </w:rPr>
              <w:t xml:space="preserve">Publier une règle</w:t>
            </w:r>
          </w:p>
        </w:tc>
        <w:tc>
          <w:tcPr>
            <w:shd w:val="clear" w:color="auto" w:fill="F2F9F8"/>
          </w:tcPr>
          <w:p>
            <w:pPr>
              <w:pStyle w:val="Compact"/>
              <w:spacing w:after="20" w:before="20" w:line="240" w:lineRule="auto"/>
              <w:jc w:val="left"/>
            </w:pPr>
            <w:r>
              <w:rPr>
                <w:sz w:val="17"/>
              </w:rPr>
              <w:t xml:space="preserve">Administrateur métier habilité</w:t>
            </w:r>
          </w:p>
        </w:tc>
        <w:tc>
          <w:tcPr>
            <w:shd w:val="clear" w:color="auto" w:fill="F2F9F8"/>
          </w:tcPr>
          <w:p>
            <w:pPr>
              <w:pStyle w:val="Compact"/>
              <w:spacing w:after="20" w:before="20" w:line="240" w:lineRule="auto"/>
              <w:jc w:val="left"/>
            </w:pPr>
            <w:r>
              <w:rPr>
                <w:sz w:val="17"/>
              </w:rPr>
              <w:t xml:space="preserve">Deux approbateurs distincts</w:t>
            </w:r>
          </w:p>
        </w:tc>
        <w:tc>
          <w:tcPr>
            <w:shd w:val="clear" w:color="auto" w:fill="F2F9F8"/>
          </w:tcPr>
          <w:p>
            <w:pPr>
              <w:pStyle w:val="Compact"/>
              <w:spacing w:after="20" w:before="20" w:line="240" w:lineRule="auto"/>
              <w:jc w:val="left"/>
            </w:pPr>
            <w:r>
              <w:rPr>
                <w:sz w:val="17"/>
              </w:rPr>
              <w:t xml:space="preserve">Audit automatique</w:t>
            </w:r>
          </w:p>
        </w:tc>
      </w:tr>
      <w:tr>
        <w:tc>
          <w:tcPr/>
          <w:p>
            <w:pPr>
              <w:pStyle w:val="Compact"/>
              <w:spacing w:after="20" w:before="20" w:line="240" w:lineRule="auto"/>
              <w:jc w:val="left"/>
            </w:pPr>
            <w:r>
              <w:rPr>
                <w:sz w:val="17"/>
              </w:rPr>
              <w:t xml:space="preserve">Créer un objet</w:t>
            </w:r>
          </w:p>
        </w:tc>
        <w:tc>
          <w:tcPr/>
          <w:p>
            <w:pPr>
              <w:pStyle w:val="Compact"/>
              <w:spacing w:after="20" w:before="20" w:line="240" w:lineRule="auto"/>
              <w:jc w:val="left"/>
            </w:pPr>
            <w:r>
              <w:rPr>
                <w:sz w:val="17"/>
              </w:rPr>
              <w:t xml:space="preserve">Recenseur ou contribuable</w:t>
            </w:r>
          </w:p>
        </w:tc>
        <w:tc>
          <w:tcPr/>
          <w:p>
            <w:pPr>
              <w:pStyle w:val="Compact"/>
              <w:spacing w:after="20" w:before="20" w:line="240" w:lineRule="auto"/>
              <w:jc w:val="left"/>
            </w:pPr>
            <w:r>
              <w:rPr>
                <w:sz w:val="17"/>
              </w:rPr>
              <w:t xml:space="preserve">Superviseur selon risque</w:t>
            </w:r>
          </w:p>
        </w:tc>
        <w:tc>
          <w:tcPr/>
          <w:p>
            <w:pPr>
              <w:pStyle w:val="Compact"/>
              <w:spacing w:after="20" w:before="20" w:line="240" w:lineRule="auto"/>
              <w:jc w:val="left"/>
            </w:pPr>
            <w:r>
              <w:rPr>
                <w:sz w:val="17"/>
              </w:rPr>
              <w:t xml:space="preserve">Qualité des données</w:t>
            </w:r>
          </w:p>
        </w:tc>
      </w:tr>
      <w:tr>
        <w:tc>
          <w:tcPr>
            <w:shd w:val="clear" w:color="auto" w:fill="F2F9F8"/>
          </w:tcPr>
          <w:p>
            <w:pPr>
              <w:pStyle w:val="Compact"/>
              <w:spacing w:after="20" w:before="20" w:line="240" w:lineRule="auto"/>
              <w:jc w:val="left"/>
            </w:pPr>
            <w:r>
              <w:rPr>
                <w:sz w:val="17"/>
              </w:rPr>
              <w:t xml:space="preserve">Liquider</w:t>
            </w:r>
          </w:p>
        </w:tc>
        <w:tc>
          <w:tcPr>
            <w:shd w:val="clear" w:color="auto" w:fill="F2F9F8"/>
          </w:tcPr>
          <w:p>
            <w:pPr>
              <w:pStyle w:val="Compact"/>
              <w:spacing w:after="20" w:before="20" w:line="240" w:lineRule="auto"/>
              <w:jc w:val="left"/>
            </w:pPr>
            <w:r>
              <w:rPr>
                <w:sz w:val="17"/>
              </w:rPr>
              <w:t xml:space="preserve">Moteur de règles</w:t>
            </w:r>
          </w:p>
        </w:tc>
        <w:tc>
          <w:tcPr>
            <w:shd w:val="clear" w:color="auto" w:fill="F2F9F8"/>
          </w:tcPr>
          <w:p>
            <w:pPr>
              <w:pStyle w:val="Compact"/>
              <w:spacing w:after="20" w:before="20" w:line="240" w:lineRule="auto"/>
              <w:jc w:val="left"/>
            </w:pPr>
            <w:r>
              <w:rPr>
                <w:sz w:val="17"/>
              </w:rPr>
              <w:t xml:space="preserve">Validation selon seuil</w:t>
            </w:r>
          </w:p>
        </w:tc>
        <w:tc>
          <w:tcPr>
            <w:shd w:val="clear" w:color="auto" w:fill="F2F9F8"/>
          </w:tcPr>
          <w:p>
            <w:pPr>
              <w:pStyle w:val="Compact"/>
              <w:spacing w:after="20" w:before="20" w:line="240" w:lineRule="auto"/>
              <w:jc w:val="left"/>
            </w:pPr>
            <w:r>
              <w:rPr>
                <w:sz w:val="17"/>
              </w:rPr>
              <w:t xml:space="preserve">Audit fiscal</w:t>
            </w:r>
          </w:p>
        </w:tc>
      </w:tr>
      <w:tr>
        <w:tc>
          <w:tcPr/>
          <w:p>
            <w:pPr>
              <w:pStyle w:val="Compact"/>
              <w:spacing w:after="20" w:before="20" w:line="240" w:lineRule="auto"/>
              <w:jc w:val="left"/>
            </w:pPr>
            <w:r>
              <w:rPr>
                <w:sz w:val="17"/>
              </w:rPr>
              <w:t xml:space="preserve">Payer</w:t>
            </w:r>
          </w:p>
        </w:tc>
        <w:tc>
          <w:tcPr/>
          <w:p>
            <w:pPr>
              <w:pStyle w:val="Compact"/>
              <w:spacing w:after="20" w:before="20" w:line="240" w:lineRule="auto"/>
              <w:jc w:val="left"/>
            </w:pPr>
            <w:r>
              <w:rPr>
                <w:sz w:val="17"/>
              </w:rPr>
              <w:t xml:space="preserve">Contribuable</w:t>
            </w:r>
          </w:p>
        </w:tc>
        <w:tc>
          <w:tcPr/>
          <w:p>
            <w:pPr>
              <w:pStyle w:val="Compact"/>
              <w:spacing w:after="20" w:before="20" w:line="240" w:lineRule="auto"/>
              <w:jc w:val="left"/>
            </w:pPr>
            <w:r>
              <w:rPr>
                <w:sz w:val="17"/>
              </w:rPr>
              <w:t xml:space="preserve">Canal de paiement</w:t>
            </w:r>
          </w:p>
        </w:tc>
        <w:tc>
          <w:tcPr/>
          <w:p>
            <w:pPr>
              <w:pStyle w:val="Compact"/>
              <w:spacing w:after="20" w:before="20" w:line="240" w:lineRule="auto"/>
              <w:jc w:val="left"/>
            </w:pPr>
            <w:r>
              <w:rPr>
                <w:sz w:val="17"/>
              </w:rPr>
              <w:t xml:space="preserve">Rapprochement</w:t>
            </w:r>
          </w:p>
        </w:tc>
      </w:tr>
      <w:tr>
        <w:tc>
          <w:tcPr>
            <w:shd w:val="clear" w:color="auto" w:fill="F2F9F8"/>
          </w:tcPr>
          <w:p>
            <w:pPr>
              <w:pStyle w:val="Compact"/>
              <w:spacing w:after="20" w:before="20" w:line="240" w:lineRule="auto"/>
              <w:jc w:val="left"/>
            </w:pPr>
            <w:r>
              <w:rPr>
                <w:sz w:val="17"/>
              </w:rPr>
              <w:t xml:space="preserve">Annuler ou corriger</w:t>
            </w:r>
          </w:p>
        </w:tc>
        <w:tc>
          <w:tcPr>
            <w:shd w:val="clear" w:color="auto" w:fill="F2F9F8"/>
          </w:tcPr>
          <w:p>
            <w:pPr>
              <w:pStyle w:val="Compact"/>
              <w:spacing w:after="20" w:before="20" w:line="240" w:lineRule="auto"/>
              <w:jc w:val="left"/>
            </w:pPr>
            <w:r>
              <w:rPr>
                <w:sz w:val="17"/>
              </w:rPr>
              <w:t xml:space="preserve">Gestionnaire autorisé</w:t>
            </w:r>
          </w:p>
        </w:tc>
        <w:tc>
          <w:tcPr>
            <w:shd w:val="clear" w:color="auto" w:fill="F2F9F8"/>
          </w:tcPr>
          <w:p>
            <w:pPr>
              <w:pStyle w:val="Compact"/>
              <w:spacing w:after="20" w:before="20" w:line="240" w:lineRule="auto"/>
              <w:jc w:val="left"/>
            </w:pPr>
            <w:r>
              <w:rPr>
                <w:sz w:val="17"/>
              </w:rPr>
              <w:t xml:space="preserve">Approbation indépendante</w:t>
            </w:r>
          </w:p>
        </w:tc>
        <w:tc>
          <w:tcPr>
            <w:shd w:val="clear" w:color="auto" w:fill="F2F9F8"/>
          </w:tcPr>
          <w:p>
            <w:pPr>
              <w:pStyle w:val="Compact"/>
              <w:spacing w:after="20" w:before="20" w:line="240" w:lineRule="auto"/>
              <w:jc w:val="left"/>
            </w:pPr>
            <w:r>
              <w:rPr>
                <w:sz w:val="17"/>
              </w:rPr>
              <w:t xml:space="preserve">Audit</w:t>
            </w:r>
          </w:p>
        </w:tc>
      </w:tr>
      <w:tr>
        <w:tc>
          <w:tcPr/>
          <w:p>
            <w:pPr>
              <w:pStyle w:val="Compact"/>
              <w:spacing w:after="20" w:before="20" w:line="240" w:lineRule="auto"/>
              <w:jc w:val="left"/>
            </w:pPr>
            <w:r>
              <w:rPr>
                <w:sz w:val="17"/>
              </w:rPr>
              <w:t xml:space="preserve">Changer un bénéficiaire</w:t>
            </w:r>
          </w:p>
        </w:tc>
        <w:tc>
          <w:tcPr/>
          <w:p>
            <w:pPr>
              <w:pStyle w:val="Compact"/>
              <w:spacing w:after="20" w:before="20" w:line="240" w:lineRule="auto"/>
              <w:jc w:val="left"/>
            </w:pPr>
            <w:r>
              <w:rPr>
                <w:sz w:val="17"/>
              </w:rPr>
              <w:t xml:space="preserve">Trésor habilité</w:t>
            </w:r>
          </w:p>
        </w:tc>
        <w:tc>
          <w:tcPr/>
          <w:p>
            <w:pPr>
              <w:pStyle w:val="Compact"/>
              <w:spacing w:after="20" w:before="20" w:line="240" w:lineRule="auto"/>
              <w:jc w:val="left"/>
            </w:pPr>
            <w:r>
              <w:rPr>
                <w:sz w:val="17"/>
              </w:rPr>
              <w:t xml:space="preserve">Quorum financier</w:t>
            </w:r>
          </w:p>
        </w:tc>
        <w:tc>
          <w:tcPr/>
          <w:p>
            <w:pPr>
              <w:pStyle w:val="Compact"/>
              <w:spacing w:after="20" w:before="20" w:line="240" w:lineRule="auto"/>
              <w:jc w:val="left"/>
            </w:pPr>
            <w:r>
              <w:rPr>
                <w:sz w:val="17"/>
              </w:rPr>
              <w:t xml:space="preserve">Audit et sécurité</w:t>
            </w:r>
          </w:p>
        </w:tc>
      </w:tr>
      <w:tr>
        <w:tc>
          <w:tcPr>
            <w:shd w:val="clear" w:color="auto" w:fill="F2F9F8"/>
          </w:tcPr>
          <w:p>
            <w:pPr>
              <w:pStyle w:val="Compact"/>
              <w:spacing w:after="20" w:before="20" w:line="240" w:lineRule="auto"/>
              <w:jc w:val="left"/>
            </w:pPr>
            <w:r>
              <w:rPr>
                <w:sz w:val="17"/>
              </w:rPr>
              <w:t xml:space="preserve">Clôturer une alerte de fraude</w:t>
            </w:r>
          </w:p>
        </w:tc>
        <w:tc>
          <w:tcPr>
            <w:shd w:val="clear" w:color="auto" w:fill="F2F9F8"/>
          </w:tcPr>
          <w:p>
            <w:pPr>
              <w:pStyle w:val="Compact"/>
              <w:spacing w:after="20" w:before="20" w:line="240" w:lineRule="auto"/>
              <w:jc w:val="left"/>
            </w:pPr>
            <w:r>
              <w:rPr>
                <w:sz w:val="17"/>
              </w:rPr>
              <w:t xml:space="preserve">Enquêteur</w:t>
            </w:r>
          </w:p>
        </w:tc>
        <w:tc>
          <w:tcPr>
            <w:shd w:val="clear" w:color="auto" w:fill="F2F9F8"/>
          </w:tcPr>
          <w:p>
            <w:pPr>
              <w:pStyle w:val="Compact"/>
              <w:spacing w:after="20" w:before="20" w:line="240" w:lineRule="auto"/>
              <w:jc w:val="left"/>
            </w:pPr>
            <w:r>
              <w:rPr>
                <w:sz w:val="17"/>
              </w:rPr>
              <w:t xml:space="preserve">Responsable distinct</w:t>
            </w:r>
          </w:p>
        </w:tc>
        <w:tc>
          <w:tcPr>
            <w:shd w:val="clear" w:color="auto" w:fill="F2F9F8"/>
          </w:tcPr>
          <w:p>
            <w:pPr>
              <w:pStyle w:val="Compact"/>
              <w:spacing w:after="20" w:before="20" w:line="240" w:lineRule="auto"/>
              <w:jc w:val="left"/>
            </w:pPr>
            <w:r>
              <w:rPr>
                <w:sz w:val="17"/>
              </w:rPr>
              <w:t xml:space="preserve">Audit interne</w:t>
            </w:r>
          </w:p>
        </w:tc>
      </w:tr>
    </w:tbl>
    <w:bookmarkEnd w:id="128"/>
    <w:bookmarkEnd w:id="129"/>
    <w:bookmarkStart w:id="137" w:name="X0ca3ad40fda1392435fa02a466792b4d6f90e22"/>
    <w:p>
      <w:pPr>
        <w:pStyle w:val="Heading1"/>
      </w:pPr>
      <w:r>
        <w:t xml:space="preserve">12A. Gestion des accès : invitations en cascade et inscription publique</w:t>
      </w:r>
    </w:p>
    <w:p>
      <w:pPr>
        <w:pStyle w:val="FirstParagraph"/>
      </w:pPr>
      <w:r>
        <w:t xml:space="preserve">MOSOLO distingue strictement deux populations.</w:t>
      </w:r>
      <w:r>
        <w:t xml:space="preserve"> </w:t>
      </w:r>
      <w:r>
        <w:rPr>
          <w:b/>
          <w:bCs/>
        </w:rPr>
        <w:t xml:space="preserve">Le public</w:t>
      </w:r>
      <w:r>
        <w:t xml:space="preserve"> </w:t>
      </w:r>
      <w:r>
        <w:t xml:space="preserve">— citoyens, entreprises, diaspora, mandataires — s’inscrit librement.</w:t>
      </w:r>
      <w:r>
        <w:t xml:space="preserve"> </w:t>
      </w:r>
      <w:r>
        <w:rPr>
          <w:b/>
          <w:bCs/>
        </w:rPr>
        <w:t xml:space="preserve">Tous ceux qui travaillent sur la plateforme</w:t>
      </w:r>
      <w:r>
        <w:t xml:space="preserve"> </w:t>
      </w:r>
      <w:r>
        <w:t xml:space="preserve">— du Gouverneur à l’agent de terrain — n’y entrent que sur invitation. Il n’existe aucune inscription publique pour un compte de travail : un compte de travail ne peut être finalisé que</w:t>
      </w:r>
      <w:r>
        <w:t xml:space="preserve"> </w:t>
      </w:r>
      <w:r>
        <w:rPr>
          <w:b/>
          <w:bCs/>
        </w:rPr>
        <w:t xml:space="preserve">depuis le lien d’invitation</w:t>
      </w:r>
      <w:r>
        <w:t xml:space="preserve">, par la personne invitée elle-même, ou</w:t>
      </w:r>
      <w:r>
        <w:t xml:space="preserve"> </w:t>
      </w:r>
      <w:r>
        <w:rPr>
          <w:b/>
          <w:bCs/>
        </w:rPr>
        <w:t xml:space="preserve">par l’opérateur d’accès désigné de son entité</w:t>
      </w:r>
      <w:r>
        <w:t xml:space="preserve">, en sa présence (§ 12A.7).</w:t>
      </w:r>
    </w:p>
    <w:bookmarkStart w:id="130" w:name="a.1-deux-portes-dentrée"/>
    <w:p>
      <w:pPr>
        <w:pStyle w:val="Heading2"/>
      </w:pPr>
      <w:r>
        <w:t xml:space="preserve">12A.1 Deux portes d’entrée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blHeader/>
        </w:trPr>
        <w:tc>
          <w:tcPr>
            <w:shd w:val="clear" w:color="auto" w:fill="1BA996"/>
          </w:tcPr>
          <w:p>
            <w:pPr>
              <w:pStyle w:val="Compact"/>
              <w:spacing w:after="20" w:before="20" w:line="240" w:lineRule="auto"/>
              <w:jc w:val="left"/>
            </w:pPr>
            <w:r>
              <w:rPr>
                <w:b/>
                <w:color w:val="FFFFFF"/>
                <w:sz w:val="17"/>
              </w:rPr>
              <w:t xml:space="preserve">Population</w:t>
            </w:r>
          </w:p>
        </w:tc>
        <w:tc>
          <w:tcPr>
            <w:shd w:val="clear" w:color="auto" w:fill="1BA996"/>
          </w:tcPr>
          <w:p>
            <w:pPr>
              <w:pStyle w:val="Compact"/>
              <w:spacing w:after="20" w:before="20" w:line="240" w:lineRule="auto"/>
              <w:jc w:val="left"/>
            </w:pPr>
            <w:r>
              <w:rPr>
                <w:b/>
                <w:color w:val="FFFFFF"/>
                <w:sz w:val="17"/>
              </w:rPr>
              <w:t xml:space="preserve">Qui</w:t>
            </w:r>
          </w:p>
        </w:tc>
        <w:tc>
          <w:tcPr>
            <w:shd w:val="clear" w:color="auto" w:fill="1BA996"/>
          </w:tcPr>
          <w:p>
            <w:pPr>
              <w:pStyle w:val="Compact"/>
              <w:spacing w:after="20" w:before="20" w:line="240" w:lineRule="auto"/>
              <w:jc w:val="left"/>
            </w:pPr>
            <w:r>
              <w:rPr>
                <w:b/>
                <w:color w:val="FFFFFF"/>
                <w:sz w:val="17"/>
              </w:rPr>
              <w:t xml:space="preserve">Comment le compte est créé</w:t>
            </w:r>
          </w:p>
        </w:tc>
        <w:tc>
          <w:tcPr>
            <w:shd w:val="clear" w:color="auto" w:fill="1BA996"/>
          </w:tcPr>
          <w:p>
            <w:pPr>
              <w:pStyle w:val="Compact"/>
              <w:spacing w:after="20" w:before="20" w:line="240" w:lineRule="auto"/>
              <w:jc w:val="left"/>
            </w:pPr>
            <w:r>
              <w:rPr>
                <w:b/>
                <w:color w:val="FFFFFF"/>
                <w:sz w:val="17"/>
              </w:rPr>
              <w:t xml:space="preserve">Ce que le compte permet</w:t>
            </w:r>
          </w:p>
        </w:tc>
      </w:tr>
      <w:tr>
        <w:tc>
          <w:tcPr/>
          <w:p>
            <w:pPr>
              <w:pStyle w:val="Compact"/>
              <w:spacing w:after="20" w:before="20" w:line="240" w:lineRule="auto"/>
              <w:jc w:val="left"/>
            </w:pPr>
            <w:r>
              <w:rPr>
                <w:sz w:val="17"/>
              </w:rPr>
              <w:t xml:space="preserve">Public</w:t>
            </w:r>
          </w:p>
        </w:tc>
        <w:tc>
          <w:tcPr/>
          <w:p>
            <w:pPr>
              <w:pStyle w:val="Compact"/>
              <w:spacing w:after="20" w:before="20" w:line="240" w:lineRule="auto"/>
              <w:jc w:val="left"/>
            </w:pPr>
            <w:r>
              <w:rPr>
                <w:sz w:val="17"/>
              </w:rPr>
              <w:t xml:space="preserve">Citoyens, entreprises, organisations, diaspora, mandataires de contribuables</w:t>
            </w:r>
          </w:p>
        </w:tc>
        <w:tc>
          <w:tcPr/>
          <w:p>
            <w:pPr>
              <w:pStyle w:val="Compact"/>
              <w:spacing w:after="20" w:before="20" w:line="240" w:lineRule="auto"/>
              <w:jc w:val="left"/>
            </w:pPr>
            <w:r>
              <w:rPr>
                <w:sz w:val="17"/>
              </w:rPr>
              <w:t xml:space="preserve">Inscription publique libre : application, portail web, USSD, serveur vocal, guichet MOSOLO, enrôlement assisté par un agent (§ 9, § 13A)</w:t>
            </w:r>
          </w:p>
        </w:tc>
        <w:tc>
          <w:tcPr/>
          <w:p>
            <w:pPr>
              <w:pStyle w:val="Compact"/>
              <w:spacing w:after="20" w:before="20" w:line="240" w:lineRule="auto"/>
              <w:jc w:val="left"/>
            </w:pPr>
            <w:r>
              <w:rPr>
                <w:sz w:val="17"/>
              </w:rPr>
              <w:t xml:space="preserve">Ses propres biens, obligations, paiements, titres, quittances et recours</w:t>
            </w:r>
          </w:p>
        </w:tc>
      </w:tr>
      <w:tr>
        <w:tc>
          <w:tcPr>
            <w:shd w:val="clear" w:color="auto" w:fill="F2F9F8"/>
          </w:tcPr>
          <w:p>
            <w:pPr>
              <w:pStyle w:val="Compact"/>
              <w:spacing w:after="20" w:before="20" w:line="240" w:lineRule="auto"/>
              <w:jc w:val="left"/>
            </w:pPr>
            <w:r>
              <w:rPr>
                <w:sz w:val="17"/>
              </w:rPr>
              <w:t xml:space="preserve">Intervenants</w:t>
            </w:r>
          </w:p>
        </w:tc>
        <w:tc>
          <w:tcPr>
            <w:shd w:val="clear" w:color="auto" w:fill="F2F9F8"/>
          </w:tcPr>
          <w:p>
            <w:pPr>
              <w:pStyle w:val="Compact"/>
              <w:spacing w:after="20" w:before="20" w:line="240" w:lineRule="auto"/>
              <w:jc w:val="left"/>
            </w:pPr>
            <w:r>
              <w:rPr>
                <w:sz w:val="17"/>
              </w:rPr>
              <w:t xml:space="preserve">Gouverneur, Cabinet, Secrétariat, ministères, régies, communes, Trésor, services techniques, audit et inspection, opérateurs délégués, sous-traitants, superviseurs, agents de terrain, points de paiement, partenaires d’API</w:t>
            </w:r>
          </w:p>
        </w:tc>
        <w:tc>
          <w:tcPr>
            <w:shd w:val="clear" w:color="auto" w:fill="F2F9F8"/>
          </w:tcPr>
          <w:p>
            <w:pPr>
              <w:pStyle w:val="Compact"/>
              <w:spacing w:after="20" w:before="20" w:line="240" w:lineRule="auto"/>
              <w:jc w:val="left"/>
            </w:pPr>
            <w:r>
              <w:rPr>
                <w:b/>
                <w:bCs/>
                <w:sz w:val="17"/>
              </w:rPr>
              <w:t xml:space="preserve">Uniquement sur invitation nominative</w:t>
            </w:r>
            <w:r>
              <w:rPr>
                <w:sz w:val="17"/>
              </w:rPr>
              <w:t xml:space="preserve"> </w:t>
            </w:r>
            <w:r>
              <w:rPr>
                <w:sz w:val="17"/>
              </w:rPr>
              <w:t xml:space="preserve">: finalisation par la personne depuis son lien d’invitation, ou par l’opérateur d’accès désigné de son entité ; aucune inscription publique</w:t>
            </w:r>
          </w:p>
        </w:tc>
        <w:tc>
          <w:tcPr>
            <w:shd w:val="clear" w:color="auto" w:fill="F2F9F8"/>
          </w:tcPr>
          <w:p>
            <w:pPr>
              <w:pStyle w:val="Compact"/>
              <w:spacing w:after="20" w:before="20" w:line="240" w:lineRule="auto"/>
              <w:jc w:val="left"/>
            </w:pPr>
            <w:r>
              <w:rPr>
                <w:sz w:val="17"/>
              </w:rPr>
              <w:t xml:space="preserve">Les fonctions de son rôle, dans son périmètre</w:t>
            </w:r>
          </w:p>
        </w:tc>
      </w:tr>
    </w:tbl>
    <w:p>
      <w:pPr>
        <w:pStyle w:val="Compact"/>
        <w:numPr>
          <w:ilvl w:val="0"/>
          <w:numId w:val="1029"/>
        </w:numPr>
      </w:pPr>
      <w:r>
        <w:t xml:space="preserve">Le parcours d’inscription publique ne peut créer que des comptes de contribuable ; aucune route, aucun formulaire et aucun canal public ne permet de créer un compte de travail.</w:t>
      </w:r>
    </w:p>
    <w:p>
      <w:pPr>
        <w:pStyle w:val="Compact"/>
        <w:numPr>
          <w:ilvl w:val="0"/>
          <w:numId w:val="1029"/>
        </w:numPr>
      </w:pPr>
      <w:r>
        <w:t xml:space="preserve">Un compte de contribuable ne peut jamais être transformé en compte de travail. Une même personne peut être contribuable et agent : elle dispose alors de deux profils distincts, rattachés à la même identité, sans aucun croisement de droits. Un agent ne peut ni consulter ni traiter les dossiers de son propre profil de contribuable ou de ses proches déclarés.</w:t>
      </w:r>
    </w:p>
    <w:bookmarkEnd w:id="130"/>
    <w:bookmarkStart w:id="131" w:name="a.2-invitations-en-cascade"/>
    <w:p>
      <w:pPr>
        <w:pStyle w:val="Heading2"/>
      </w:pPr>
      <w:r>
        <w:t xml:space="preserve">12A.2 Invitations en cascade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blHeader/>
        </w:trPr>
        <w:tc>
          <w:tcPr>
            <w:shd w:val="clear" w:color="auto" w:fill="1BA996"/>
          </w:tcPr>
          <w:p>
            <w:pPr>
              <w:pStyle w:val="Compact"/>
              <w:spacing w:after="20" w:before="20" w:line="240" w:lineRule="auto"/>
              <w:jc w:val="left"/>
            </w:pPr>
            <w:r>
              <w:rPr>
                <w:b/>
                <w:color w:val="FFFFFF"/>
                <w:sz w:val="17"/>
              </w:rPr>
              <w:t xml:space="preserve">Niveau</w:t>
            </w:r>
          </w:p>
        </w:tc>
        <w:tc>
          <w:tcPr>
            <w:shd w:val="clear" w:color="auto" w:fill="1BA996"/>
          </w:tcPr>
          <w:p>
            <w:pPr>
              <w:pStyle w:val="Compact"/>
              <w:spacing w:after="20" w:before="20" w:line="240" w:lineRule="auto"/>
              <w:jc w:val="left"/>
            </w:pPr>
            <w:r>
              <w:rPr>
                <w:b/>
                <w:color w:val="FFFFFF"/>
                <w:sz w:val="17"/>
              </w:rPr>
              <w:t xml:space="preserve">Qui invite</w:t>
            </w:r>
          </w:p>
        </w:tc>
        <w:tc>
          <w:tcPr>
            <w:shd w:val="clear" w:color="auto" w:fill="1BA996"/>
          </w:tcPr>
          <w:p>
            <w:pPr>
              <w:pStyle w:val="Compact"/>
              <w:spacing w:after="20" w:before="20" w:line="240" w:lineRule="auto"/>
              <w:jc w:val="left"/>
            </w:pPr>
            <w:r>
              <w:rPr>
                <w:b/>
                <w:color w:val="FFFFFF"/>
                <w:sz w:val="17"/>
              </w:rPr>
              <w:t xml:space="preserve">Qui peut être invité</w:t>
            </w:r>
          </w:p>
        </w:tc>
        <w:tc>
          <w:tcPr>
            <w:shd w:val="clear" w:color="auto" w:fill="1BA996"/>
          </w:tcPr>
          <w:p>
            <w:pPr>
              <w:pStyle w:val="Compact"/>
              <w:spacing w:after="20" w:before="20" w:line="240" w:lineRule="auto"/>
              <w:jc w:val="left"/>
            </w:pPr>
            <w:r>
              <w:rPr>
                <w:b/>
                <w:color w:val="FFFFFF"/>
                <w:sz w:val="17"/>
              </w:rPr>
              <w:t xml:space="preserve">Périmètre accordé</w:t>
            </w:r>
          </w:p>
        </w:tc>
      </w:tr>
      <w:tr>
        <w:tc>
          <w:tcPr/>
          <w:p>
            <w:pPr>
              <w:pStyle w:val="Compact"/>
              <w:spacing w:after="20" w:before="20" w:line="240" w:lineRule="auto"/>
              <w:jc w:val="left"/>
            </w:pPr>
            <w:r>
              <w:rPr>
                <w:sz w:val="17"/>
              </w:rPr>
              <w:t xml:space="preserve">0</w:t>
            </w:r>
          </w:p>
        </w:tc>
        <w:tc>
          <w:tcPr/>
          <w:p>
            <w:pPr>
              <w:pStyle w:val="Compact"/>
              <w:spacing w:after="20" w:before="20" w:line="240" w:lineRule="auto"/>
              <w:jc w:val="left"/>
            </w:pPr>
            <w:r>
              <w:rPr>
                <w:sz w:val="17"/>
              </w:rPr>
              <w:t xml:space="preserve">Administrateur de la plateforme</w:t>
            </w:r>
          </w:p>
        </w:tc>
        <w:tc>
          <w:tcPr/>
          <w:p>
            <w:pPr>
              <w:pStyle w:val="Compact"/>
              <w:spacing w:after="20" w:before="20" w:line="240" w:lineRule="auto"/>
              <w:jc w:val="left"/>
            </w:pPr>
            <w:r>
              <w:rPr>
                <w:sz w:val="17"/>
              </w:rPr>
              <w:t xml:space="preserve">Gouverneur, Cabinet, Secrétariat du Gouvernement, ministres et administrateurs ministériels, directions de régie, communes, Trésor, audit et inspection, services techniques, opérateurs délégués, banques et points de paiement, partenaires d’API</w:t>
            </w:r>
          </w:p>
        </w:tc>
        <w:tc>
          <w:tcPr/>
          <w:p>
            <w:pPr>
              <w:pStyle w:val="Compact"/>
              <w:spacing w:after="20" w:before="20" w:line="240" w:lineRule="auto"/>
              <w:jc w:val="left"/>
            </w:pPr>
            <w:r>
              <w:rPr>
                <w:sz w:val="17"/>
              </w:rPr>
              <w:t xml:space="preserve">Espace d’entité créé et modules rattachés (§ 12A.3)</w:t>
            </w:r>
          </w:p>
        </w:tc>
      </w:tr>
      <w:tr>
        <w:tc>
          <w:tcPr>
            <w:shd w:val="clear" w:color="auto" w:fill="F2F9F8"/>
          </w:tcPr>
          <w:p>
            <w:pPr>
              <w:pStyle w:val="Compact"/>
              <w:spacing w:after="20" w:before="20" w:line="240" w:lineRule="auto"/>
              <w:jc w:val="left"/>
            </w:pPr>
            <w:r>
              <w:rPr>
                <w:sz w:val="17"/>
              </w:rPr>
              <w:t xml:space="preserve">1</w:t>
            </w:r>
          </w:p>
        </w:tc>
        <w:tc>
          <w:tcPr>
            <w:shd w:val="clear" w:color="auto" w:fill="F2F9F8"/>
          </w:tcPr>
          <w:p>
            <w:pPr>
              <w:pStyle w:val="Compact"/>
              <w:spacing w:after="20" w:before="20" w:line="240" w:lineRule="auto"/>
              <w:jc w:val="left"/>
            </w:pPr>
            <w:r>
              <w:rPr>
                <w:sz w:val="17"/>
              </w:rPr>
              <w:t xml:space="preserve">Administrateur ou responsable d’une entité (ministère, régie, commune, Trésor, etc.)</w:t>
            </w:r>
          </w:p>
        </w:tc>
        <w:tc>
          <w:tcPr>
            <w:shd w:val="clear" w:color="auto" w:fill="F2F9F8"/>
          </w:tcPr>
          <w:p>
            <w:pPr>
              <w:pStyle w:val="Compact"/>
              <w:spacing w:after="20" w:before="20" w:line="240" w:lineRule="auto"/>
              <w:jc w:val="left"/>
            </w:pPr>
            <w:r>
              <w:rPr>
                <w:sz w:val="17"/>
              </w:rPr>
              <w:t xml:space="preserve">Ses directions et services, responsables de module, superviseurs, agents internes, sous-traitants de ses modules, et tout collaborateur de son entité</w:t>
            </w:r>
          </w:p>
        </w:tc>
        <w:tc>
          <w:tcPr>
            <w:shd w:val="clear" w:color="auto" w:fill="F2F9F8"/>
          </w:tcPr>
          <w:p>
            <w:pPr>
              <w:pStyle w:val="Compact"/>
              <w:spacing w:after="20" w:before="20" w:line="240" w:lineRule="auto"/>
              <w:jc w:val="left"/>
            </w:pPr>
            <w:r>
              <w:rPr>
                <w:sz w:val="17"/>
              </w:rPr>
              <w:t xml:space="preserve">Uniquement dans son entité et ses modules</w:t>
            </w:r>
          </w:p>
        </w:tc>
      </w:tr>
      <w:tr>
        <w:tc>
          <w:tcPr/>
          <w:p>
            <w:pPr>
              <w:pStyle w:val="Compact"/>
              <w:spacing w:after="20" w:before="20" w:line="240" w:lineRule="auto"/>
              <w:jc w:val="left"/>
            </w:pPr>
            <w:r>
              <w:rPr>
                <w:sz w:val="17"/>
              </w:rPr>
              <w:t xml:space="preserve">2</w:t>
            </w:r>
          </w:p>
        </w:tc>
        <w:tc>
          <w:tcPr/>
          <w:p>
            <w:pPr>
              <w:pStyle w:val="Compact"/>
              <w:spacing w:after="20" w:before="20" w:line="240" w:lineRule="auto"/>
              <w:jc w:val="left"/>
            </w:pPr>
            <w:r>
              <w:rPr>
                <w:sz w:val="17"/>
              </w:rPr>
              <w:t xml:space="preserve">Responsable de module, sous-traitant accrédité</w:t>
            </w:r>
          </w:p>
        </w:tc>
        <w:tc>
          <w:tcPr/>
          <w:p>
            <w:pPr>
              <w:pStyle w:val="Compact"/>
              <w:spacing w:after="20" w:before="20" w:line="240" w:lineRule="auto"/>
              <w:jc w:val="left"/>
            </w:pPr>
            <w:r>
              <w:rPr>
                <w:sz w:val="17"/>
              </w:rPr>
              <w:t xml:space="preserve">Superviseurs et agents de terrain</w:t>
            </w:r>
          </w:p>
        </w:tc>
        <w:tc>
          <w:tcPr/>
          <w:p>
            <w:pPr>
              <w:pStyle w:val="Compact"/>
              <w:spacing w:after="20" w:before="20" w:line="240" w:lineRule="auto"/>
              <w:jc w:val="left"/>
            </w:pPr>
            <w:r>
              <w:rPr>
                <w:sz w:val="17"/>
              </w:rPr>
              <w:t xml:space="preserve">Uniquement dans son module ou son lot</w:t>
            </w:r>
          </w:p>
        </w:tc>
      </w:tr>
      <w:tr>
        <w:tc>
          <w:tcPr>
            <w:shd w:val="clear" w:color="auto" w:fill="F2F9F8"/>
          </w:tcPr>
          <w:p>
            <w:pPr>
              <w:pStyle w:val="Compact"/>
              <w:spacing w:after="20" w:before="20" w:line="240" w:lineRule="auto"/>
              <w:jc w:val="left"/>
            </w:pPr>
            <w:r>
              <w:rPr>
                <w:sz w:val="17"/>
              </w:rPr>
              <w:t xml:space="preserve">3</w:t>
            </w:r>
          </w:p>
        </w:tc>
        <w:tc>
          <w:tcPr>
            <w:shd w:val="clear" w:color="auto" w:fill="F2F9F8"/>
          </w:tcPr>
          <w:p>
            <w:pPr>
              <w:pStyle w:val="Compact"/>
              <w:spacing w:after="20" w:before="20" w:line="240" w:lineRule="auto"/>
              <w:jc w:val="left"/>
            </w:pPr>
            <w:r>
              <w:rPr>
                <w:sz w:val="17"/>
              </w:rPr>
              <w:t xml:space="preserve">Superviseur, si ce droit lui a été délégué</w:t>
            </w:r>
          </w:p>
        </w:tc>
        <w:tc>
          <w:tcPr>
            <w:shd w:val="clear" w:color="auto" w:fill="F2F9F8"/>
          </w:tcPr>
          <w:p>
            <w:pPr>
              <w:pStyle w:val="Compact"/>
              <w:spacing w:after="20" w:before="20" w:line="240" w:lineRule="auto"/>
              <w:jc w:val="left"/>
            </w:pPr>
            <w:r>
              <w:rPr>
                <w:sz w:val="17"/>
              </w:rPr>
              <w:t xml:space="preserve">Agents de son équipe</w:t>
            </w:r>
          </w:p>
        </w:tc>
        <w:tc>
          <w:tcPr>
            <w:shd w:val="clear" w:color="auto" w:fill="F2F9F8"/>
          </w:tcPr>
          <w:p>
            <w:pPr>
              <w:pStyle w:val="Compact"/>
              <w:spacing w:after="20" w:before="20" w:line="240" w:lineRule="auto"/>
              <w:jc w:val="left"/>
            </w:pPr>
            <w:r>
              <w:rPr>
                <w:sz w:val="17"/>
              </w:rPr>
              <w:t xml:space="preserve">Uniquement dans son équipe, sa zone et sa période</w:t>
            </w:r>
          </w:p>
        </w:tc>
      </w:tr>
    </w:tbl>
    <w:p>
      <w:pPr>
        <w:pStyle w:val="BodyText"/>
      </w:pPr>
      <w:r>
        <w:t xml:space="preserve">L’administrateur de la plateforme peut inviter à tous les niveaux, y compris un agent de terrain ; chaque entité peut à son tour inviter et ajouter des personnes à différents niveaux d’accès, y compris des agents de terrain. Trois règles s’appliquent à toute invitation :</w:t>
      </w:r>
    </w:p>
    <w:p>
      <w:pPr>
        <w:pStyle w:val="Compact"/>
        <w:numPr>
          <w:ilvl w:val="0"/>
          <w:numId w:val="1030"/>
        </w:numPr>
      </w:pPr>
      <w:r>
        <w:rPr>
          <w:b/>
          <w:bCs/>
        </w:rPr>
        <w:t xml:space="preserve">Pas d’élévation</w:t>
      </w:r>
      <w:r>
        <w:t xml:space="preserve"> </w:t>
      </w:r>
      <w:r>
        <w:t xml:space="preserve">: on ne peut accorder qu’un niveau d’accès et un périmètre inférieurs ou égaux aux siens. L’administrateur de la plateforme fait exception pour l’accès, mais il reste soumis aux garde-fous du § 12A.6.</w:t>
      </w:r>
    </w:p>
    <w:p>
      <w:pPr>
        <w:pStyle w:val="Compact"/>
        <w:numPr>
          <w:ilvl w:val="0"/>
          <w:numId w:val="1030"/>
        </w:numPr>
      </w:pPr>
      <w:r>
        <w:rPr>
          <w:b/>
          <w:bCs/>
        </w:rPr>
        <w:t xml:space="preserve">Pas de sortie de périmètre</w:t>
      </w:r>
      <w:r>
        <w:t xml:space="preserve"> </w:t>
      </w:r>
      <w:r>
        <w:t xml:space="preserve">: une entité ne peut inviter que dans son propre espace ; elle ne peut ni voir ni gérer les comptes d’une autre entité (§ 10A).</w:t>
      </w:r>
    </w:p>
    <w:p>
      <w:pPr>
        <w:pStyle w:val="Compact"/>
        <w:numPr>
          <w:ilvl w:val="0"/>
          <w:numId w:val="1030"/>
        </w:numPr>
      </w:pPr>
      <w:r>
        <w:rPr>
          <w:b/>
          <w:bCs/>
        </w:rPr>
        <w:t xml:space="preserve">Le droit d’inviter est lui-même une permission</w:t>
      </w:r>
      <w:r>
        <w:t xml:space="preserve">, accordée explicitement, délégable et révocable.</w:t>
      </w:r>
    </w:p>
    <w:bookmarkEnd w:id="131"/>
    <w:bookmarkStart w:id="132" w:name="Xd36bb828ae24d3593a9497186697a11a7a4fcb1"/>
    <w:p>
      <w:pPr>
        <w:pStyle w:val="Heading2"/>
      </w:pPr>
      <w:r>
        <w:t xml:space="preserve">12A.3 Création des espaces et rattachement des modules</w:t>
      </w:r>
    </w:p>
    <w:p>
      <w:pPr>
        <w:pStyle w:val="Compact"/>
        <w:numPr>
          <w:ilvl w:val="0"/>
          <w:numId w:val="1031"/>
        </w:numPr>
      </w:pPr>
      <w:r>
        <w:t xml:space="preserve">L’administrateur de la plateforme crée l’espace de chaque entité et y rattache les modules qui relèvent de sa compétence : par exemple les modules stationnement, autorisations de transport et embarquement au ministère des Transports, les modules patente et marchés au ministère de l’Économie, ou un module à une commune ou à un opérateur délégué.</w:t>
      </w:r>
    </w:p>
    <w:p>
      <w:pPr>
        <w:pStyle w:val="Compact"/>
        <w:numPr>
          <w:ilvl w:val="0"/>
          <w:numId w:val="1031"/>
        </w:numPr>
      </w:pPr>
      <w:r>
        <w:t xml:space="preserve">Un module peut être rattaché à une entité responsable et partagé en lecture avec d’autres entités intéressées ; il n’a qu’une seule entité responsable à un instant donné.</w:t>
      </w:r>
    </w:p>
    <w:p>
      <w:pPr>
        <w:pStyle w:val="Compact"/>
        <w:numPr>
          <w:ilvl w:val="0"/>
          <w:numId w:val="1031"/>
        </w:numPr>
      </w:pPr>
      <w:r>
        <w:t xml:space="preserve">Le rattachement est préparé par l’administrateur à partir d’une fiche de configuration approuvée (§ 10A.4). Parce qu’il détermine les droits d’accès aux données et la part de 10 % revenant au ministère de tutelle (§ 37A.5),</w:t>
      </w:r>
      <w:r>
        <w:t xml:space="preserve"> </w:t>
      </w:r>
      <w:r>
        <w:rPr>
          <w:b/>
          <w:bCs/>
        </w:rPr>
        <w:t xml:space="preserve">tout rattachement ou changement de rattachement n’entre en vigueur qu’après une seconde validation</w:t>
      </w:r>
      <w:r>
        <w:t xml:space="preserve"> </w:t>
      </w:r>
      <w:r>
        <w:t xml:space="preserve">par le comité de pilotage, sur référence de l’arrêté applicable. L’historique des rattachements est conservé.</w:t>
      </w:r>
    </w:p>
    <w:bookmarkEnd w:id="132"/>
    <w:bookmarkStart w:id="133" w:name="a.4-niveaux-daccès-standard"/>
    <w:p>
      <w:pPr>
        <w:pStyle w:val="Heading2"/>
      </w:pPr>
      <w:r>
        <w:t xml:space="preserve">12A.4 Niveaux d’accès standard</w:t>
      </w:r>
    </w:p>
    <w:p>
      <w:pPr>
        <w:pStyle w:val="FirstParagraph"/>
      </w:pPr>
      <w:r>
        <w:t xml:space="preserve">Chaque entité compose ses rôles à partir de niveaux standard, puis les restreint par attributs : territoire, module, dossier, période, appareil (§ 12).</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Niveau</w:t>
            </w:r>
          </w:p>
        </w:tc>
        <w:tc>
          <w:tcPr>
            <w:shd w:val="clear" w:color="auto" w:fill="1BA996"/>
          </w:tcPr>
          <w:p>
            <w:pPr>
              <w:pStyle w:val="Compact"/>
              <w:spacing w:after="20" w:before="20" w:line="240" w:lineRule="auto"/>
              <w:jc w:val="left"/>
            </w:pPr>
            <w:r>
              <w:rPr>
                <w:b/>
                <w:color w:val="FFFFFF"/>
                <w:sz w:val="17"/>
              </w:rPr>
              <w:t xml:space="preserve">Usage type</w:t>
            </w:r>
          </w:p>
        </w:tc>
        <w:tc>
          <w:tcPr>
            <w:shd w:val="clear" w:color="auto" w:fill="1BA996"/>
          </w:tcPr>
          <w:p>
            <w:pPr>
              <w:pStyle w:val="Compact"/>
              <w:spacing w:after="20" w:before="20" w:line="240" w:lineRule="auto"/>
              <w:jc w:val="left"/>
            </w:pPr>
            <w:r>
              <w:rPr>
                <w:b/>
                <w:color w:val="FFFFFF"/>
                <w:sz w:val="17"/>
              </w:rPr>
              <w:t xml:space="preserve">Peut inviter</w:t>
            </w:r>
          </w:p>
        </w:tc>
      </w:tr>
      <w:tr>
        <w:tc>
          <w:tcPr/>
          <w:p>
            <w:pPr>
              <w:pStyle w:val="Compact"/>
              <w:spacing w:after="20" w:before="20" w:line="240" w:lineRule="auto"/>
              <w:jc w:val="left"/>
            </w:pPr>
            <w:r>
              <w:rPr>
                <w:sz w:val="17"/>
              </w:rPr>
              <w:t xml:space="preserve">Consultation</w:t>
            </w:r>
          </w:p>
        </w:tc>
        <w:tc>
          <w:tcPr/>
          <w:p>
            <w:pPr>
              <w:pStyle w:val="Compact"/>
              <w:spacing w:after="20" w:before="20" w:line="240" w:lineRule="auto"/>
              <w:jc w:val="left"/>
            </w:pPr>
            <w:r>
              <w:rPr>
                <w:sz w:val="17"/>
              </w:rPr>
              <w:t xml:space="preserve">Lecture de tableaux de bord et de dossiers dans le périmètre</w:t>
            </w:r>
          </w:p>
        </w:tc>
        <w:tc>
          <w:tcPr/>
          <w:p>
            <w:pPr>
              <w:pStyle w:val="Compact"/>
              <w:spacing w:after="20" w:before="20" w:line="240" w:lineRule="auto"/>
              <w:jc w:val="left"/>
            </w:pPr>
            <w:r>
              <w:rPr>
                <w:sz w:val="17"/>
              </w:rPr>
              <w:t xml:space="preserve">Non</w:t>
            </w:r>
          </w:p>
        </w:tc>
      </w:tr>
      <w:tr>
        <w:tc>
          <w:tcPr>
            <w:shd w:val="clear" w:color="auto" w:fill="F2F9F8"/>
          </w:tcPr>
          <w:p>
            <w:pPr>
              <w:pStyle w:val="Compact"/>
              <w:spacing w:after="20" w:before="20" w:line="240" w:lineRule="auto"/>
              <w:jc w:val="left"/>
            </w:pPr>
            <w:r>
              <w:rPr>
                <w:sz w:val="17"/>
              </w:rPr>
              <w:t xml:space="preserve">Agent de terrain</w:t>
            </w:r>
          </w:p>
        </w:tc>
        <w:tc>
          <w:tcPr>
            <w:shd w:val="clear" w:color="auto" w:fill="F2F9F8"/>
          </w:tcPr>
          <w:p>
            <w:pPr>
              <w:pStyle w:val="Compact"/>
              <w:spacing w:after="20" w:before="20" w:line="240" w:lineRule="auto"/>
              <w:jc w:val="left"/>
            </w:pPr>
            <w:r>
              <w:rPr>
                <w:sz w:val="17"/>
              </w:rPr>
              <w:t xml:space="preserve">Missions, constats, enrôlement assisté, contrôles de titres</w:t>
            </w:r>
          </w:p>
        </w:tc>
        <w:tc>
          <w:tcPr>
            <w:shd w:val="clear" w:color="auto" w:fill="F2F9F8"/>
          </w:tcPr>
          <w:p>
            <w:pPr>
              <w:pStyle w:val="Compact"/>
              <w:spacing w:after="20" w:before="20" w:line="240" w:lineRule="auto"/>
              <w:jc w:val="left"/>
            </w:pPr>
            <w:r>
              <w:rPr>
                <w:sz w:val="17"/>
              </w:rPr>
              <w:t xml:space="preserve">Non</w:t>
            </w:r>
          </w:p>
        </w:tc>
      </w:tr>
      <w:tr>
        <w:tc>
          <w:tcPr/>
          <w:p>
            <w:pPr>
              <w:pStyle w:val="Compact"/>
              <w:spacing w:after="20" w:before="20" w:line="240" w:lineRule="auto"/>
              <w:jc w:val="left"/>
            </w:pPr>
            <w:r>
              <w:rPr>
                <w:sz w:val="17"/>
              </w:rPr>
              <w:t xml:space="preserve">Opérateur</w:t>
            </w:r>
          </w:p>
        </w:tc>
        <w:tc>
          <w:tcPr/>
          <w:p>
            <w:pPr>
              <w:pStyle w:val="Compact"/>
              <w:spacing w:after="20" w:before="20" w:line="240" w:lineRule="auto"/>
              <w:jc w:val="left"/>
            </w:pPr>
            <w:r>
              <w:rPr>
                <w:sz w:val="17"/>
              </w:rPr>
              <w:t xml:space="preserve">Traitement des dossiers, déclarations, notifications</w:t>
            </w:r>
          </w:p>
        </w:tc>
        <w:tc>
          <w:tcPr/>
          <w:p>
            <w:pPr>
              <w:pStyle w:val="Compact"/>
              <w:spacing w:after="20" w:before="20" w:line="240" w:lineRule="auto"/>
              <w:jc w:val="left"/>
            </w:pPr>
            <w:r>
              <w:rPr>
                <w:sz w:val="17"/>
              </w:rPr>
              <w:t xml:space="preserve">Non</w:t>
            </w:r>
          </w:p>
        </w:tc>
      </w:tr>
      <w:tr>
        <w:tc>
          <w:tcPr>
            <w:shd w:val="clear" w:color="auto" w:fill="F2F9F8"/>
          </w:tcPr>
          <w:p>
            <w:pPr>
              <w:pStyle w:val="Compact"/>
              <w:spacing w:after="20" w:before="20" w:line="240" w:lineRule="auto"/>
              <w:jc w:val="left"/>
            </w:pPr>
            <w:r>
              <w:rPr>
                <w:sz w:val="17"/>
              </w:rPr>
              <w:t xml:space="preserve">Superviseur</w:t>
            </w:r>
          </w:p>
        </w:tc>
        <w:tc>
          <w:tcPr>
            <w:shd w:val="clear" w:color="auto" w:fill="F2F9F8"/>
          </w:tcPr>
          <w:p>
            <w:pPr>
              <w:pStyle w:val="Compact"/>
              <w:spacing w:after="20" w:before="20" w:line="240" w:lineRule="auto"/>
              <w:jc w:val="left"/>
            </w:pPr>
            <w:r>
              <w:rPr>
                <w:sz w:val="17"/>
              </w:rPr>
              <w:t xml:space="preserve">Encadrement d’équipes, affectation des missions, contrôle qualité</w:t>
            </w:r>
          </w:p>
        </w:tc>
        <w:tc>
          <w:tcPr>
            <w:shd w:val="clear" w:color="auto" w:fill="F2F9F8"/>
          </w:tcPr>
          <w:p>
            <w:pPr>
              <w:pStyle w:val="Compact"/>
              <w:spacing w:after="20" w:before="20" w:line="240" w:lineRule="auto"/>
              <w:jc w:val="left"/>
            </w:pPr>
            <w:r>
              <w:rPr>
                <w:sz w:val="17"/>
              </w:rPr>
              <w:t xml:space="preserve">Sur délégation</w:t>
            </w:r>
          </w:p>
        </w:tc>
      </w:tr>
      <w:tr>
        <w:tc>
          <w:tcPr/>
          <w:p>
            <w:pPr>
              <w:pStyle w:val="Compact"/>
              <w:spacing w:after="20" w:before="20" w:line="240" w:lineRule="auto"/>
              <w:jc w:val="left"/>
            </w:pPr>
            <w:r>
              <w:rPr>
                <w:sz w:val="17"/>
              </w:rPr>
              <w:t xml:space="preserve">Responsable de module</w:t>
            </w:r>
          </w:p>
        </w:tc>
        <w:tc>
          <w:tcPr/>
          <w:p>
            <w:pPr>
              <w:pStyle w:val="Compact"/>
              <w:spacing w:after="20" w:before="20" w:line="240" w:lineRule="auto"/>
              <w:jc w:val="left"/>
            </w:pPr>
            <w:r>
              <w:rPr>
                <w:sz w:val="17"/>
              </w:rPr>
              <w:t xml:space="preserve">Pilotage d’un module, de ses équipes et de ses sous-traitants</w:t>
            </w:r>
          </w:p>
        </w:tc>
        <w:tc>
          <w:tcPr/>
          <w:p>
            <w:pPr>
              <w:pStyle w:val="Compact"/>
              <w:spacing w:after="20" w:before="20" w:line="240" w:lineRule="auto"/>
              <w:jc w:val="left"/>
            </w:pPr>
            <w:r>
              <w:rPr>
                <w:sz w:val="17"/>
              </w:rPr>
              <w:t xml:space="preserve">Oui, dans le module</w:t>
            </w:r>
          </w:p>
        </w:tc>
      </w:tr>
      <w:tr>
        <w:tc>
          <w:tcPr>
            <w:shd w:val="clear" w:color="auto" w:fill="F2F9F8"/>
          </w:tcPr>
          <w:p>
            <w:pPr>
              <w:pStyle w:val="Compact"/>
              <w:spacing w:after="20" w:before="20" w:line="240" w:lineRule="auto"/>
              <w:jc w:val="left"/>
            </w:pPr>
            <w:r>
              <w:rPr>
                <w:sz w:val="17"/>
              </w:rPr>
              <w:t xml:space="preserve">Opérateur d’accès désigné</w:t>
            </w:r>
          </w:p>
        </w:tc>
        <w:tc>
          <w:tcPr>
            <w:shd w:val="clear" w:color="auto" w:fill="F2F9F8"/>
          </w:tcPr>
          <w:p>
            <w:pPr>
              <w:pStyle w:val="Compact"/>
              <w:spacing w:after="20" w:before="20" w:line="240" w:lineRule="auto"/>
              <w:jc w:val="left"/>
            </w:pPr>
            <w:r>
              <w:rPr>
                <w:sz w:val="17"/>
              </w:rPr>
              <w:t xml:space="preserve">Inscription assistée des personnes invitées de son entité (§ 12A.7)</w:t>
            </w:r>
          </w:p>
        </w:tc>
        <w:tc>
          <w:tcPr>
            <w:shd w:val="clear" w:color="auto" w:fill="F2F9F8"/>
          </w:tcPr>
          <w:p>
            <w:pPr>
              <w:pStyle w:val="Compact"/>
              <w:spacing w:after="20" w:before="20" w:line="240" w:lineRule="auto"/>
              <w:jc w:val="left"/>
            </w:pPr>
            <w:r>
              <w:rPr>
                <w:sz w:val="17"/>
              </w:rPr>
              <w:t xml:space="preserve">Non, sauf délégation expresse</w:t>
            </w:r>
          </w:p>
        </w:tc>
      </w:tr>
      <w:tr>
        <w:tc>
          <w:tcPr/>
          <w:p>
            <w:pPr>
              <w:pStyle w:val="Compact"/>
              <w:spacing w:after="20" w:before="20" w:line="240" w:lineRule="auto"/>
              <w:jc w:val="left"/>
            </w:pPr>
            <w:r>
              <w:rPr>
                <w:sz w:val="17"/>
              </w:rPr>
              <w:t xml:space="preserve">Administrateur d’entité</w:t>
            </w:r>
          </w:p>
        </w:tc>
        <w:tc>
          <w:tcPr/>
          <w:p>
            <w:pPr>
              <w:pStyle w:val="Compact"/>
              <w:spacing w:after="20" w:before="20" w:line="240" w:lineRule="auto"/>
              <w:jc w:val="left"/>
            </w:pPr>
            <w:r>
              <w:rPr>
                <w:sz w:val="17"/>
              </w:rPr>
              <w:t xml:space="preserve">Gestion des comptes et des rôles de l’entité</w:t>
            </w:r>
          </w:p>
        </w:tc>
        <w:tc>
          <w:tcPr/>
          <w:p>
            <w:pPr>
              <w:pStyle w:val="Compact"/>
              <w:spacing w:after="20" w:before="20" w:line="240" w:lineRule="auto"/>
              <w:jc w:val="left"/>
            </w:pPr>
            <w:r>
              <w:rPr>
                <w:sz w:val="17"/>
              </w:rPr>
              <w:t xml:space="preserve">Oui, dans l’entité</w:t>
            </w:r>
          </w:p>
        </w:tc>
      </w:tr>
      <w:tr>
        <w:tc>
          <w:tcPr>
            <w:shd w:val="clear" w:color="auto" w:fill="F2F9F8"/>
          </w:tcPr>
          <w:p>
            <w:pPr>
              <w:pStyle w:val="Compact"/>
              <w:spacing w:after="20" w:before="20" w:line="240" w:lineRule="auto"/>
              <w:jc w:val="left"/>
            </w:pPr>
            <w:r>
              <w:rPr>
                <w:sz w:val="17"/>
              </w:rPr>
              <w:t xml:space="preserve">Direction et exécutif</w:t>
            </w:r>
          </w:p>
        </w:tc>
        <w:tc>
          <w:tcPr>
            <w:shd w:val="clear" w:color="auto" w:fill="F2F9F8"/>
          </w:tcPr>
          <w:p>
            <w:pPr>
              <w:pStyle w:val="Compact"/>
              <w:spacing w:after="20" w:before="20" w:line="240" w:lineRule="auto"/>
              <w:jc w:val="left"/>
            </w:pPr>
            <w:r>
              <w:rPr>
                <w:sz w:val="17"/>
              </w:rPr>
              <w:t xml:space="preserve">Vision stratégique, décisions, arbitrages</w:t>
            </w:r>
          </w:p>
        </w:tc>
        <w:tc>
          <w:tcPr>
            <w:shd w:val="clear" w:color="auto" w:fill="F2F9F8"/>
          </w:tcPr>
          <w:p>
            <w:pPr>
              <w:pStyle w:val="Compact"/>
              <w:spacing w:after="20" w:before="20" w:line="240" w:lineRule="auto"/>
              <w:jc w:val="left"/>
            </w:pPr>
            <w:r>
              <w:rPr>
                <w:sz w:val="17"/>
              </w:rPr>
              <w:t xml:space="preserve">Oui, dans l’entité</w:t>
            </w:r>
          </w:p>
        </w:tc>
      </w:tr>
      <w:tr>
        <w:tc>
          <w:tcPr/>
          <w:p>
            <w:pPr>
              <w:pStyle w:val="Compact"/>
              <w:spacing w:after="20" w:before="20" w:line="240" w:lineRule="auto"/>
              <w:jc w:val="left"/>
            </w:pPr>
            <w:r>
              <w:rPr>
                <w:sz w:val="17"/>
              </w:rPr>
              <w:t xml:space="preserve">Audit et inspection</w:t>
            </w:r>
          </w:p>
        </w:tc>
        <w:tc>
          <w:tcPr/>
          <w:p>
            <w:pPr>
              <w:pStyle w:val="Compact"/>
              <w:spacing w:after="20" w:before="20" w:line="240" w:lineRule="auto"/>
              <w:jc w:val="left"/>
            </w:pPr>
            <w:r>
              <w:rPr>
                <w:sz w:val="17"/>
              </w:rPr>
              <w:t xml:space="preserve">Lecture intégrale des preuves, investigations</w:t>
            </w:r>
          </w:p>
        </w:tc>
        <w:tc>
          <w:tcPr/>
          <w:p>
            <w:pPr>
              <w:pStyle w:val="Compact"/>
              <w:spacing w:after="20" w:before="20" w:line="240" w:lineRule="auto"/>
              <w:jc w:val="left"/>
            </w:pPr>
            <w:r>
              <w:rPr>
                <w:sz w:val="17"/>
              </w:rPr>
              <w:t xml:space="preserve">Non (comptes créés par l’administrateur, validés par l’autorité d’audit)</w:t>
            </w:r>
          </w:p>
        </w:tc>
      </w:tr>
      <w:tr>
        <w:tc>
          <w:tcPr>
            <w:shd w:val="clear" w:color="auto" w:fill="F2F9F8"/>
          </w:tcPr>
          <w:p>
            <w:pPr>
              <w:pStyle w:val="Compact"/>
              <w:spacing w:after="20" w:before="20" w:line="240" w:lineRule="auto"/>
              <w:jc w:val="left"/>
            </w:pPr>
            <w:r>
              <w:rPr>
                <w:sz w:val="17"/>
              </w:rPr>
              <w:t xml:space="preserve">Administration technique</w:t>
            </w:r>
          </w:p>
        </w:tc>
        <w:tc>
          <w:tcPr>
            <w:shd w:val="clear" w:color="auto" w:fill="F2F9F8"/>
          </w:tcPr>
          <w:p>
            <w:pPr>
              <w:pStyle w:val="Compact"/>
              <w:spacing w:after="20" w:before="20" w:line="240" w:lineRule="auto"/>
              <w:jc w:val="left"/>
            </w:pPr>
            <w:r>
              <w:rPr>
                <w:sz w:val="17"/>
              </w:rPr>
              <w:t xml:space="preserve">Exploitation de la plateforme, sans pouvoir fiscal ni financier</w:t>
            </w:r>
          </w:p>
        </w:tc>
        <w:tc>
          <w:tcPr>
            <w:shd w:val="clear" w:color="auto" w:fill="F2F9F8"/>
          </w:tcPr>
          <w:p>
            <w:pPr>
              <w:pStyle w:val="Compact"/>
              <w:spacing w:after="20" w:before="20" w:line="240" w:lineRule="auto"/>
              <w:jc w:val="left"/>
            </w:pPr>
            <w:r>
              <w:rPr>
                <w:sz w:val="17"/>
              </w:rPr>
              <w:t xml:space="preserve">Oui, selon le § 12A.6</w:t>
            </w:r>
          </w:p>
        </w:tc>
      </w:tr>
    </w:tbl>
    <w:bookmarkEnd w:id="133"/>
    <w:bookmarkStart w:id="134" w:name="a.5-cycle-de-vie-dune-invitation"/>
    <w:p>
      <w:pPr>
        <w:pStyle w:val="Heading2"/>
      </w:pPr>
      <w:r>
        <w:t xml:space="preserve">12A.5 Cycle de vie d’une invitation</w:t>
      </w:r>
    </w:p>
    <w:p>
      <w:pPr>
        <w:pStyle w:val="Compact"/>
        <w:numPr>
          <w:ilvl w:val="0"/>
          <w:numId w:val="1032"/>
        </w:numPr>
      </w:pPr>
      <w:r>
        <w:rPr>
          <w:b/>
          <w:bCs/>
        </w:rPr>
        <w:t xml:space="preserve">Invitation nominative</w:t>
      </w:r>
      <w:r>
        <w:t xml:space="preserve"> </w:t>
      </w:r>
      <w:r>
        <w:t xml:space="preserve">: nom, téléphone, courriel le cas échéant, entité, niveau d’accès, périmètre, date de fin éventuelle, motif.</w:t>
      </w:r>
    </w:p>
    <w:p>
      <w:pPr>
        <w:pStyle w:val="Compact"/>
        <w:numPr>
          <w:ilvl w:val="0"/>
          <w:numId w:val="1032"/>
        </w:numPr>
      </w:pPr>
      <w:r>
        <w:rPr>
          <w:b/>
          <w:bCs/>
        </w:rPr>
        <w:t xml:space="preserve">Envoi d’un lien et d’un code à usage unique</w:t>
      </w:r>
      <w:r>
        <w:t xml:space="preserve"> </w:t>
      </w:r>
      <w:r>
        <w:t xml:space="preserve">par SMS ou courriel, valables pour une durée limitée et liés au numéro invité.</w:t>
      </w:r>
      <w:r>
        <w:t xml:space="preserve"> </w:t>
      </w:r>
      <w:r>
        <w:rPr>
          <w:b/>
          <w:bCs/>
        </w:rPr>
        <w:t xml:space="preserve">Seul ce lien permet de finaliser l’inscription</w:t>
      </w:r>
      <w:r>
        <w:t xml:space="preserve"> </w:t>
      </w:r>
      <w:r>
        <w:t xml:space="preserve">; il ne peut servir qu’une fois et ne fonctionne pas depuis un autre numéro. À défaut, l’inscription est finalisée avec l’opérateur d’accès désigné de l’entité (§ 12A.7).</w:t>
      </w:r>
    </w:p>
    <w:p>
      <w:pPr>
        <w:pStyle w:val="Compact"/>
        <w:numPr>
          <w:ilvl w:val="0"/>
          <w:numId w:val="1032"/>
        </w:numPr>
      </w:pPr>
      <w:r>
        <w:rPr>
          <w:b/>
          <w:bCs/>
        </w:rPr>
        <w:t xml:space="preserve">Vérification d’identité</w:t>
      </w:r>
      <w:r>
        <w:t xml:space="preserve"> </w:t>
      </w:r>
      <w:r>
        <w:t xml:space="preserve">: code à usage unique, pièce d’identité, photographie ; pour un agent, liaison à un terminal enregistré (§ 15.4).</w:t>
      </w:r>
    </w:p>
    <w:p>
      <w:pPr>
        <w:pStyle w:val="Compact"/>
        <w:numPr>
          <w:ilvl w:val="0"/>
          <w:numId w:val="1032"/>
        </w:numPr>
      </w:pPr>
      <w:r>
        <w:rPr>
          <w:b/>
          <w:bCs/>
        </w:rPr>
        <w:t xml:space="preserve">Sécurisation du compte</w:t>
      </w:r>
      <w:r>
        <w:t xml:space="preserve"> </w:t>
      </w:r>
      <w:r>
        <w:t xml:space="preserve">: authentification multifacteur, clé d’accès résistante au hameçonnage pour les rôles sensibles.</w:t>
      </w:r>
    </w:p>
    <w:p>
      <w:pPr>
        <w:pStyle w:val="Compact"/>
        <w:numPr>
          <w:ilvl w:val="0"/>
          <w:numId w:val="1032"/>
        </w:numPr>
      </w:pPr>
      <w:r>
        <w:rPr>
          <w:b/>
          <w:bCs/>
        </w:rPr>
        <w:t xml:space="preserve">Activation</w:t>
      </w:r>
      <w:r>
        <w:t xml:space="preserve"> </w:t>
      </w:r>
      <w:r>
        <w:t xml:space="preserve">:</w:t>
      </w:r>
    </w:p>
    <w:p>
      <w:pPr>
        <w:pStyle w:val="Compact"/>
        <w:numPr>
          <w:ilvl w:val="1"/>
          <w:numId w:val="1033"/>
        </w:numPr>
      </w:pPr>
      <w:r>
        <w:t xml:space="preserve">automatique pour les niveaux standard ;</w:t>
      </w:r>
    </w:p>
    <w:p>
      <w:pPr>
        <w:pStyle w:val="Compact"/>
        <w:numPr>
          <w:ilvl w:val="1"/>
          <w:numId w:val="1033"/>
        </w:numPr>
      </w:pPr>
      <w:r>
        <w:t xml:space="preserve">après habilitation par la régie pour les agents de terrain (formation certifiée, § 15A.4) ;</w:t>
      </w:r>
    </w:p>
    <w:p>
      <w:pPr>
        <w:pStyle w:val="Compact"/>
        <w:numPr>
          <w:ilvl w:val="1"/>
          <w:numId w:val="1033"/>
        </w:numPr>
      </w:pPr>
      <w:r>
        <w:t xml:space="preserve">après une seconde validation pour les rôles sensibles : comptes du Gouverneur, du Cabinet et des ministres, Trésor et finances, juridique et publication des règles, audit, administrateurs d’entité, approbateurs de comptes bénéficiaires, et tout compte disposant du droit d’inviter.</w:t>
      </w:r>
    </w:p>
    <w:p>
      <w:pPr>
        <w:pStyle w:val="Compact"/>
        <w:numPr>
          <w:ilvl w:val="0"/>
          <w:numId w:val="1032"/>
        </w:numPr>
      </w:pPr>
      <w:r>
        <w:rPr>
          <w:b/>
          <w:bCs/>
        </w:rPr>
        <w:t xml:space="preserve">Vie du compte</w:t>
      </w:r>
      <w:r>
        <w:t xml:space="preserve"> </w:t>
      </w:r>
      <w:r>
        <w:t xml:space="preserve">: revue trimestrielle des accès (§ 12.1), expiration automatique des accès temporaires, changement de rôle par nouvelle validation.</w:t>
      </w:r>
    </w:p>
    <w:p>
      <w:pPr>
        <w:pStyle w:val="Compact"/>
        <w:numPr>
          <w:ilvl w:val="0"/>
          <w:numId w:val="1032"/>
        </w:numPr>
      </w:pPr>
      <w:r>
        <w:rPr>
          <w:b/>
          <w:bCs/>
        </w:rPr>
        <w:t xml:space="preserve">Sortie</w:t>
      </w:r>
      <w:r>
        <w:t xml:space="preserve"> </w:t>
      </w:r>
      <w:r>
        <w:t xml:space="preserve">: révocation immédiate du compte et de ses terminaux. La suspension d’une entité ou d’un sous-traitant révoque tous ses comptes. Le départ d’un responsable ne révoque pas les comptes qu’il a invités : ils sont rattachés à son successeur ou à l’administrateur de l’entité.</w:t>
      </w:r>
    </w:p>
    <w:bookmarkEnd w:id="134"/>
    <w:bookmarkStart w:id="135" w:name="Xa10c8558a414f997afa278c578ecfc3318eea85"/>
    <w:p>
      <w:pPr>
        <w:pStyle w:val="Heading2"/>
      </w:pPr>
      <w:r>
        <w:t xml:space="preserve">12A.6 Garde-fous applicables à l’administrateur de la plateforme</w:t>
      </w:r>
    </w:p>
    <w:p>
      <w:pPr>
        <w:pStyle w:val="Compact"/>
        <w:numPr>
          <w:ilvl w:val="0"/>
          <w:numId w:val="1034"/>
        </w:numPr>
      </w:pPr>
      <w:r>
        <w:t xml:space="preserve">Il invite, crée les espaces et prépare les rattachements, mais</w:t>
      </w:r>
      <w:r>
        <w:t xml:space="preserve"> </w:t>
      </w:r>
      <w:r>
        <w:rPr>
          <w:b/>
          <w:bCs/>
        </w:rPr>
        <w:t xml:space="preserve">ne peut s’attribuer aucun rôle métier</w:t>
      </w:r>
      <w:r>
        <w:t xml:space="preserve">, ni consulter les données fiscales individuelles, ni modifier une dette, un paiement, un compte bénéficiaire, une règle ou une piste d’audit (§ 12, § 12.3).</w:t>
      </w:r>
    </w:p>
    <w:p>
      <w:pPr>
        <w:pStyle w:val="Compact"/>
        <w:numPr>
          <w:ilvl w:val="0"/>
          <w:numId w:val="1034"/>
        </w:numPr>
      </w:pPr>
      <w:r>
        <w:t xml:space="preserve">Il ne peut</w:t>
      </w:r>
      <w:r>
        <w:t xml:space="preserve"> </w:t>
      </w:r>
      <w:r>
        <w:rPr>
          <w:b/>
          <w:bCs/>
        </w:rPr>
        <w:t xml:space="preserve">activer seul aucun rôle sensible</w:t>
      </w:r>
      <w:r>
        <w:t xml:space="preserve"> </w:t>
      </w:r>
      <w:r>
        <w:t xml:space="preserve">: la seconde validation est obligatoire. Le compte du Gouverneur est confirmé hors bande par le Cabinet ou le Secrétariat du Gouvernement.</w:t>
      </w:r>
    </w:p>
    <w:p>
      <w:pPr>
        <w:pStyle w:val="Compact"/>
        <w:numPr>
          <w:ilvl w:val="0"/>
          <w:numId w:val="1034"/>
        </w:numPr>
      </w:pPr>
      <w:r>
        <w:t xml:space="preserve">Toute invitation, activation, modification de rôle ou révocation est journalisée et visible en temps réel par l’administrateur de l’entité concernée et par l’audit.</w:t>
      </w:r>
    </w:p>
    <w:p>
      <w:pPr>
        <w:pStyle w:val="Compact"/>
        <w:numPr>
          <w:ilvl w:val="0"/>
          <w:numId w:val="1034"/>
        </w:numPr>
      </w:pPr>
      <w:r>
        <w:t xml:space="preserve">Un accès d’urgence (break-glass) n’existe que pour l’exploitation technique ; il est motivé, limité dans le temps, enregistré et signalé immédiatement à l’audit et au comité de sécurité.</w:t>
      </w:r>
    </w:p>
    <w:bookmarkEnd w:id="135"/>
    <w:bookmarkStart w:id="136" w:name="Xa220dbd89f9925cc1c16375f08e471948871124"/>
    <w:p>
      <w:pPr>
        <w:pStyle w:val="Heading2"/>
      </w:pPr>
      <w:r>
        <w:t xml:space="preserve">12A.7 Inscription assistée par l’opérateur d’accès désigné</w:t>
      </w:r>
    </w:p>
    <w:p>
      <w:pPr>
        <w:pStyle w:val="FirstParagraph"/>
      </w:pPr>
      <w:r>
        <w:t xml:space="preserve">Certaines personnes invitées — agents de terrain sans smartphone ni courriel, personnel peu à l’aise avec le numérique, équipes recrutées en nombre — ne peuvent pas finaliser seules leur inscription depuis le lien. Chaque entité désigne donc un ou plusieurs</w:t>
      </w:r>
      <w:r>
        <w:t xml:space="preserve"> </w:t>
      </w:r>
      <w:r>
        <w:rPr>
          <w:b/>
          <w:bCs/>
        </w:rPr>
        <w:t xml:space="preserve">opérateurs d’accès</w:t>
      </w:r>
      <w:r>
        <w:t xml:space="preserve">, chargés d’inscrire les personnes invitées de leur entité.</w:t>
      </w:r>
    </w:p>
    <w:p>
      <w:pPr>
        <w:pStyle w:val="Compact"/>
        <w:numPr>
          <w:ilvl w:val="0"/>
          <w:numId w:val="1035"/>
        </w:numPr>
      </w:pPr>
      <w:r>
        <w:rPr>
          <w:b/>
          <w:bCs/>
        </w:rPr>
        <w:t xml:space="preserve">Désignation</w:t>
      </w:r>
      <w:r>
        <w:t xml:space="preserve"> </w:t>
      </w:r>
      <w:r>
        <w:t xml:space="preserve">: l’opérateur d’accès est lui-même invité et désigné par l’administrateur de l’entité, avec la permission expresse « inscription assistée des intervenants », validée en seconde validation. Il n’agit que pour son entité et, le cas échéant, pour les modules ou sous-traitants qui lui sont confiés.</w:t>
      </w:r>
    </w:p>
    <w:p>
      <w:pPr>
        <w:pStyle w:val="Compact"/>
        <w:numPr>
          <w:ilvl w:val="0"/>
          <w:numId w:val="1035"/>
        </w:numPr>
      </w:pPr>
      <w:r>
        <w:rPr>
          <w:b/>
          <w:bCs/>
        </w:rPr>
        <w:t xml:space="preserve">Uniquement pour des personnes déjà invitées</w:t>
      </w:r>
      <w:r>
        <w:t xml:space="preserve"> </w:t>
      </w:r>
      <w:r>
        <w:t xml:space="preserve">: l’opérateur ne crée aucun compte sans invitation préalable ; il ouvre l’invitation existante et la finalise. Il ne peut ni modifier le niveau d’accès ni élargir le périmètre prévus par l’invitation.</w:t>
      </w:r>
    </w:p>
    <w:p>
      <w:pPr>
        <w:pStyle w:val="Compact"/>
        <w:numPr>
          <w:ilvl w:val="0"/>
          <w:numId w:val="1035"/>
        </w:numPr>
      </w:pPr>
      <w:r>
        <w:rPr>
          <w:b/>
          <w:bCs/>
        </w:rPr>
        <w:t xml:space="preserve">En présence de la personne</w:t>
      </w:r>
      <w:r>
        <w:t xml:space="preserve"> </w:t>
      </w:r>
      <w:r>
        <w:t xml:space="preserve">: vérification de la pièce d’identité, photographie, code à usage unique envoyé au téléphone de la personne ; à défaut de téléphone, consentement par empreinte digitale ou devant témoin, comme pour l’enrôlement assisté du public (§ 13A.3).</w:t>
      </w:r>
    </w:p>
    <w:p>
      <w:pPr>
        <w:pStyle w:val="Compact"/>
        <w:numPr>
          <w:ilvl w:val="0"/>
          <w:numId w:val="1035"/>
        </w:numPr>
      </w:pPr>
      <w:r>
        <w:rPr>
          <w:b/>
          <w:bCs/>
        </w:rPr>
        <w:t xml:space="preserve">L’opérateur ne connaît jamais les secrets de la personne</w:t>
      </w:r>
      <w:r>
        <w:t xml:space="preserve"> </w:t>
      </w:r>
      <w:r>
        <w:t xml:space="preserve">: code personnel, mot de passe et second facteur sont définis par la personne elle-même, sur son terminal ou sur le terminal de terrain qui lui est attribué ; l’opérateur ne peut pas se connecter à sa place.</w:t>
      </w:r>
    </w:p>
    <w:p>
      <w:pPr>
        <w:pStyle w:val="Compact"/>
        <w:numPr>
          <w:ilvl w:val="0"/>
          <w:numId w:val="1035"/>
        </w:numPr>
      </w:pPr>
      <w:r>
        <w:rPr>
          <w:b/>
          <w:bCs/>
        </w:rPr>
        <w:t xml:space="preserve">Contrôles</w:t>
      </w:r>
      <w:r>
        <w:t xml:space="preserve"> </w:t>
      </w:r>
      <w:r>
        <w:t xml:space="preserve">: chaque inscription assistée est horodatée, géolocalisée, liée au terminal de l’opérateur, notifiée à la personne et à l’administrateur de l’entité, et visible par l’audit. Les rôles sensibles restent soumis à la seconde validation ; les agents de terrain restent soumis à l’habilitation par la régie (§ 15A.4).</w:t>
      </w:r>
    </w:p>
    <w:p>
      <w:pPr>
        <w:pStyle w:val="Compact"/>
        <w:numPr>
          <w:ilvl w:val="0"/>
          <w:numId w:val="1035"/>
        </w:numPr>
      </w:pPr>
      <w:r>
        <w:rPr>
          <w:b/>
          <w:bCs/>
        </w:rPr>
        <w:t xml:space="preserve">Volume</w:t>
      </w:r>
      <w:r>
        <w:t xml:space="preserve"> </w:t>
      </w:r>
      <w:r>
        <w:t xml:space="preserve">: l’opérateur peut traiter des inscriptions par lots lors des sessions de recrutement ou de formation, sans jamais créer de comptes génériques ou partagés.</w:t>
      </w:r>
    </w:p>
    <w:p>
      <w:pPr>
        <w:pStyle w:val="FirstParagraph"/>
      </w:pPr>
      <w:r>
        <w:rPr>
          <w:b/>
          <w:bCs/>
        </w:rPr>
        <w:t xml:space="preserve">Critères d’acceptation.</w:t>
      </w:r>
    </w:p>
    <w:p>
      <w:pPr>
        <w:pStyle w:val="Compact"/>
        <w:numPr>
          <w:ilvl w:val="0"/>
          <w:numId w:val="1036"/>
        </w:numPr>
      </w:pPr>
      <w:r>
        <w:rPr>
          <w:b/>
          <w:bCs/>
        </w:rPr>
        <w:t xml:space="preserve">Invitation obligatoire.</w:t>
      </w:r>
      <w:r>
        <w:t xml:space="preserve"> </w:t>
      </w:r>
      <w:r>
        <w:rPr>
          <w:b/>
          <w:bCs/>
        </w:rPr>
        <w:t xml:space="preserve">Étant donné</w:t>
      </w:r>
      <w:r>
        <w:t xml:space="preserve"> </w:t>
      </w:r>
      <w:r>
        <w:t xml:space="preserve">le parcours d’inscription publique,</w:t>
      </w:r>
      <w:r>
        <w:t xml:space="preserve"> </w:t>
      </w:r>
      <w:r>
        <w:rPr>
          <w:b/>
          <w:bCs/>
        </w:rPr>
        <w:t xml:space="preserve">lorsqu’</w:t>
      </w:r>
      <w:r>
        <w:t xml:space="preserve">un utilisateur tente de choisir un rôle de travail ou d’accéder à une fonction interne,</w:t>
      </w:r>
      <w:r>
        <w:t xml:space="preserve"> </w:t>
      </w:r>
      <w:r>
        <w:rPr>
          <w:b/>
          <w:bCs/>
        </w:rPr>
        <w:t xml:space="preserve">alors</w:t>
      </w:r>
      <w:r>
        <w:t xml:space="preserve"> </w:t>
      </w:r>
      <w:r>
        <w:t xml:space="preserve">l’accès est refusé : seul un compte de contribuable peut être créé.</w:t>
      </w:r>
    </w:p>
    <w:p>
      <w:pPr>
        <w:pStyle w:val="Compact"/>
        <w:numPr>
          <w:ilvl w:val="0"/>
          <w:numId w:val="1036"/>
        </w:numPr>
      </w:pPr>
      <w:r>
        <w:rPr>
          <w:b/>
          <w:bCs/>
        </w:rPr>
        <w:t xml:space="preserve">Pas d’élévation.</w:t>
      </w:r>
      <w:r>
        <w:t xml:space="preserve"> </w:t>
      </w:r>
      <w:r>
        <w:rPr>
          <w:b/>
          <w:bCs/>
        </w:rPr>
        <w:t xml:space="preserve">Étant donné</w:t>
      </w:r>
      <w:r>
        <w:t xml:space="preserve"> </w:t>
      </w:r>
      <w:r>
        <w:t xml:space="preserve">un responsable de module,</w:t>
      </w:r>
      <w:r>
        <w:t xml:space="preserve"> </w:t>
      </w:r>
      <w:r>
        <w:rPr>
          <w:b/>
          <w:bCs/>
        </w:rPr>
        <w:t xml:space="preserve">lorsqu’</w:t>
      </w:r>
      <w:r>
        <w:t xml:space="preserve">il invite une personne,</w:t>
      </w:r>
      <w:r>
        <w:t xml:space="preserve"> </w:t>
      </w:r>
      <w:r>
        <w:rPr>
          <w:b/>
          <w:bCs/>
        </w:rPr>
        <w:t xml:space="preserve">alors</w:t>
      </w:r>
      <w:r>
        <w:t xml:space="preserve"> </w:t>
      </w:r>
      <w:r>
        <w:t xml:space="preserve">il ne peut lui accorder qu’un niveau et un périmètre inférieurs ou égaux aux siens, dans son seul module.</w:t>
      </w:r>
    </w:p>
    <w:p>
      <w:pPr>
        <w:pStyle w:val="Compact"/>
        <w:numPr>
          <w:ilvl w:val="0"/>
          <w:numId w:val="1036"/>
        </w:numPr>
      </w:pPr>
      <w:r>
        <w:rPr>
          <w:b/>
          <w:bCs/>
        </w:rPr>
        <w:t xml:space="preserve">Lien d’invitation.</w:t>
      </w:r>
      <w:r>
        <w:t xml:space="preserve"> </w:t>
      </w:r>
      <w:r>
        <w:rPr>
          <w:b/>
          <w:bCs/>
        </w:rPr>
        <w:t xml:space="preserve">Étant donné</w:t>
      </w:r>
      <w:r>
        <w:t xml:space="preserve"> </w:t>
      </w:r>
      <w:r>
        <w:t xml:space="preserve">une invitation envoyée à un numéro,</w:t>
      </w:r>
      <w:r>
        <w:t xml:space="preserve"> </w:t>
      </w:r>
      <w:r>
        <w:rPr>
          <w:b/>
          <w:bCs/>
        </w:rPr>
        <w:t xml:space="preserve">lorsque</w:t>
      </w:r>
      <w:r>
        <w:t xml:space="preserve"> </w:t>
      </w:r>
      <w:r>
        <w:t xml:space="preserve">le lien est ouvert depuis un autre numéro, après expiration ou une seconde fois,</w:t>
      </w:r>
      <w:r>
        <w:t xml:space="preserve"> </w:t>
      </w:r>
      <w:r>
        <w:rPr>
          <w:b/>
          <w:bCs/>
        </w:rPr>
        <w:t xml:space="preserve">alors</w:t>
      </w:r>
      <w:r>
        <w:t xml:space="preserve"> </w:t>
      </w:r>
      <w:r>
        <w:t xml:space="preserve">l’inscription est refusée.</w:t>
      </w:r>
    </w:p>
    <w:p>
      <w:pPr>
        <w:pStyle w:val="Compact"/>
        <w:numPr>
          <w:ilvl w:val="0"/>
          <w:numId w:val="1036"/>
        </w:numPr>
      </w:pPr>
      <w:r>
        <w:rPr>
          <w:b/>
          <w:bCs/>
        </w:rPr>
        <w:t xml:space="preserve">Inscription assistée.</w:t>
      </w:r>
      <w:r>
        <w:t xml:space="preserve"> </w:t>
      </w:r>
      <w:r>
        <w:rPr>
          <w:b/>
          <w:bCs/>
        </w:rPr>
        <w:t xml:space="preserve">Étant donné</w:t>
      </w:r>
      <w:r>
        <w:t xml:space="preserve"> </w:t>
      </w:r>
      <w:r>
        <w:t xml:space="preserve">un opérateur d’accès désigné,</w:t>
      </w:r>
      <w:r>
        <w:t xml:space="preserve"> </w:t>
      </w:r>
      <w:r>
        <w:rPr>
          <w:b/>
          <w:bCs/>
        </w:rPr>
        <w:t xml:space="preserve">lorsqu’</w:t>
      </w:r>
      <w:r>
        <w:t xml:space="preserve">il finalise l’inscription d’une personne invitée de son entité,</w:t>
      </w:r>
      <w:r>
        <w:t xml:space="preserve"> </w:t>
      </w:r>
      <w:r>
        <w:rPr>
          <w:b/>
          <w:bCs/>
        </w:rPr>
        <w:t xml:space="preserve">alors</w:t>
      </w:r>
      <w:r>
        <w:t xml:space="preserve"> </w:t>
      </w:r>
      <w:r>
        <w:t xml:space="preserve">le niveau et le périmètre de l’invitation sont conservés, la personne définit elle-même ses secrets, et l’opération est journalisée et notifiée ; toute tentative pour une personne non invitée ou d’une autre entité est refusée.</w:t>
      </w:r>
    </w:p>
    <w:p>
      <w:pPr>
        <w:pStyle w:val="Compact"/>
        <w:numPr>
          <w:ilvl w:val="0"/>
          <w:numId w:val="1036"/>
        </w:numPr>
      </w:pPr>
      <w:r>
        <w:rPr>
          <w:b/>
          <w:bCs/>
        </w:rPr>
        <w:t xml:space="preserve">Rôle sensible.</w:t>
      </w:r>
      <w:r>
        <w:t xml:space="preserve"> </w:t>
      </w:r>
      <w:r>
        <w:rPr>
          <w:b/>
          <w:bCs/>
        </w:rPr>
        <w:t xml:space="preserve">Étant donné</w:t>
      </w:r>
      <w:r>
        <w:t xml:space="preserve"> </w:t>
      </w:r>
      <w:r>
        <w:t xml:space="preserve">une invitation à un rôle sensible émise par l’administrateur de la plateforme,</w:t>
      </w:r>
      <w:r>
        <w:t xml:space="preserve"> </w:t>
      </w:r>
      <w:r>
        <w:rPr>
          <w:b/>
          <w:bCs/>
        </w:rPr>
        <w:t xml:space="preserve">lorsque</w:t>
      </w:r>
      <w:r>
        <w:t xml:space="preserve"> </w:t>
      </w:r>
      <w:r>
        <w:t xml:space="preserve">l’invité a vérifié son identité,</w:t>
      </w:r>
      <w:r>
        <w:t xml:space="preserve"> </w:t>
      </w:r>
      <w:r>
        <w:rPr>
          <w:b/>
          <w:bCs/>
        </w:rPr>
        <w:t xml:space="preserve">alors</w:t>
      </w:r>
      <w:r>
        <w:t xml:space="preserve"> </w:t>
      </w:r>
      <w:r>
        <w:t xml:space="preserve">le compte reste inactif jusqu’à la seconde validation.</w:t>
      </w:r>
    </w:p>
    <w:bookmarkEnd w:id="136"/>
    <w:bookmarkEnd w:id="137"/>
    <w:bookmarkStart w:id="144" w:name="parcours-du-contribuable"/>
    <w:p>
      <w:pPr>
        <w:pStyle w:val="Heading1"/>
      </w:pPr>
      <w:r>
        <w:t xml:space="preserve">13. Parcours du contribuable</w:t>
      </w:r>
    </w:p>
    <w:p>
      <w:pPr>
        <w:pStyle w:val="FirstParagraph"/>
      </w:pPr>
      <w:r>
        <w:t xml:space="preserve">Chaîne du parcours : inscription → rattachement des objets → obligations → explication du calcul → notification → paiement → quittance → historique → contestation ou recours. L’interface est conçue mobile d’abord, pour une faible bande passante, en français simple, avec une assistance multilingue progressive (lingala, puis autres langues locales selon le déploiement).</w:t>
      </w:r>
    </w:p>
    <w:bookmarkStart w:id="138" w:name="enrôlement-et-rattachement-dun-bien"/>
    <w:p>
      <w:pPr>
        <w:pStyle w:val="Heading2"/>
      </w:pPr>
      <w:r>
        <w:t xml:space="preserve">13.1 Enrôlement et rattachement d'un bien</w:t>
      </w:r>
    </w:p>
    <w:p>
      <w:pPr>
        <w:pStyle w:val="BlockText"/>
      </w:pPr>
      <w:r>
        <w:rPr>
          <w:b/>
          <w:bCs/>
        </w:rPr>
        <w:t xml:space="preserve">1.</w:t>
      </w:r>
      <w:r>
        <w:t xml:space="preserve"> </w:t>
      </w:r>
      <w:r>
        <w:t xml:space="preserve">L'utilisateur crée son compte avec son numéro de téléphone et</w:t>
      </w:r>
      <w:r>
        <w:t xml:space="preserve"> </w:t>
      </w:r>
      <w:r>
        <w:t xml:space="preserve">une pièce d'identité ; il indique son rôle.</w:t>
      </w:r>
    </w:p>
    <w:p>
      <w:pPr>
        <w:pStyle w:val="BlockText"/>
      </w:pPr>
      <w:r>
        <w:rPr>
          <w:b/>
          <w:bCs/>
        </w:rPr>
        <w:t xml:space="preserve">2.</w:t>
      </w:r>
      <w:r>
        <w:t xml:space="preserve"> </w:t>
      </w:r>
      <w:r>
        <w:t xml:space="preserve">Il déclare un objet : parcelle, unité louée, commerce,</w:t>
      </w:r>
      <w:r>
        <w:t xml:space="preserve"> </w:t>
      </w:r>
      <w:r>
        <w:t xml:space="preserve">véhicule, panneau, embarcation.</w:t>
      </w:r>
    </w:p>
    <w:p>
      <w:pPr>
        <w:pStyle w:val="BlockText"/>
      </w:pPr>
      <w:r>
        <w:rPr>
          <w:b/>
          <w:bCs/>
        </w:rPr>
        <w:t xml:space="preserve">3.</w:t>
      </w:r>
      <w:r>
        <w:t xml:space="preserve"> </w:t>
      </w:r>
      <w:r>
        <w:t xml:space="preserve">Le système géolocalise l'objet, attribue un identifiant</w:t>
      </w:r>
      <w:r>
        <w:t xml:space="preserve"> </w:t>
      </w:r>
      <w:r>
        <w:t xml:space="preserve">géographique provisoire et demande les pièces utiles.</w:t>
      </w:r>
    </w:p>
    <w:p>
      <w:pPr>
        <w:pStyle w:val="BlockText"/>
      </w:pPr>
      <w:r>
        <w:rPr>
          <w:b/>
          <w:bCs/>
        </w:rPr>
        <w:t xml:space="preserve">4.</w:t>
      </w:r>
      <w:r>
        <w:t xml:space="preserve"> </w:t>
      </w:r>
      <w:r>
        <w:t xml:space="preserve">Le moteur de règles affiche uniquement les obligations</w:t>
      </w:r>
      <w:r>
        <w:t xml:space="preserve"> </w:t>
      </w:r>
      <w:r>
        <w:t xml:space="preserve">effectivement applicables à cet objet, à cette localisation et à cette</w:t>
      </w:r>
      <w:r>
        <w:t xml:space="preserve"> </w:t>
      </w:r>
      <w:r>
        <w:t xml:space="preserve">période.</w:t>
      </w:r>
    </w:p>
    <w:p>
      <w:pPr>
        <w:pStyle w:val="BlockText"/>
      </w:pPr>
      <w:r>
        <w:rPr>
          <w:b/>
          <w:bCs/>
        </w:rPr>
        <w:t xml:space="preserve">5.</w:t>
      </w:r>
      <w:r>
        <w:t xml:space="preserve"> </w:t>
      </w:r>
      <w:r>
        <w:t xml:space="preserve">Après vérification, l'objet passe en statut vérifié et</w:t>
      </w:r>
      <w:r>
        <w:t xml:space="preserve"> </w:t>
      </w:r>
      <w:r>
        <w:t xml:space="preserve">l'obligation devient exigible à l'échéance légale.</w:t>
      </w:r>
    </w:p>
    <w:bookmarkEnd w:id="138"/>
    <w:bookmarkStart w:id="139" w:name="déclaration-et-paiement-annuels"/>
    <w:p>
      <w:pPr>
        <w:pStyle w:val="Heading2"/>
      </w:pPr>
      <w:r>
        <w:t xml:space="preserve">13.2 Déclaration et paiement annuels</w:t>
      </w:r>
    </w:p>
    <w:p>
      <w:pPr>
        <w:pStyle w:val="FirstParagraph"/>
      </w:pPr>
      <w:r>
        <w:t xml:space="preserve">Pour un objet déjà recensé, la déclaration arrive pré-remplie : le</w:t>
      </w:r>
      <w:r>
        <w:t xml:space="preserve"> </w:t>
      </w:r>
      <w:r>
        <w:t xml:space="preserve">contribuable confirme ou conteste, choisit son canal de paiement, reçoit</w:t>
      </w:r>
      <w:r>
        <w:t xml:space="preserve"> </w:t>
      </w:r>
      <w:r>
        <w:t xml:space="preserve">une référence unique, paie depuis son téléphone et obtient une quittance</w:t>
      </w:r>
      <w:r>
        <w:t xml:space="preserve"> </w:t>
      </w:r>
      <w:r>
        <w:t xml:space="preserve">signée avec code QR. En cas d'échéancier autorisé, le calendrier</w:t>
      </w:r>
      <w:r>
        <w:t xml:space="preserve"> </w:t>
      </w:r>
      <w:r>
        <w:t xml:space="preserve">s'affiche avec rappels automatiques.</w:t>
      </w:r>
    </w:p>
    <w:bookmarkEnd w:id="139"/>
    <w:bookmarkStart w:id="140" w:name="parcours-locataire"/>
    <w:p>
      <w:pPr>
        <w:pStyle w:val="Heading2"/>
      </w:pPr>
      <w:r>
        <w:t xml:space="preserve">13.3 Parcours locataire</w:t>
      </w:r>
    </w:p>
    <w:p>
      <w:pPr>
        <w:pStyle w:val="FirstParagraph"/>
      </w:pPr>
      <w:r>
        <w:t xml:space="preserve">Le locataire enregistre son bail en quelques minutes ; le système</w:t>
      </w:r>
      <w:r>
        <w:t xml:space="preserve"> </w:t>
      </w:r>
      <w:r>
        <w:t xml:space="preserve">calcule la retenue légale applicable et lui délivre une attestation de</w:t>
      </w:r>
      <w:r>
        <w:t xml:space="preserve"> </w:t>
      </w:r>
      <w:r>
        <w:t xml:space="preserve">bail enregistré, utile en cas de litige locatif. Le bailleur voit</w:t>
      </w:r>
      <w:r>
        <w:t xml:space="preserve"> </w:t>
      </w:r>
      <w:r>
        <w:t xml:space="preserve">apparaître le bail dans son espace et régularise sa situation annuelle.</w:t>
      </w:r>
      <w:r>
        <w:t xml:space="preserve"> </w:t>
      </w:r>
      <w:r>
        <w:t xml:space="preserve">Ce parcours crée un intérêt propre à déclarer, au lieu de reposer</w:t>
      </w:r>
      <w:r>
        <w:t xml:space="preserve"> </w:t>
      </w:r>
      <w:r>
        <w:t xml:space="preserve">uniquement sur la contrainte.</w:t>
      </w:r>
    </w:p>
    <w:bookmarkEnd w:id="140"/>
    <w:bookmarkStart w:id="141" w:name="contestation"/>
    <w:p>
      <w:pPr>
        <w:pStyle w:val="Heading2"/>
      </w:pPr>
      <w:r>
        <w:t xml:space="preserve">13.4 Contestation</w:t>
      </w:r>
    </w:p>
    <w:p>
      <w:pPr>
        <w:pStyle w:val="FirstParagraph"/>
      </w:pPr>
      <w:r>
        <w:t xml:space="preserve">Depuis chaque objet, le bouton « Contester une donnée » ouvre une</w:t>
      </w:r>
      <w:r>
        <w:t xml:space="preserve"> </w:t>
      </w:r>
      <w:r>
        <w:t xml:space="preserve">réclamation typée : bien non détenu, activité fermée, véhicule vendu,</w:t>
      </w:r>
      <w:r>
        <w:t xml:space="preserve"> </w:t>
      </w:r>
      <w:r>
        <w:t xml:space="preserve">information erronée, double imposition. La réclamation suspend ou non</w:t>
      </w:r>
      <w:r>
        <w:t xml:space="preserve"> </w:t>
      </w:r>
      <w:r>
        <w:t xml:space="preserve">l'exigibilité selon la règle légale applicable, est horodatée, affectée</w:t>
      </w:r>
      <w:r>
        <w:t xml:space="preserve"> </w:t>
      </w:r>
      <w:r>
        <w:t xml:space="preserve">au service compétent et suivie jusqu'à la décision motivée.</w:t>
      </w:r>
    </w:p>
    <w:bookmarkEnd w:id="141"/>
    <w:bookmarkStart w:id="142" w:name="parcours-diaspora"/>
    <w:p>
      <w:pPr>
        <w:pStyle w:val="Heading2"/>
      </w:pPr>
      <w:r>
        <w:t xml:space="preserve">13.5 Parcours diaspora</w:t>
      </w:r>
    </w:p>
    <w:p>
      <w:pPr>
        <w:pStyle w:val="FirstParagraph"/>
      </w:pPr>
      <w:r>
        <w:t xml:space="preserve">Le propriétaire résidant à l'étranger s'authentifie, paie par carte</w:t>
      </w:r>
      <w:r>
        <w:t xml:space="preserve"> </w:t>
      </w:r>
      <w:r>
        <w:t xml:space="preserve">dans une devise autorisée, désigne un mandataire local dont les droits</w:t>
      </w:r>
      <w:r>
        <w:t xml:space="preserve"> </w:t>
      </w:r>
      <w:r>
        <w:t xml:space="preserve">sont limités à des actions précises et révocables, et télécharge ses</w:t>
      </w:r>
      <w:r>
        <w:t xml:space="preserve"> </w:t>
      </w:r>
      <w:r>
        <w:t xml:space="preserve">quittances. Chaque acte du mandataire est notifié au mandant.</w:t>
      </w:r>
    </w:p>
    <w:bookmarkEnd w:id="142"/>
    <w:bookmarkStart w:id="143" w:name="critère-dacceptation-de-référence"/>
    <w:p>
      <w:pPr>
        <w:pStyle w:val="Heading2"/>
      </w:pPr>
      <w:r>
        <w:t xml:space="preserve">13.6 Critère d’acceptation de référence</w:t>
      </w:r>
    </w:p>
    <w:p>
      <w:pPr>
        <w:pStyle w:val="FirstParagraph"/>
      </w:pPr>
      <w:r>
        <w:t xml:space="preserve">En tant que contribuable, je veux voir l’origine légale et le calcul de chaque obligation afin de comprendre ce que je dois payer.</w:t>
      </w:r>
      <w:r>
        <w:t xml:space="preserve"> </w:t>
      </w:r>
      <w:r>
        <w:rPr>
          <w:b/>
          <w:bCs/>
        </w:rPr>
        <w:t xml:space="preserve">Étant donné</w:t>
      </w:r>
      <w:r>
        <w:t xml:space="preserve"> </w:t>
      </w:r>
      <w:r>
        <w:t xml:space="preserve">une obligation active,</w:t>
      </w:r>
      <w:r>
        <w:t xml:space="preserve"> </w:t>
      </w:r>
      <w:r>
        <w:rPr>
          <w:b/>
          <w:bCs/>
        </w:rPr>
        <w:t xml:space="preserve">lorsque</w:t>
      </w:r>
      <w:r>
        <w:t xml:space="preserve"> </w:t>
      </w:r>
      <w:r>
        <w:t xml:space="preserve">j’ouvre son détail,</w:t>
      </w:r>
      <w:r>
        <w:t xml:space="preserve"> </w:t>
      </w:r>
      <w:r>
        <w:rPr>
          <w:b/>
          <w:bCs/>
        </w:rPr>
        <w:t xml:space="preserve">alors</w:t>
      </w:r>
      <w:r>
        <w:t xml:space="preserve"> </w:t>
      </w:r>
      <w:r>
        <w:t xml:space="preserve">je vois la règle et sa version, l’assiette, la formule, le montant, l’échéance et la voie de recours.</w:t>
      </w:r>
    </w:p>
    <w:bookmarkEnd w:id="143"/>
    <w:bookmarkEnd w:id="144"/>
    <w:bookmarkStart w:id="151" w:name="Xc2e696b80b8e810506852eae6c829cc01d61c2b"/>
    <w:p>
      <w:pPr>
        <w:pStyle w:val="Heading1"/>
      </w:pPr>
      <w:r>
        <w:t xml:space="preserve">13A. Enrôlement inclusif et canaux assistés</w:t>
      </w:r>
    </w:p>
    <w:p>
      <w:pPr>
        <w:pStyle w:val="FirstParagraph"/>
      </w:pPr>
      <w:r>
        <w:t xml:space="preserve">Une partie importante des Kinois ne dispose pas d’un smartphone, d’une connexion Internet stable ou rapide, ou ne sait pas lire et écrire. Le système doit être conçu pour eux dès le premier jour, faute de quoi l’assiette restera limitée aux contribuables déjà connectés et l’inégalité devant l’impôt s’aggravera.</w:t>
      </w:r>
      <w:r>
        <w:t xml:space="preserve"> </w:t>
      </w:r>
      <w:r>
        <w:rPr>
          <w:b/>
          <w:bCs/>
        </w:rPr>
        <w:t xml:space="preserve">Principe : personne n’est exclu de l’enrôlement, du paiement ou de la preuve de paiement faute de téléphone, de connexion ou d’alphabétisation. L’enrôlement est gratuit sur tous les canaux.</w:t>
      </w:r>
    </w:p>
    <w:bookmarkStart w:id="145" w:name="a.1-canaux-denrôlement"/>
    <w:p>
      <w:pPr>
        <w:pStyle w:val="Heading2"/>
      </w:pPr>
      <w:r>
        <w:t xml:space="preserve">13A.1 Canaux d’enrôlement</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blHeader/>
        </w:trPr>
        <w:tc>
          <w:tcPr>
            <w:shd w:val="clear" w:color="auto" w:fill="1BA996"/>
          </w:tcPr>
          <w:p>
            <w:pPr>
              <w:pStyle w:val="Compact"/>
              <w:spacing w:after="20" w:before="20" w:line="240" w:lineRule="auto"/>
              <w:jc w:val="left"/>
            </w:pPr>
            <w:r>
              <w:rPr>
                <w:b/>
                <w:color w:val="FFFFFF"/>
                <w:sz w:val="17"/>
              </w:rPr>
              <w:t xml:space="preserve">Canal</w:t>
            </w:r>
          </w:p>
        </w:tc>
        <w:tc>
          <w:tcPr>
            <w:shd w:val="clear" w:color="auto" w:fill="1BA996"/>
          </w:tcPr>
          <w:p>
            <w:pPr>
              <w:pStyle w:val="Compact"/>
              <w:spacing w:after="20" w:before="20" w:line="240" w:lineRule="auto"/>
              <w:jc w:val="left"/>
            </w:pPr>
            <w:r>
              <w:rPr>
                <w:b/>
                <w:color w:val="FFFFFF"/>
                <w:sz w:val="17"/>
              </w:rPr>
              <w:t xml:space="preserve">Pour qui</w:t>
            </w:r>
          </w:p>
        </w:tc>
        <w:tc>
          <w:tcPr>
            <w:shd w:val="clear" w:color="auto" w:fill="1BA996"/>
          </w:tcPr>
          <w:p>
            <w:pPr>
              <w:pStyle w:val="Compact"/>
              <w:spacing w:after="20" w:before="20" w:line="240" w:lineRule="auto"/>
              <w:jc w:val="left"/>
            </w:pPr>
            <w:r>
              <w:rPr>
                <w:b/>
                <w:color w:val="FFFFFF"/>
                <w:sz w:val="17"/>
              </w:rPr>
              <w:t xml:space="preserve">Équipement requis du contribuable</w:t>
            </w:r>
          </w:p>
        </w:tc>
        <w:tc>
          <w:tcPr>
            <w:shd w:val="clear" w:color="auto" w:fill="1BA996"/>
          </w:tcPr>
          <w:p>
            <w:pPr>
              <w:pStyle w:val="Compact"/>
              <w:spacing w:after="20" w:before="20" w:line="240" w:lineRule="auto"/>
              <w:jc w:val="left"/>
            </w:pPr>
            <w:r>
              <w:rPr>
                <w:b/>
                <w:color w:val="FFFFFF"/>
                <w:sz w:val="17"/>
              </w:rPr>
              <w:t xml:space="preserve">Fonctionnement</w:t>
            </w:r>
          </w:p>
        </w:tc>
      </w:tr>
      <w:tr>
        <w:tc>
          <w:tcPr/>
          <w:p>
            <w:pPr>
              <w:pStyle w:val="Compact"/>
              <w:spacing w:after="20" w:before="20" w:line="240" w:lineRule="auto"/>
              <w:jc w:val="left"/>
            </w:pPr>
            <w:r>
              <w:rPr>
                <w:sz w:val="17"/>
              </w:rPr>
              <w:t xml:space="preserve">Application mobile</w:t>
            </w:r>
          </w:p>
        </w:tc>
        <w:tc>
          <w:tcPr/>
          <w:p>
            <w:pPr>
              <w:pStyle w:val="Compact"/>
              <w:spacing w:after="20" w:before="20" w:line="240" w:lineRule="auto"/>
              <w:jc w:val="left"/>
            </w:pPr>
            <w:r>
              <w:rPr>
                <w:sz w:val="17"/>
              </w:rPr>
              <w:t xml:space="preserve">Détenteur d’un smartphone</w:t>
            </w:r>
          </w:p>
        </w:tc>
        <w:tc>
          <w:tcPr/>
          <w:p>
            <w:pPr>
              <w:pStyle w:val="Compact"/>
              <w:spacing w:after="20" w:before="20" w:line="240" w:lineRule="auto"/>
              <w:jc w:val="left"/>
            </w:pPr>
            <w:r>
              <w:rPr>
                <w:sz w:val="17"/>
              </w:rPr>
              <w:t xml:space="preserve">Smartphone, connexion même lente</w:t>
            </w:r>
          </w:p>
        </w:tc>
        <w:tc>
          <w:tcPr/>
          <w:p>
            <w:pPr>
              <w:pStyle w:val="Compact"/>
              <w:spacing w:after="20" w:before="20" w:line="240" w:lineRule="auto"/>
              <w:jc w:val="left"/>
            </w:pPr>
            <w:r>
              <w:rPr>
                <w:sz w:val="17"/>
              </w:rPr>
              <w:t xml:space="preserve">Parcours autonome, pictogrammes, audio, mode données réduites</w:t>
            </w:r>
          </w:p>
        </w:tc>
      </w:tr>
      <w:tr>
        <w:tc>
          <w:tcPr>
            <w:shd w:val="clear" w:color="auto" w:fill="F2F9F8"/>
          </w:tcPr>
          <w:p>
            <w:pPr>
              <w:pStyle w:val="Compact"/>
              <w:spacing w:after="20" w:before="20" w:line="240" w:lineRule="auto"/>
              <w:jc w:val="left"/>
            </w:pPr>
            <w:r>
              <w:rPr>
                <w:sz w:val="17"/>
              </w:rPr>
              <w:t xml:space="preserve">Portail web</w:t>
            </w:r>
          </w:p>
        </w:tc>
        <w:tc>
          <w:tcPr>
            <w:shd w:val="clear" w:color="auto" w:fill="F2F9F8"/>
          </w:tcPr>
          <w:p>
            <w:pPr>
              <w:pStyle w:val="Compact"/>
              <w:spacing w:after="20" w:before="20" w:line="240" w:lineRule="auto"/>
              <w:jc w:val="left"/>
            </w:pPr>
            <w:r>
              <w:rPr>
                <w:sz w:val="17"/>
              </w:rPr>
              <w:t xml:space="preserve">Entreprises, diaspora, mandataires</w:t>
            </w:r>
          </w:p>
        </w:tc>
        <w:tc>
          <w:tcPr>
            <w:shd w:val="clear" w:color="auto" w:fill="F2F9F8"/>
          </w:tcPr>
          <w:p>
            <w:pPr>
              <w:pStyle w:val="Compact"/>
              <w:spacing w:after="20" w:before="20" w:line="240" w:lineRule="auto"/>
              <w:jc w:val="left"/>
            </w:pPr>
            <w:r>
              <w:rPr>
                <w:sz w:val="17"/>
              </w:rPr>
              <w:t xml:space="preserve">Ordinateur ou smartphone</w:t>
            </w:r>
          </w:p>
        </w:tc>
        <w:tc>
          <w:tcPr>
            <w:shd w:val="clear" w:color="auto" w:fill="F2F9F8"/>
          </w:tcPr>
          <w:p>
            <w:pPr>
              <w:pStyle w:val="Compact"/>
              <w:spacing w:after="20" w:before="20" w:line="240" w:lineRule="auto"/>
              <w:jc w:val="left"/>
            </w:pPr>
            <w:r>
              <w:rPr>
                <w:sz w:val="17"/>
              </w:rPr>
              <w:t xml:space="preserve">Parcours autonome complet</w:t>
            </w:r>
          </w:p>
        </w:tc>
      </w:tr>
      <w:tr>
        <w:tc>
          <w:tcPr/>
          <w:p>
            <w:pPr>
              <w:pStyle w:val="Compact"/>
              <w:spacing w:after="20" w:before="20" w:line="240" w:lineRule="auto"/>
              <w:jc w:val="left"/>
            </w:pPr>
            <w:r>
              <w:rPr>
                <w:sz w:val="17"/>
              </w:rPr>
              <w:t xml:space="preserve">USSD (code court gratuit)</w:t>
            </w:r>
          </w:p>
        </w:tc>
        <w:tc>
          <w:tcPr/>
          <w:p>
            <w:pPr>
              <w:pStyle w:val="Compact"/>
              <w:spacing w:after="20" w:before="20" w:line="240" w:lineRule="auto"/>
              <w:jc w:val="left"/>
            </w:pPr>
            <w:r>
              <w:rPr>
                <w:sz w:val="17"/>
              </w:rPr>
              <w:t xml:space="preserve">Détenteur de n’importe quel téléphone</w:t>
            </w:r>
          </w:p>
        </w:tc>
        <w:tc>
          <w:tcPr/>
          <w:p>
            <w:pPr>
              <w:pStyle w:val="Compact"/>
              <w:spacing w:after="20" w:before="20" w:line="240" w:lineRule="auto"/>
              <w:jc w:val="left"/>
            </w:pPr>
            <w:r>
              <w:rPr>
                <w:sz w:val="17"/>
              </w:rPr>
              <w:t xml:space="preserve">Téléphone basique, sans Internet</w:t>
            </w:r>
          </w:p>
        </w:tc>
        <w:tc>
          <w:tcPr/>
          <w:p>
            <w:pPr>
              <w:pStyle w:val="Compact"/>
              <w:spacing w:after="20" w:before="20" w:line="240" w:lineRule="auto"/>
              <w:jc w:val="left"/>
            </w:pPr>
            <w:r>
              <w:rPr>
                <w:sz w:val="17"/>
              </w:rPr>
              <w:t xml:space="preserve">Menus numérotés courts ; consultation, enrôlement simplifié, paiement</w:t>
            </w:r>
          </w:p>
        </w:tc>
      </w:tr>
      <w:tr>
        <w:tc>
          <w:tcPr>
            <w:shd w:val="clear" w:color="auto" w:fill="F2F9F8"/>
          </w:tcPr>
          <w:p>
            <w:pPr>
              <w:pStyle w:val="Compact"/>
              <w:spacing w:after="20" w:before="20" w:line="240" w:lineRule="auto"/>
              <w:jc w:val="left"/>
            </w:pPr>
            <w:r>
              <w:rPr>
                <w:sz w:val="17"/>
              </w:rPr>
              <w:t xml:space="preserve">Serveur vocal interactif (SVI)</w:t>
            </w:r>
          </w:p>
        </w:tc>
        <w:tc>
          <w:tcPr>
            <w:shd w:val="clear" w:color="auto" w:fill="F2F9F8"/>
          </w:tcPr>
          <w:p>
            <w:pPr>
              <w:pStyle w:val="Compact"/>
              <w:spacing w:after="20" w:before="20" w:line="240" w:lineRule="auto"/>
              <w:jc w:val="left"/>
            </w:pPr>
            <w:r>
              <w:rPr>
                <w:sz w:val="17"/>
              </w:rPr>
              <w:t xml:space="preserve">Personnes ne sachant pas lire</w:t>
            </w:r>
          </w:p>
        </w:tc>
        <w:tc>
          <w:tcPr>
            <w:shd w:val="clear" w:color="auto" w:fill="F2F9F8"/>
          </w:tcPr>
          <w:p>
            <w:pPr>
              <w:pStyle w:val="Compact"/>
              <w:spacing w:after="20" w:before="20" w:line="240" w:lineRule="auto"/>
              <w:jc w:val="left"/>
            </w:pPr>
            <w:r>
              <w:rPr>
                <w:sz w:val="17"/>
              </w:rPr>
              <w:t xml:space="preserve">Téléphone basique</w:t>
            </w:r>
          </w:p>
        </w:tc>
        <w:tc>
          <w:tcPr>
            <w:shd w:val="clear" w:color="auto" w:fill="F2F9F8"/>
          </w:tcPr>
          <w:p>
            <w:pPr>
              <w:pStyle w:val="Compact"/>
              <w:spacing w:after="20" w:before="20" w:line="240" w:lineRule="auto"/>
              <w:jc w:val="left"/>
            </w:pPr>
            <w:r>
              <w:rPr>
                <w:sz w:val="17"/>
              </w:rPr>
              <w:t xml:space="preserve">Numéro gratuit ; menus parlés en lingala, kikongo, tshiluba, swahili et français ; réponses par touches</w:t>
            </w:r>
          </w:p>
        </w:tc>
      </w:tr>
      <w:tr>
        <w:tc>
          <w:tcPr/>
          <w:p>
            <w:pPr>
              <w:pStyle w:val="Compact"/>
              <w:spacing w:after="20" w:before="20" w:line="240" w:lineRule="auto"/>
              <w:jc w:val="left"/>
            </w:pPr>
            <w:r>
              <w:rPr>
                <w:sz w:val="17"/>
              </w:rPr>
              <w:t xml:space="preserve">Assistant WhatsApp</w:t>
            </w:r>
          </w:p>
        </w:tc>
        <w:tc>
          <w:tcPr/>
          <w:p>
            <w:pPr>
              <w:pStyle w:val="Compact"/>
              <w:spacing w:after="20" w:before="20" w:line="240" w:lineRule="auto"/>
              <w:jc w:val="left"/>
            </w:pPr>
            <w:r>
              <w:rPr>
                <w:sz w:val="17"/>
              </w:rPr>
              <w:t xml:space="preserve">Détenteur de WhatsApp</w:t>
            </w:r>
          </w:p>
        </w:tc>
        <w:tc>
          <w:tcPr/>
          <w:p>
            <w:pPr>
              <w:pStyle w:val="Compact"/>
              <w:spacing w:after="20" w:before="20" w:line="240" w:lineRule="auto"/>
              <w:jc w:val="left"/>
            </w:pPr>
            <w:r>
              <w:rPr>
                <w:sz w:val="17"/>
              </w:rPr>
              <w:t xml:space="preserve">Smartphone ou téléphone compatible</w:t>
            </w:r>
          </w:p>
        </w:tc>
        <w:tc>
          <w:tcPr/>
          <w:p>
            <w:pPr>
              <w:pStyle w:val="Compact"/>
              <w:spacing w:after="20" w:before="20" w:line="240" w:lineRule="auto"/>
              <w:jc w:val="left"/>
            </w:pPr>
            <w:r>
              <w:rPr>
                <w:sz w:val="17"/>
              </w:rPr>
              <w:t xml:space="preserve">Questions en lingala et en français (« Nazali na boutique na Matonge, nini nasengeli kofuta ? ») ; renvoie les obligations de l’objet et un lien de paiement</w:t>
            </w:r>
          </w:p>
        </w:tc>
      </w:tr>
      <w:tr>
        <w:tc>
          <w:tcPr>
            <w:shd w:val="clear" w:color="auto" w:fill="F2F9F8"/>
          </w:tcPr>
          <w:p>
            <w:pPr>
              <w:pStyle w:val="Compact"/>
              <w:spacing w:after="20" w:before="20" w:line="240" w:lineRule="auto"/>
              <w:jc w:val="left"/>
            </w:pPr>
            <w:r>
              <w:rPr>
                <w:sz w:val="17"/>
              </w:rPr>
              <w:t xml:space="preserve">SMS</w:t>
            </w:r>
          </w:p>
        </w:tc>
        <w:tc>
          <w:tcPr>
            <w:shd w:val="clear" w:color="auto" w:fill="F2F9F8"/>
          </w:tcPr>
          <w:p>
            <w:pPr>
              <w:pStyle w:val="Compact"/>
              <w:spacing w:after="20" w:before="20" w:line="240" w:lineRule="auto"/>
              <w:jc w:val="left"/>
            </w:pPr>
            <w:r>
              <w:rPr>
                <w:sz w:val="17"/>
              </w:rPr>
              <w:t xml:space="preserve">Détenteur de n’importe quel téléphone</w:t>
            </w:r>
          </w:p>
        </w:tc>
        <w:tc>
          <w:tcPr>
            <w:shd w:val="clear" w:color="auto" w:fill="F2F9F8"/>
          </w:tcPr>
          <w:p>
            <w:pPr>
              <w:pStyle w:val="Compact"/>
              <w:spacing w:after="20" w:before="20" w:line="240" w:lineRule="auto"/>
              <w:jc w:val="left"/>
            </w:pPr>
            <w:r>
              <w:rPr>
                <w:sz w:val="17"/>
              </w:rPr>
              <w:t xml:space="preserve">Téléphone basique</w:t>
            </w:r>
          </w:p>
        </w:tc>
        <w:tc>
          <w:tcPr>
            <w:shd w:val="clear" w:color="auto" w:fill="F2F9F8"/>
          </w:tcPr>
          <w:p>
            <w:pPr>
              <w:pStyle w:val="Compact"/>
              <w:spacing w:after="20" w:before="20" w:line="240" w:lineRule="auto"/>
              <w:jc w:val="left"/>
            </w:pPr>
            <w:r>
              <w:rPr>
                <w:sz w:val="17"/>
              </w:rPr>
              <w:t xml:space="preserve">Confirmations, codes de quittance, rappels ; messages de moins de 160 caractères</w:t>
            </w:r>
          </w:p>
        </w:tc>
      </w:tr>
      <w:tr>
        <w:tc>
          <w:tcPr/>
          <w:p>
            <w:pPr>
              <w:pStyle w:val="Compact"/>
              <w:spacing w:after="20" w:before="20" w:line="240" w:lineRule="auto"/>
              <w:jc w:val="left"/>
            </w:pPr>
            <w:r>
              <w:rPr>
                <w:sz w:val="17"/>
              </w:rPr>
              <w:t xml:space="preserve">Enrôlement assisté à domicile ou sur site</w:t>
            </w:r>
          </w:p>
        </w:tc>
        <w:tc>
          <w:tcPr/>
          <w:p>
            <w:pPr>
              <w:pStyle w:val="Compact"/>
              <w:spacing w:after="20" w:before="20" w:line="240" w:lineRule="auto"/>
              <w:jc w:val="left"/>
            </w:pPr>
            <w:r>
              <w:rPr>
                <w:sz w:val="17"/>
              </w:rPr>
              <w:t xml:space="preserve">Tout Kinois, en priorité personnes sans téléphone ou non alphabétisées</w:t>
            </w:r>
          </w:p>
        </w:tc>
        <w:tc>
          <w:tcPr/>
          <w:p>
            <w:pPr>
              <w:pStyle w:val="Compact"/>
              <w:spacing w:after="20" w:before="20" w:line="240" w:lineRule="auto"/>
              <w:jc w:val="left"/>
            </w:pPr>
            <w:r>
              <w:rPr>
                <w:sz w:val="17"/>
              </w:rPr>
              <w:t xml:space="preserve">Aucun</w:t>
            </w:r>
          </w:p>
        </w:tc>
        <w:tc>
          <w:tcPr/>
          <w:p>
            <w:pPr>
              <w:pStyle w:val="Compact"/>
              <w:spacing w:after="20" w:before="20" w:line="240" w:lineRule="auto"/>
              <w:jc w:val="left"/>
            </w:pPr>
            <w:r>
              <w:rPr>
                <w:sz w:val="17"/>
              </w:rPr>
              <w:t xml:space="preserve">Agent habilité muni de l’application terrain hors ligne (§ 15.4)</w:t>
            </w:r>
          </w:p>
        </w:tc>
      </w:tr>
      <w:tr>
        <w:tc>
          <w:tcPr>
            <w:shd w:val="clear" w:color="auto" w:fill="F2F9F8"/>
          </w:tcPr>
          <w:p>
            <w:pPr>
              <w:pStyle w:val="Compact"/>
              <w:spacing w:after="20" w:before="20" w:line="240" w:lineRule="auto"/>
              <w:jc w:val="left"/>
            </w:pPr>
            <w:r>
              <w:rPr>
                <w:sz w:val="17"/>
              </w:rPr>
              <w:t xml:space="preserve">Guichet MOSOLO (kiosque communal)</w:t>
            </w:r>
          </w:p>
        </w:tc>
        <w:tc>
          <w:tcPr>
            <w:shd w:val="clear" w:color="auto" w:fill="F2F9F8"/>
          </w:tcPr>
          <w:p>
            <w:pPr>
              <w:pStyle w:val="Compact"/>
              <w:spacing w:after="20" w:before="20" w:line="240" w:lineRule="auto"/>
              <w:jc w:val="left"/>
            </w:pPr>
            <w:r>
              <w:rPr>
                <w:sz w:val="17"/>
              </w:rPr>
              <w:t xml:space="preserve">Tout Kinois</w:t>
            </w:r>
          </w:p>
        </w:tc>
        <w:tc>
          <w:tcPr>
            <w:shd w:val="clear" w:color="auto" w:fill="F2F9F8"/>
          </w:tcPr>
          <w:p>
            <w:pPr>
              <w:pStyle w:val="Compact"/>
              <w:spacing w:after="20" w:before="20" w:line="240" w:lineRule="auto"/>
              <w:jc w:val="left"/>
            </w:pPr>
            <w:r>
              <w:rPr>
                <w:sz w:val="17"/>
              </w:rPr>
              <w:t xml:space="preserve">Aucun</w:t>
            </w:r>
          </w:p>
        </w:tc>
        <w:tc>
          <w:tcPr>
            <w:shd w:val="clear" w:color="auto" w:fill="F2F9F8"/>
          </w:tcPr>
          <w:p>
            <w:pPr>
              <w:pStyle w:val="Compact"/>
              <w:spacing w:after="20" w:before="20" w:line="240" w:lineRule="auto"/>
              <w:jc w:val="left"/>
            </w:pPr>
            <w:r>
              <w:rPr>
                <w:sz w:val="17"/>
              </w:rPr>
              <w:t xml:space="preserve">Agent d’accueil, poste d’enrôlement, guichet bancaire partenaire pour le paiement</w:t>
            </w:r>
          </w:p>
        </w:tc>
      </w:tr>
      <w:tr>
        <w:tc>
          <w:tcPr/>
          <w:p>
            <w:pPr>
              <w:pStyle w:val="Compact"/>
              <w:spacing w:after="20" w:before="20" w:line="240" w:lineRule="auto"/>
              <w:jc w:val="left"/>
            </w:pPr>
            <w:r>
              <w:rPr>
                <w:sz w:val="17"/>
              </w:rPr>
              <w:t xml:space="preserve">Mandataire de confiance</w:t>
            </w:r>
          </w:p>
        </w:tc>
        <w:tc>
          <w:tcPr/>
          <w:p>
            <w:pPr>
              <w:pStyle w:val="Compact"/>
              <w:spacing w:after="20" w:before="20" w:line="240" w:lineRule="auto"/>
              <w:jc w:val="left"/>
            </w:pPr>
            <w:r>
              <w:rPr>
                <w:sz w:val="17"/>
              </w:rPr>
              <w:t xml:space="preserve">Personne âgée, malade, sans téléphone</w:t>
            </w:r>
          </w:p>
        </w:tc>
        <w:tc>
          <w:tcPr/>
          <w:p>
            <w:pPr>
              <w:pStyle w:val="Compact"/>
              <w:spacing w:after="20" w:before="20" w:line="240" w:lineRule="auto"/>
              <w:jc w:val="left"/>
            </w:pPr>
            <w:r>
              <w:rPr>
                <w:sz w:val="17"/>
              </w:rPr>
              <w:t xml:space="preserve">Aucun</w:t>
            </w:r>
          </w:p>
        </w:tc>
        <w:tc>
          <w:tcPr/>
          <w:p>
            <w:pPr>
              <w:pStyle w:val="Compact"/>
              <w:spacing w:after="20" w:before="20" w:line="240" w:lineRule="auto"/>
              <w:jc w:val="left"/>
            </w:pPr>
            <w:r>
              <w:rPr>
                <w:sz w:val="17"/>
              </w:rPr>
              <w:t xml:space="preserve">Un proche est désigné comme mandataire aux droits limités et révocables (§ 13.5)</w:t>
            </w:r>
          </w:p>
        </w:tc>
      </w:tr>
    </w:tbl>
    <w:bookmarkEnd w:id="145"/>
    <w:bookmarkStart w:id="146" w:name="X5a209424b92bfb216e78678af4472a2aa59cd26"/>
    <w:p>
      <w:pPr>
        <w:pStyle w:val="Heading2"/>
      </w:pPr>
      <w:r>
        <w:t xml:space="preserve">13A.2 Identité sans téléphone : la carte MOSOLO</w:t>
      </w:r>
    </w:p>
    <w:p>
      <w:pPr>
        <w:pStyle w:val="Compact"/>
        <w:numPr>
          <w:ilvl w:val="0"/>
          <w:numId w:val="1037"/>
        </w:numPr>
      </w:pPr>
      <w:r>
        <w:t xml:space="preserve">Carte physique remise gratuitement lors de l’enrôlement assisté, portant le numéro de contribuable, un code QR signé, la photographie et la commune.</w:t>
      </w:r>
    </w:p>
    <w:p>
      <w:pPr>
        <w:pStyle w:val="Compact"/>
        <w:numPr>
          <w:ilvl w:val="0"/>
          <w:numId w:val="1037"/>
        </w:numPr>
      </w:pPr>
      <w:r>
        <w:t xml:space="preserve">La carte donne accès à la situation du contribuable au guichet, chez un point de paiement agréé ou auprès d’un agent, sans téléphone.</w:t>
      </w:r>
    </w:p>
    <w:p>
      <w:pPr>
        <w:pStyle w:val="Compact"/>
        <w:numPr>
          <w:ilvl w:val="0"/>
          <w:numId w:val="1037"/>
        </w:numPr>
      </w:pPr>
      <w:r>
        <w:t xml:space="preserve">Perte ou vol : blocage immédiat par le guichet ou le SVI d’un proche mandataire, réémission avec nouveau code ; l’ancien QR renvoie « carte révoquée ».</w:t>
      </w:r>
    </w:p>
    <w:p>
      <w:pPr>
        <w:pStyle w:val="Compact"/>
        <w:numPr>
          <w:ilvl w:val="0"/>
          <w:numId w:val="1037"/>
        </w:numPr>
      </w:pPr>
      <w:r>
        <w:t xml:space="preserve">Les objets imposables portent leur propre plaque QR (§ 17.2) : même sans carte, un bien reste identifiable.</w:t>
      </w:r>
    </w:p>
    <w:bookmarkEnd w:id="146"/>
    <w:bookmarkStart w:id="147" w:name="Xb0585591f8942739ee4a4ab7a879ecb7431f705"/>
    <w:p>
      <w:pPr>
        <w:pStyle w:val="Heading2"/>
      </w:pPr>
      <w:r>
        <w:t xml:space="preserve">13A.3 Consentement et signature sans écriture</w:t>
      </w:r>
    </w:p>
    <w:p>
      <w:pPr>
        <w:pStyle w:val="Compact"/>
        <w:numPr>
          <w:ilvl w:val="0"/>
          <w:numId w:val="1038"/>
        </w:numPr>
      </w:pPr>
      <w:r>
        <w:t xml:space="preserve">L’agent lit à voix haute, dans la langue choisie par la personne, le résumé de ce qui est enregistré (identité, objets, rôle). L’application propose ce résumé en audio pré-enregistré, pour éviter toute reformulation trompeuse.</w:t>
      </w:r>
    </w:p>
    <w:p>
      <w:pPr>
        <w:pStyle w:val="Compact"/>
        <w:numPr>
          <w:ilvl w:val="0"/>
          <w:numId w:val="1038"/>
        </w:numPr>
      </w:pPr>
      <w:r>
        <w:t xml:space="preserve">Le consentement est recueilli par empreinte digitale capturée sur le terminal comme marque de consentement, par enregistrement vocal, ou en présence d’un témoin identifié, selon ce que le droit applicable reconnaît (Annexe B, point 12).</w:t>
      </w:r>
    </w:p>
    <w:p>
      <w:pPr>
        <w:pStyle w:val="Compact"/>
        <w:numPr>
          <w:ilvl w:val="0"/>
          <w:numId w:val="1038"/>
        </w:numPr>
      </w:pPr>
      <w:r>
        <w:t xml:space="preserve">L’empreinte est utilisée comme marque de consentement, pas comme identifiant biométrique de recherche ; son traitement suit le régime des données sensibles (§ 32).</w:t>
      </w:r>
    </w:p>
    <w:p>
      <w:pPr>
        <w:pStyle w:val="Compact"/>
        <w:numPr>
          <w:ilvl w:val="0"/>
          <w:numId w:val="1038"/>
        </w:numPr>
      </w:pPr>
      <w:r>
        <w:t xml:space="preserve">Un récapitulatif est renvoyé par SMS ou par appel vocal lorsque la personne a accès à un téléphone, et imprimé sinon.</w:t>
      </w:r>
    </w:p>
    <w:bookmarkEnd w:id="147"/>
    <w:bookmarkStart w:id="148" w:name="Xd5616fcf381b30197685137b1122f5f4dbc0c1f"/>
    <w:p>
      <w:pPr>
        <w:pStyle w:val="Heading2"/>
      </w:pPr>
      <w:r>
        <w:t xml:space="preserve">13A.4 Conception pour faible alphabétisation et faible connectivité</w:t>
      </w:r>
    </w:p>
    <w:p>
      <w:pPr>
        <w:pStyle w:val="Compact"/>
        <w:numPr>
          <w:ilvl w:val="0"/>
          <w:numId w:val="1039"/>
        </w:numPr>
      </w:pPr>
      <w:r>
        <w:t xml:space="preserve">Pictogrammes normalisés pour chaque type d’objet (parcelle, logement loué, commerce, véhicule, panneau) et chaque action (payer, contester, vérifier).</w:t>
      </w:r>
    </w:p>
    <w:p>
      <w:pPr>
        <w:pStyle w:val="Compact"/>
        <w:numPr>
          <w:ilvl w:val="0"/>
          <w:numId w:val="1039"/>
        </w:numPr>
      </w:pPr>
      <w:r>
        <w:t xml:space="preserve">Montants toujours annoncés en chiffres et à l’oral ; couleurs doublées d’une forme ou d’un son pour les statuts.</w:t>
      </w:r>
    </w:p>
    <w:p>
      <w:pPr>
        <w:pStyle w:val="Compact"/>
        <w:numPr>
          <w:ilvl w:val="0"/>
          <w:numId w:val="1039"/>
        </w:numPr>
      </w:pPr>
      <w:r>
        <w:t xml:space="preserve">Fonctionnement en 2G, pages légères, reprise automatique après coupure, aucune étape bloquée par l’absence de réseau.</w:t>
      </w:r>
    </w:p>
    <w:p>
      <w:pPr>
        <w:pStyle w:val="Compact"/>
        <w:numPr>
          <w:ilvl w:val="0"/>
          <w:numId w:val="1039"/>
        </w:numPr>
      </w:pPr>
      <w:r>
        <w:t xml:space="preserve">Notifications par le canal que la personne peut réellement recevoir : appel vocal, SMS, avis imprimé remis par l’agent ou apposé sur la plaque de l’objet.</w:t>
      </w:r>
    </w:p>
    <w:bookmarkEnd w:id="148"/>
    <w:bookmarkStart w:id="149" w:name="Xa5ddf5abaeb1982f24568c04693edaeb27c7e8a"/>
    <w:p>
      <w:pPr>
        <w:pStyle w:val="Heading2"/>
      </w:pPr>
      <w:r>
        <w:t xml:space="preserve">13A.5 Parcours type d’une personne sans téléphone ne sachant pas lire</w:t>
      </w:r>
    </w:p>
    <w:p>
      <w:pPr>
        <w:pStyle w:val="Compact"/>
        <w:numPr>
          <w:ilvl w:val="0"/>
          <w:numId w:val="1040"/>
        </w:numPr>
      </w:pPr>
      <w:r>
        <w:t xml:space="preserve">Un agent d’enrôlement habilité se présente ; la personne peut vérifier son badge auprès d’un voisin, du guichet ou par SMS (§ 15A.6).</w:t>
      </w:r>
    </w:p>
    <w:p>
      <w:pPr>
        <w:pStyle w:val="Compact"/>
        <w:numPr>
          <w:ilvl w:val="0"/>
          <w:numId w:val="1040"/>
        </w:numPr>
      </w:pPr>
      <w:r>
        <w:t xml:space="preserve">L’agent enregistre la personne, ses objets et sa photographie ; le résumé est lu à voix haute dans sa langue.</w:t>
      </w:r>
    </w:p>
    <w:p>
      <w:pPr>
        <w:pStyle w:val="Compact"/>
        <w:numPr>
          <w:ilvl w:val="0"/>
          <w:numId w:val="1040"/>
        </w:numPr>
      </w:pPr>
      <w:r>
        <w:t xml:space="preserve">La personne consent par empreinte digitale ; la carte MOSOLO lui est remise, avec un avis imprimé à pictogrammes indiquant ce qui est dû, l’échéance et les lieux de paiement.</w:t>
      </w:r>
    </w:p>
    <w:p>
      <w:pPr>
        <w:pStyle w:val="Compact"/>
        <w:numPr>
          <w:ilvl w:val="0"/>
          <w:numId w:val="1040"/>
        </w:numPr>
      </w:pPr>
      <w:r>
        <w:t xml:space="preserve">Elle paie au guichet MOSOLO ou chez un point de paiement agréé en présentant sa carte ou son avis (§ 18A).</w:t>
      </w:r>
    </w:p>
    <w:p>
      <w:pPr>
        <w:pStyle w:val="Compact"/>
        <w:numPr>
          <w:ilvl w:val="0"/>
          <w:numId w:val="1040"/>
        </w:numPr>
      </w:pPr>
      <w:r>
        <w:t xml:space="preserve">Elle reçoit une quittance imprimée avec QR ; la plaque de son objet affiche le statut « payé » lors de tout contrôle.</w:t>
      </w:r>
    </w:p>
    <w:bookmarkEnd w:id="149"/>
    <w:bookmarkStart w:id="150" w:name="a.6-garanties"/>
    <w:p>
      <w:pPr>
        <w:pStyle w:val="Heading2"/>
      </w:pPr>
      <w:r>
        <w:t xml:space="preserve">13A.6 Garanties</w:t>
      </w:r>
    </w:p>
    <w:p>
      <w:pPr>
        <w:pStyle w:val="Compact"/>
        <w:numPr>
          <w:ilvl w:val="0"/>
          <w:numId w:val="1041"/>
        </w:numPr>
      </w:pPr>
      <w:r>
        <w:t xml:space="preserve">Aucun frais d’enrôlement, sur aucun canal ; le code USSD et le numéro du SVI sont gratuits pour l’appelant.</w:t>
      </w:r>
    </w:p>
    <w:p>
      <w:pPr>
        <w:pStyle w:val="Compact"/>
        <w:numPr>
          <w:ilvl w:val="0"/>
          <w:numId w:val="1041"/>
        </w:numPr>
      </w:pPr>
      <w:r>
        <w:t xml:space="preserve">L’agent ne peut pas terminer un enrôlement assisté sans lecture du résumé et recueil du consentement ; toute tentative est journalisée.</w:t>
      </w:r>
    </w:p>
    <w:p>
      <w:pPr>
        <w:pStyle w:val="Compact"/>
        <w:numPr>
          <w:ilvl w:val="0"/>
          <w:numId w:val="1041"/>
        </w:numPr>
      </w:pPr>
      <w:r>
        <w:t xml:space="preserve">La personne enrôlée peut contester à tout moment au guichet ou par le SVI, sans écrit.</w:t>
      </w:r>
    </w:p>
    <w:p>
      <w:pPr>
        <w:pStyle w:val="FirstParagraph"/>
      </w:pPr>
      <w:r>
        <w:rPr>
          <w:b/>
          <w:bCs/>
        </w:rPr>
        <w:t xml:space="preserve">Critère d’acceptation.</w:t>
      </w:r>
      <w:r>
        <w:t xml:space="preserve"> </w:t>
      </w:r>
      <w:r>
        <w:rPr>
          <w:b/>
          <w:bCs/>
        </w:rPr>
        <w:t xml:space="preserve">Étant donné</w:t>
      </w:r>
      <w:r>
        <w:t xml:space="preserve"> </w:t>
      </w:r>
      <w:r>
        <w:t xml:space="preserve">une personne sans téléphone,</w:t>
      </w:r>
      <w:r>
        <w:t xml:space="preserve"> </w:t>
      </w:r>
      <w:r>
        <w:rPr>
          <w:b/>
          <w:bCs/>
        </w:rPr>
        <w:t xml:space="preserve">lorsqu’</w:t>
      </w:r>
      <w:r>
        <w:t xml:space="preserve">un agent réalise un enrôlement assisté hors ligne,</w:t>
      </w:r>
      <w:r>
        <w:t xml:space="preserve"> </w:t>
      </w:r>
      <w:r>
        <w:rPr>
          <w:b/>
          <w:bCs/>
        </w:rPr>
        <w:t xml:space="preserve">alors</w:t>
      </w:r>
      <w:r>
        <w:t xml:space="preserve"> </w:t>
      </w:r>
      <w:r>
        <w:t xml:space="preserve">le compte est créé au niveau N0-A, le consentement est horodaté et lié à la mission, une carte MOSOLO est émise et aucun paiement n’est demandé ni reçu par l’agent.</w:t>
      </w:r>
    </w:p>
    <w:bookmarkEnd w:id="150"/>
    <w:bookmarkEnd w:id="151"/>
    <w:bookmarkStart w:id="152" w:name="Xb032eee0945e97d5fca2f0dd74c7d2ed4974bdc"/>
    <w:p>
      <w:pPr>
        <w:pStyle w:val="Heading1"/>
      </w:pPr>
      <w:r>
        <w:t xml:space="preserve">14. Parcours des utilisateurs gouvernementaux</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827"/>
        <w:gridCol w:w="3553"/>
        <w:gridCol w:w="2335"/>
      </w:tblGrid>
      <w:tr>
        <w:trPr>
          <w:tblHeader w:val="true"/>
          <w:tblHeader/>
        </w:trPr>
        <w:tc>
          <w:tcPr>
            <w:shd w:val="clear" w:color="auto" w:fill="1BA996"/>
          </w:tcPr>
          <w:p>
            <w:pPr>
              <w:pStyle w:val="Compact"/>
              <w:spacing w:after="20" w:before="20" w:line="240" w:lineRule="auto"/>
              <w:jc w:val="left"/>
            </w:pPr>
            <w:r>
              <w:rPr>
                <w:b/>
                <w:bCs/>
                <w:color w:val="FFFFFF"/>
                <w:sz w:val="17"/>
              </w:rPr>
              <w:t xml:space="preserve">Utilisateur</w:t>
            </w:r>
          </w:p>
        </w:tc>
        <w:tc>
          <w:tcPr>
            <w:shd w:val="clear" w:color="auto" w:fill="1BA996"/>
          </w:tcPr>
          <w:p>
            <w:pPr>
              <w:pStyle w:val="Compact"/>
              <w:spacing w:after="20" w:before="20" w:line="240" w:lineRule="auto"/>
              <w:jc w:val="left"/>
            </w:pPr>
            <w:r>
              <w:rPr>
                <w:b/>
                <w:bCs/>
                <w:color w:val="FFFFFF"/>
                <w:sz w:val="17"/>
              </w:rPr>
              <w:t xml:space="preserve">Parcours type</w:t>
            </w:r>
          </w:p>
        </w:tc>
        <w:tc>
          <w:tcPr>
            <w:shd w:val="clear" w:color="auto" w:fill="1BA996"/>
          </w:tcPr>
          <w:p>
            <w:pPr>
              <w:pStyle w:val="Compact"/>
              <w:spacing w:after="20" w:before="20" w:line="240" w:lineRule="auto"/>
              <w:jc w:val="left"/>
            </w:pPr>
            <w:r>
              <w:rPr>
                <w:b/>
                <w:bCs/>
                <w:color w:val="FFFFFF"/>
                <w:sz w:val="17"/>
              </w:rPr>
              <w:t xml:space="preserve">Résultat attendu</w:t>
            </w:r>
          </w:p>
        </w:tc>
      </w:tr>
      <w:tr>
        <w:tc>
          <w:tcPr/>
          <w:p>
            <w:pPr>
              <w:pStyle w:val="Compact"/>
              <w:spacing w:after="20" w:before="20" w:line="240" w:lineRule="auto"/>
              <w:jc w:val="left"/>
            </w:pPr>
            <w:r>
              <w:rPr>
                <w:sz w:val="17"/>
              </w:rPr>
              <w:t xml:space="preserve">Gouverneur</w:t>
            </w:r>
          </w:p>
        </w:tc>
        <w:tc>
          <w:tcPr/>
          <w:p>
            <w:pPr>
              <w:pStyle w:val="Compact"/>
              <w:spacing w:after="20" w:before="20" w:line="240" w:lineRule="auto"/>
              <w:jc w:val="left"/>
            </w:pPr>
            <w:r>
              <w:rPr>
                <w:sz w:val="17"/>
              </w:rPr>
              <w:t xml:space="preserve">Ouverture du centre de</w:t>
            </w:r>
            <w:r>
              <w:rPr>
                <w:sz w:val="17"/>
              </w:rPr>
              <w:t xml:space="preserve"> </w:t>
            </w:r>
            <w:r>
              <w:rPr>
                <w:sz w:val="17"/>
              </w:rPr>
              <w:t xml:space="preserve">commandement, lecture des écarts</w:t>
            </w:r>
            <w:r>
              <w:rPr>
                <w:sz w:val="17"/>
              </w:rPr>
              <w:t xml:space="preserve"> </w:t>
            </w:r>
            <w:r>
              <w:rPr>
                <w:sz w:val="17"/>
              </w:rPr>
              <w:t xml:space="preserve">du jour, ouverture d'une commune</w:t>
            </w:r>
            <w:r>
              <w:rPr>
                <w:sz w:val="17"/>
              </w:rPr>
              <w:t xml:space="preserve"> </w:t>
            </w:r>
            <w:r>
              <w:rPr>
                <w:sz w:val="17"/>
              </w:rPr>
              <w:t xml:space="preserve">en difficulté, demande</w:t>
            </w:r>
            <w:r>
              <w:rPr>
                <w:sz w:val="17"/>
              </w:rPr>
              <w:t xml:space="preserve"> </w:t>
            </w:r>
            <w:r>
              <w:rPr>
                <w:sz w:val="17"/>
              </w:rPr>
              <w:t xml:space="preserve">d'explication au responsable</w:t>
            </w:r>
          </w:p>
        </w:tc>
        <w:tc>
          <w:tcPr/>
          <w:p>
            <w:pPr>
              <w:pStyle w:val="Compact"/>
              <w:spacing w:after="20" w:before="20" w:line="240" w:lineRule="auto"/>
              <w:jc w:val="left"/>
            </w:pPr>
            <w:r>
              <w:rPr>
                <w:sz w:val="17"/>
              </w:rPr>
              <w:t xml:space="preserve">Décision documentée et</w:t>
            </w:r>
            <w:r>
              <w:rPr>
                <w:sz w:val="17"/>
              </w:rPr>
              <w:t xml:space="preserve"> </w:t>
            </w:r>
            <w:r>
              <w:rPr>
                <w:sz w:val="17"/>
              </w:rPr>
              <w:t xml:space="preserve">tracée</w:t>
            </w:r>
          </w:p>
        </w:tc>
      </w:tr>
      <w:tr>
        <w:tc>
          <w:tcPr>
            <w:shd w:val="clear" w:color="auto" w:fill="F2F9F8"/>
          </w:tcPr>
          <w:p>
            <w:pPr>
              <w:pStyle w:val="Compact"/>
              <w:spacing w:after="20" w:before="20" w:line="240" w:lineRule="auto"/>
              <w:jc w:val="left"/>
            </w:pPr>
            <w:r>
              <w:rPr>
                <w:sz w:val="17"/>
              </w:rPr>
              <w:t xml:space="preserve">Ministre</w:t>
            </w:r>
            <w:r>
              <w:rPr>
                <w:sz w:val="17"/>
              </w:rPr>
              <w:t xml:space="preserve"> </w:t>
            </w:r>
            <w:r>
              <w:rPr>
                <w:sz w:val="17"/>
              </w:rPr>
              <w:t xml:space="preserve">provincial des</w:t>
            </w:r>
            <w:r>
              <w:rPr>
                <w:sz w:val="17"/>
              </w:rPr>
              <w:t xml:space="preserve"> </w:t>
            </w:r>
            <w:r>
              <w:rPr>
                <w:sz w:val="17"/>
              </w:rPr>
              <w:t xml:space="preserve">Finances</w:t>
            </w:r>
          </w:p>
        </w:tc>
        <w:tc>
          <w:tcPr>
            <w:shd w:val="clear" w:color="auto" w:fill="F2F9F8"/>
          </w:tcPr>
          <w:p>
            <w:pPr>
              <w:pStyle w:val="Compact"/>
              <w:spacing w:after="20" w:before="20" w:line="240" w:lineRule="auto"/>
              <w:jc w:val="left"/>
            </w:pPr>
            <w:r>
              <w:rPr>
                <w:sz w:val="17"/>
              </w:rPr>
              <w:t xml:space="preserve">Revue des assignations, validation</w:t>
            </w:r>
            <w:r>
              <w:rPr>
                <w:sz w:val="17"/>
              </w:rPr>
              <w:t xml:space="preserve"> </w:t>
            </w:r>
            <w:r>
              <w:rPr>
                <w:sz w:val="17"/>
              </w:rPr>
              <w:t xml:space="preserve">des campagnes, suivi des</w:t>
            </w:r>
            <w:r>
              <w:rPr>
                <w:sz w:val="17"/>
              </w:rPr>
              <w:t xml:space="preserve"> </w:t>
            </w:r>
            <w:r>
              <w:rPr>
                <w:sz w:val="17"/>
              </w:rPr>
              <w:t xml:space="preserve">exceptions de trésorerie</w:t>
            </w:r>
          </w:p>
        </w:tc>
        <w:tc>
          <w:tcPr>
            <w:shd w:val="clear" w:color="auto" w:fill="F2F9F8"/>
          </w:tcPr>
          <w:p>
            <w:pPr>
              <w:pStyle w:val="Compact"/>
              <w:spacing w:after="20" w:before="20" w:line="240" w:lineRule="auto"/>
              <w:jc w:val="left"/>
            </w:pPr>
            <w:r>
              <w:rPr>
                <w:sz w:val="17"/>
              </w:rPr>
              <w:t xml:space="preserve">Pilotage budgétaire</w:t>
            </w:r>
            <w:r>
              <w:rPr>
                <w:sz w:val="17"/>
              </w:rPr>
              <w:t xml:space="preserve"> </w:t>
            </w:r>
            <w:r>
              <w:rPr>
                <w:sz w:val="17"/>
              </w:rPr>
              <w:t xml:space="preserve">fondé sur le</w:t>
            </w:r>
            <w:r>
              <w:rPr>
                <w:sz w:val="17"/>
              </w:rPr>
              <w:t xml:space="preserve"> </w:t>
            </w:r>
            <w:r>
              <w:rPr>
                <w:sz w:val="17"/>
              </w:rPr>
              <w:t xml:space="preserve">rapproché, non sur le</w:t>
            </w:r>
            <w:r>
              <w:rPr>
                <w:sz w:val="17"/>
              </w:rPr>
              <w:t xml:space="preserve"> </w:t>
            </w:r>
            <w:r>
              <w:rPr>
                <w:sz w:val="17"/>
              </w:rPr>
              <w:t xml:space="preserve">déclaré</w:t>
            </w:r>
          </w:p>
        </w:tc>
      </w:tr>
      <w:tr>
        <w:tc>
          <w:tcPr/>
          <w:p>
            <w:pPr>
              <w:pStyle w:val="Compact"/>
              <w:spacing w:after="20" w:before="20" w:line="240" w:lineRule="auto"/>
              <w:jc w:val="left"/>
            </w:pPr>
            <w:r>
              <w:rPr>
                <w:sz w:val="17"/>
              </w:rPr>
              <w:t xml:space="preserve">Directeur de</w:t>
            </w:r>
            <w:r>
              <w:rPr>
                <w:sz w:val="17"/>
              </w:rPr>
              <w:t xml:space="preserve"> </w:t>
            </w:r>
            <w:r>
              <w:rPr>
                <w:sz w:val="17"/>
              </w:rPr>
              <w:t xml:space="preserve">régie</w:t>
            </w:r>
          </w:p>
        </w:tc>
        <w:tc>
          <w:tcPr/>
          <w:p>
            <w:pPr>
              <w:pStyle w:val="Compact"/>
              <w:spacing w:after="20" w:before="20" w:line="240" w:lineRule="auto"/>
              <w:jc w:val="left"/>
            </w:pPr>
            <w:r>
              <w:rPr>
                <w:sz w:val="17"/>
              </w:rPr>
              <w:t xml:space="preserve">Affectation des zones, suivi des</w:t>
            </w:r>
            <w:r>
              <w:rPr>
                <w:sz w:val="17"/>
              </w:rPr>
              <w:t xml:space="preserve"> </w:t>
            </w:r>
            <w:r>
              <w:rPr>
                <w:sz w:val="17"/>
              </w:rPr>
              <w:t xml:space="preserve">agents, validation des</w:t>
            </w:r>
            <w:r>
              <w:rPr>
                <w:sz w:val="17"/>
              </w:rPr>
              <w:t xml:space="preserve"> </w:t>
            </w:r>
            <w:r>
              <w:rPr>
                <w:sz w:val="17"/>
              </w:rPr>
              <w:t xml:space="preserve">notifications, gestion du</w:t>
            </w:r>
            <w:r>
              <w:rPr>
                <w:sz w:val="17"/>
              </w:rPr>
              <w:t xml:space="preserve"> </w:t>
            </w:r>
            <w:r>
              <w:rPr>
                <w:sz w:val="17"/>
              </w:rPr>
              <w:t xml:space="preserve">contentieux</w:t>
            </w:r>
          </w:p>
        </w:tc>
        <w:tc>
          <w:tcPr/>
          <w:p>
            <w:pPr>
              <w:pStyle w:val="Compact"/>
              <w:spacing w:after="20" w:before="20" w:line="240" w:lineRule="auto"/>
              <w:jc w:val="left"/>
            </w:pPr>
            <w:r>
              <w:rPr>
                <w:sz w:val="17"/>
              </w:rPr>
              <w:t xml:space="preserve">Charge de travail</w:t>
            </w:r>
            <w:r>
              <w:rPr>
                <w:sz w:val="17"/>
              </w:rPr>
              <w:t xml:space="preserve"> </w:t>
            </w:r>
            <w:r>
              <w:rPr>
                <w:sz w:val="17"/>
              </w:rPr>
              <w:t xml:space="preserve">priorisée par</w:t>
            </w:r>
            <w:r>
              <w:rPr>
                <w:sz w:val="17"/>
              </w:rPr>
              <w:t xml:space="preserve"> </w:t>
            </w:r>
            <w:r>
              <w:rPr>
                <w:sz w:val="17"/>
              </w:rPr>
              <w:t xml:space="preserve">potentiel et risque</w:t>
            </w:r>
          </w:p>
        </w:tc>
      </w:tr>
      <w:tr>
        <w:tc>
          <w:tcPr>
            <w:shd w:val="clear" w:color="auto" w:fill="F2F9F8"/>
          </w:tcPr>
          <w:p>
            <w:pPr>
              <w:pStyle w:val="Compact"/>
              <w:spacing w:after="20" w:before="20" w:line="240" w:lineRule="auto"/>
              <w:jc w:val="left"/>
            </w:pPr>
            <w:r>
              <w:rPr>
                <w:sz w:val="17"/>
              </w:rPr>
              <w:t xml:space="preserve">Chef de centre</w:t>
            </w:r>
            <w:r>
              <w:rPr>
                <w:sz w:val="17"/>
              </w:rPr>
              <w:t xml:space="preserve"> </w:t>
            </w:r>
            <w:r>
              <w:rPr>
                <w:sz w:val="17"/>
              </w:rPr>
              <w:t xml:space="preserve">communal</w:t>
            </w:r>
          </w:p>
        </w:tc>
        <w:tc>
          <w:tcPr>
            <w:shd w:val="clear" w:color="auto" w:fill="F2F9F8"/>
          </w:tcPr>
          <w:p>
            <w:pPr>
              <w:pStyle w:val="Compact"/>
              <w:spacing w:after="20" w:before="20" w:line="240" w:lineRule="auto"/>
              <w:jc w:val="left"/>
            </w:pPr>
            <w:r>
              <w:rPr>
                <w:sz w:val="17"/>
              </w:rPr>
              <w:t xml:space="preserve">Revue des objets non enregistrés</w:t>
            </w:r>
            <w:r>
              <w:rPr>
                <w:sz w:val="17"/>
              </w:rPr>
              <w:t xml:space="preserve"> </w:t>
            </w:r>
            <w:r>
              <w:rPr>
                <w:sz w:val="17"/>
              </w:rPr>
              <w:t xml:space="preserve">de sa zone, planification des</w:t>
            </w:r>
            <w:r>
              <w:rPr>
                <w:sz w:val="17"/>
              </w:rPr>
              <w:t xml:space="preserve"> </w:t>
            </w:r>
            <w:r>
              <w:rPr>
                <w:sz w:val="17"/>
              </w:rPr>
              <w:t xml:space="preserve">missions, suivi des</w:t>
            </w:r>
            <w:r>
              <w:rPr>
                <w:sz w:val="17"/>
              </w:rPr>
              <w:t xml:space="preserve"> </w:t>
            </w:r>
            <w:r>
              <w:rPr>
                <w:sz w:val="17"/>
              </w:rPr>
              <w:t xml:space="preserve">régularisations</w:t>
            </w:r>
          </w:p>
        </w:tc>
        <w:tc>
          <w:tcPr>
            <w:shd w:val="clear" w:color="auto" w:fill="F2F9F8"/>
          </w:tcPr>
          <w:p>
            <w:pPr>
              <w:pStyle w:val="Compact"/>
              <w:spacing w:after="20" w:before="20" w:line="240" w:lineRule="auto"/>
              <w:jc w:val="left"/>
            </w:pPr>
            <w:r>
              <w:rPr>
                <w:sz w:val="17"/>
              </w:rPr>
              <w:t xml:space="preserve">Couverture progressive</w:t>
            </w:r>
            <w:r>
              <w:rPr>
                <w:sz w:val="17"/>
              </w:rPr>
              <w:t xml:space="preserve"> </w:t>
            </w:r>
            <w:r>
              <w:rPr>
                <w:sz w:val="17"/>
              </w:rPr>
              <w:t xml:space="preserve">et mesurable</w:t>
            </w:r>
          </w:p>
        </w:tc>
      </w:tr>
      <w:tr>
        <w:tc>
          <w:tcPr/>
          <w:p>
            <w:pPr>
              <w:pStyle w:val="Compact"/>
              <w:spacing w:after="20" w:before="20" w:line="240" w:lineRule="auto"/>
              <w:jc w:val="left"/>
            </w:pPr>
            <w:r>
              <w:rPr>
                <w:sz w:val="17"/>
              </w:rPr>
              <w:t xml:space="preserve">Juriste</w:t>
            </w:r>
            <w:r>
              <w:rPr>
                <w:sz w:val="17"/>
              </w:rPr>
              <w:t xml:space="preserve"> </w:t>
            </w:r>
            <w:r>
              <w:rPr>
                <w:sz w:val="17"/>
              </w:rPr>
              <w:t xml:space="preserve">provincial</w:t>
            </w:r>
          </w:p>
        </w:tc>
        <w:tc>
          <w:tcPr/>
          <w:p>
            <w:pPr>
              <w:pStyle w:val="Compact"/>
              <w:spacing w:after="20" w:before="20" w:line="240" w:lineRule="auto"/>
              <w:jc w:val="left"/>
            </w:pPr>
            <w:r>
              <w:rPr>
                <w:sz w:val="17"/>
              </w:rPr>
              <w:t xml:space="preserve">Rédaction et proposition d'une</w:t>
            </w:r>
            <w:r>
              <w:rPr>
                <w:sz w:val="17"/>
              </w:rPr>
              <w:t xml:space="preserve"> </w:t>
            </w:r>
            <w:r>
              <w:rPr>
                <w:sz w:val="17"/>
              </w:rPr>
              <w:t xml:space="preserve">fiche de recette, mise à jour</w:t>
            </w:r>
            <w:r>
              <w:rPr>
                <w:sz w:val="17"/>
              </w:rPr>
              <w:t xml:space="preserve"> </w:t>
            </w:r>
            <w:r>
              <w:rPr>
                <w:sz w:val="17"/>
              </w:rPr>
              <w:t xml:space="preserve">après nouvel édit</w:t>
            </w:r>
          </w:p>
        </w:tc>
        <w:tc>
          <w:tcPr/>
          <w:p>
            <w:pPr>
              <w:pStyle w:val="Compact"/>
              <w:spacing w:after="20" w:before="20" w:line="240" w:lineRule="auto"/>
              <w:jc w:val="left"/>
            </w:pPr>
            <w:r>
              <w:rPr>
                <w:sz w:val="17"/>
              </w:rPr>
              <w:t xml:space="preserve">Référentiel toujours</w:t>
            </w:r>
            <w:r>
              <w:rPr>
                <w:sz w:val="17"/>
              </w:rPr>
              <w:t xml:space="preserve"> </w:t>
            </w:r>
            <w:r>
              <w:rPr>
                <w:sz w:val="17"/>
              </w:rPr>
              <w:t xml:space="preserve">conforme au droit en</w:t>
            </w:r>
            <w:r>
              <w:rPr>
                <w:sz w:val="17"/>
              </w:rPr>
              <w:t xml:space="preserve"> </w:t>
            </w:r>
            <w:r>
              <w:rPr>
                <w:sz w:val="17"/>
              </w:rPr>
              <w:t xml:space="preserve">vigueur</w:t>
            </w:r>
          </w:p>
        </w:tc>
      </w:tr>
      <w:tr>
        <w:tc>
          <w:tcPr>
            <w:shd w:val="clear" w:color="auto" w:fill="F2F9F8"/>
          </w:tcPr>
          <w:p>
            <w:pPr>
              <w:pStyle w:val="Compact"/>
              <w:spacing w:after="20" w:before="20" w:line="240" w:lineRule="auto"/>
              <w:jc w:val="left"/>
            </w:pPr>
            <w:r>
              <w:rPr>
                <w:sz w:val="17"/>
              </w:rPr>
              <w:t xml:space="preserve">Comptable public</w:t>
            </w:r>
          </w:p>
        </w:tc>
        <w:tc>
          <w:tcPr>
            <w:shd w:val="clear" w:color="auto" w:fill="F2F9F8"/>
          </w:tcPr>
          <w:p>
            <w:pPr>
              <w:pStyle w:val="Compact"/>
              <w:spacing w:after="20" w:before="20" w:line="240" w:lineRule="auto"/>
              <w:jc w:val="left"/>
            </w:pPr>
            <w:r>
              <w:rPr>
                <w:sz w:val="17"/>
              </w:rPr>
              <w:t xml:space="preserve">Lecture des relevés, imputation,</w:t>
            </w:r>
            <w:r>
              <w:rPr>
                <w:sz w:val="17"/>
              </w:rPr>
              <w:t xml:space="preserve"> </w:t>
            </w:r>
            <w:r>
              <w:rPr>
                <w:sz w:val="17"/>
              </w:rPr>
              <w:t xml:space="preserve">traitement des écarts</w:t>
            </w:r>
          </w:p>
        </w:tc>
        <w:tc>
          <w:tcPr>
            <w:shd w:val="clear" w:color="auto" w:fill="F2F9F8"/>
          </w:tcPr>
          <w:p>
            <w:pPr>
              <w:pStyle w:val="Compact"/>
              <w:spacing w:after="20" w:before="20" w:line="240" w:lineRule="auto"/>
              <w:jc w:val="left"/>
            </w:pPr>
            <w:r>
              <w:rPr>
                <w:sz w:val="17"/>
              </w:rPr>
              <w:t xml:space="preserve">Rapprochement</w:t>
            </w:r>
            <w:r>
              <w:rPr>
                <w:sz w:val="17"/>
              </w:rPr>
              <w:t xml:space="preserve"> </w:t>
            </w:r>
            <w:r>
              <w:rPr>
                <w:sz w:val="17"/>
              </w:rPr>
              <w:t xml:space="preserve">quotidien sans saisie</w:t>
            </w:r>
            <w:r>
              <w:rPr>
                <w:sz w:val="17"/>
              </w:rPr>
              <w:t xml:space="preserve"> </w:t>
            </w:r>
            <w:r>
              <w:rPr>
                <w:sz w:val="17"/>
              </w:rPr>
              <w:t xml:space="preserve">manuelle</w:t>
            </w:r>
          </w:p>
        </w:tc>
      </w:tr>
      <w:tr>
        <w:tc>
          <w:tcPr/>
          <w:p>
            <w:pPr>
              <w:pStyle w:val="Compact"/>
              <w:spacing w:after="20" w:before="20" w:line="240" w:lineRule="auto"/>
              <w:jc w:val="left"/>
            </w:pPr>
            <w:r>
              <w:rPr>
                <w:sz w:val="17"/>
              </w:rPr>
              <w:t xml:space="preserve">Auditeur</w:t>
            </w:r>
          </w:p>
        </w:tc>
        <w:tc>
          <w:tcPr/>
          <w:p>
            <w:pPr>
              <w:pStyle w:val="Compact"/>
              <w:spacing w:after="20" w:before="20" w:line="240" w:lineRule="auto"/>
              <w:jc w:val="left"/>
            </w:pPr>
            <w:r>
              <w:rPr>
                <w:sz w:val="17"/>
              </w:rPr>
              <w:t xml:space="preserve">Sélection d'un échantillon,</w:t>
            </w:r>
            <w:r>
              <w:rPr>
                <w:sz w:val="17"/>
              </w:rPr>
              <w:t xml:space="preserve"> </w:t>
            </w:r>
            <w:r>
              <w:rPr>
                <w:sz w:val="17"/>
              </w:rPr>
              <w:t xml:space="preserve">reconstitution d'une chaîne</w:t>
            </w:r>
            <w:r>
              <w:rPr>
                <w:sz w:val="17"/>
              </w:rPr>
              <w:t xml:space="preserve"> </w:t>
            </w:r>
            <w:r>
              <w:rPr>
                <w:sz w:val="17"/>
              </w:rPr>
              <w:t xml:space="preserve">complète, extraction probante</w:t>
            </w:r>
          </w:p>
        </w:tc>
        <w:tc>
          <w:tcPr/>
          <w:p>
            <w:pPr>
              <w:pStyle w:val="Compact"/>
              <w:spacing w:after="20" w:before="20" w:line="240" w:lineRule="auto"/>
              <w:jc w:val="left"/>
            </w:pPr>
            <w:r>
              <w:rPr>
                <w:sz w:val="17"/>
              </w:rPr>
              <w:t xml:space="preserve">Preuve opposable</w:t>
            </w:r>
          </w:p>
        </w:tc>
      </w:tr>
    </w:tbl>
    <w:p>
      <w:pPr>
        <w:pStyle w:val="BodyText"/>
      </w:pPr>
      <w:r>
        <w:t xml:space="preserve">Chaîne du parcours gouvernemental : créer ou valider une règle → recenser → liquider → notifier → suivre → rapprocher → recouvrer → auditer → analyser. Chaque action sensible exige une compétence légale, une justification enregistrée et une preuve.</w:t>
      </w:r>
    </w:p>
    <w:bookmarkEnd w:id="152"/>
    <w:bookmarkStart w:id="158" w:name="parcours-de-lagent-de-terrain"/>
    <w:p>
      <w:pPr>
        <w:pStyle w:val="Heading1"/>
      </w:pPr>
      <w:r>
        <w:t xml:space="preserve">15. Parcours de l'agent de terrain</w:t>
      </w:r>
    </w:p>
    <w:p>
      <w:pPr>
        <w:pStyle w:val="FirstParagraph"/>
      </w:pPr>
      <w:r>
        <w:t xml:space="preserve">Chaîne du parcours : télécharger la mission → identifier le lieu et l’objet → scanner le QR → capter le GPS → photographier ou filmer selon le protocole autorisé → remplir le formulaire → recueillir la signature ou consigner le refus ou l’absence → synchroniser. L’agent ne peut pas établir seul la propriété définitive ni la dette finale, modifier un compte bénéficiaire ou effacer une preuve.</w:t>
      </w:r>
    </w:p>
    <w:bookmarkStart w:id="153" w:name="avant-la-mission"/>
    <w:p>
      <w:pPr>
        <w:pStyle w:val="Heading2"/>
      </w:pPr>
      <w:r>
        <w:t xml:space="preserve">15.1 Avant la mission</w:t>
      </w:r>
    </w:p>
    <w:p>
      <w:pPr>
        <w:pStyle w:val="FirstParagraph"/>
      </w:pPr>
      <w:r>
        <w:t xml:space="preserve">L'agent reçoit une mission bornée dans le temps et dans l'espace :</w:t>
      </w:r>
      <w:r>
        <w:t xml:space="preserve"> </w:t>
      </w:r>
      <w:r>
        <w:t xml:space="preserve">liste d'objets, itinéraire optimisé, documents nécessaires, consignes</w:t>
      </w:r>
      <w:r>
        <w:t xml:space="preserve"> </w:t>
      </w:r>
      <w:r>
        <w:t xml:space="preserve">de sécurité. Les données sont téléchargées sur un terminal enregistré et</w:t>
      </w:r>
      <w:r>
        <w:t xml:space="preserve"> </w:t>
      </w:r>
      <w:r>
        <w:t xml:space="preserve">chiffré, avec une date d'expiration automatique.</w:t>
      </w:r>
    </w:p>
    <w:bookmarkEnd w:id="153"/>
    <w:bookmarkStart w:id="154" w:name="sur-le-terrain"/>
    <w:p>
      <w:pPr>
        <w:pStyle w:val="Heading2"/>
      </w:pPr>
      <w:r>
        <w:t xml:space="preserve">15.2 Sur le terrain</w:t>
      </w:r>
    </w:p>
    <w:p>
      <w:pPr>
        <w:numPr>
          <w:ilvl w:val="0"/>
          <w:numId w:val="1042"/>
        </w:numPr>
      </w:pPr>
      <w:r>
        <w:t xml:space="preserve">Localiser l'objet assigné, vérifier son existence et son état.</w:t>
      </w:r>
    </w:p>
    <w:p>
      <w:pPr>
        <w:numPr>
          <w:ilvl w:val="0"/>
          <w:numId w:val="1042"/>
        </w:numPr>
      </w:pPr>
      <w:r>
        <w:t xml:space="preserve">Scanner le code QR de l'objet lorsqu'il existe, ou créer un objet</w:t>
      </w:r>
      <w:r>
        <w:t xml:space="preserve"> </w:t>
      </w:r>
      <w:r>
        <w:t xml:space="preserve">provisoire lorsqu'il n'existe pas.</w:t>
      </w:r>
    </w:p>
    <w:p>
      <w:pPr>
        <w:numPr>
          <w:ilvl w:val="0"/>
          <w:numId w:val="1042"/>
        </w:numPr>
      </w:pPr>
      <w:r>
        <w:t xml:space="preserve">Enregistrer les coordonnées, photographier selon un protocole</w:t>
      </w:r>
      <w:r>
        <w:t xml:space="preserve"> </w:t>
      </w:r>
      <w:r>
        <w:t xml:space="preserve">contrôlé, saisir les caractéristiques.</w:t>
      </w:r>
    </w:p>
    <w:p>
      <w:pPr>
        <w:numPr>
          <w:ilvl w:val="0"/>
          <w:numId w:val="1042"/>
        </w:numPr>
      </w:pPr>
      <w:r>
        <w:t xml:space="preserve">Constater l'occupation déclarée sans conclure à la propriété.</w:t>
      </w:r>
    </w:p>
    <w:p>
      <w:pPr>
        <w:numPr>
          <w:ilvl w:val="0"/>
          <w:numId w:val="1042"/>
        </w:numPr>
      </w:pPr>
      <w:r>
        <w:t xml:space="preserve">Émettre une notification numérique lorsque la loi l'y autorise,</w:t>
      </w:r>
      <w:r>
        <w:t xml:space="preserve"> </w:t>
      </w:r>
      <w:r>
        <w:t xml:space="preserve">recueillir une signature ou enregistrer un refus.</w:t>
      </w:r>
    </w:p>
    <w:p>
      <w:pPr>
        <w:numPr>
          <w:ilvl w:val="0"/>
          <w:numId w:val="1042"/>
        </w:numPr>
      </w:pPr>
      <w:r>
        <w:t xml:space="preserve">Ne recevoir aucun paiement : le contribuable paie lui-même depuis</w:t>
      </w:r>
      <w:r>
        <w:t xml:space="preserve"> </w:t>
      </w:r>
      <w:r>
        <w:t xml:space="preserve">son téléphone ou en banque.</w:t>
      </w:r>
    </w:p>
    <w:bookmarkEnd w:id="154"/>
    <w:bookmarkStart w:id="155" w:name="après-la-mission"/>
    <w:p>
      <w:pPr>
        <w:pStyle w:val="Heading2"/>
      </w:pPr>
      <w:r>
        <w:t xml:space="preserve">15.3 Après la mission</w:t>
      </w:r>
    </w:p>
    <w:p>
      <w:pPr>
        <w:pStyle w:val="FirstParagraph"/>
      </w:pPr>
      <w:r>
        <w:t xml:space="preserve">La synchronisation transmet les constats. Les conflits sont résolus par</w:t>
      </w:r>
      <w:r>
        <w:t xml:space="preserve"> </w:t>
      </w:r>
      <w:r>
        <w:t xml:space="preserve">des règles explicites : deux agents sur le même objet, modification par</w:t>
      </w:r>
      <w:r>
        <w:t xml:space="preserve"> </w:t>
      </w:r>
      <w:r>
        <w:t xml:space="preserve">le contribuable pendant que l'agent était hors ligne, GPS imprécis,</w:t>
      </w:r>
      <w:r>
        <w:t xml:space="preserve"> </w:t>
      </w:r>
      <w:r>
        <w:t xml:space="preserve">objets fusionnés, terminal perdu. En cas de perte, les données locales</w:t>
      </w:r>
      <w:r>
        <w:t xml:space="preserve"> </w:t>
      </w:r>
      <w:r>
        <w:t xml:space="preserve">sont révoquées à distance et expirent seules.</w:t>
      </w:r>
    </w:p>
    <w:p>
      <w:pPr>
        <w:pStyle w:val="BlockText"/>
      </w:pPr>
      <w:r>
        <w:rPr>
          <w:b/>
          <w:bCs/>
        </w:rPr>
        <w:t xml:space="preserve">Rémunération de la performance.</w:t>
      </w:r>
      <w:r>
        <w:t xml:space="preserve"> </w:t>
      </w:r>
      <w:r>
        <w:t xml:space="preserve">La prime éventuelle se calcule sur</w:t>
      </w:r>
      <w:r>
        <w:t xml:space="preserve"> </w:t>
      </w:r>
      <w:r>
        <w:t xml:space="preserve">les régularisations confirmées par une quittance payée, jamais sur des</w:t>
      </w:r>
      <w:r>
        <w:t xml:space="preserve"> </w:t>
      </w:r>
      <w:r>
        <w:t xml:space="preserve">espèces rapportées. L'incitation à négocier sur place disparaît avec</w:t>
      </w:r>
      <w:r>
        <w:t xml:space="preserve"> </w:t>
      </w:r>
      <w:r>
        <w:t xml:space="preserve">la possibilité d'encaisser.</w:t>
      </w:r>
    </w:p>
    <w:bookmarkEnd w:id="155"/>
    <w:bookmarkStart w:id="156" w:name="X656d32126ea94943b51cf5d72d2c0705068c012"/>
    <w:p>
      <w:pPr>
        <w:pStyle w:val="Heading2"/>
      </w:pPr>
      <w:r>
        <w:t xml:space="preserve">15.4 Exigences techniques de la plateforme terrain hors ligne (Offline-First Field Platform)</w:t>
      </w:r>
    </w:p>
    <w:p>
      <w:pPr>
        <w:pStyle w:val="Compact"/>
        <w:numPr>
          <w:ilvl w:val="0"/>
          <w:numId w:val="1043"/>
        </w:numPr>
      </w:pPr>
      <w:r>
        <w:t xml:space="preserve">Application Android dédiée, installée sur terminal enregistré et géré par une solution de gestion des appareils mobiles (MDM).</w:t>
      </w:r>
    </w:p>
    <w:p>
      <w:pPr>
        <w:pStyle w:val="Compact"/>
        <w:numPr>
          <w:ilvl w:val="0"/>
          <w:numId w:val="1043"/>
        </w:numPr>
      </w:pPr>
      <w:r>
        <w:t xml:space="preserve">Missions téléchargées à durée de vie limitée ; cache local chiffré et minimal ; jetons hors ligne limités dans le temps.</w:t>
      </w:r>
    </w:p>
    <w:p>
      <w:pPr>
        <w:pStyle w:val="Compact"/>
        <w:numPr>
          <w:ilvl w:val="0"/>
          <w:numId w:val="1043"/>
        </w:numPr>
      </w:pPr>
      <w:r>
        <w:t xml:space="preserve">Capture GPS, photo, QR, formulaires, constat, absence ou refus, signature ; preuves chiffrées et horodatées au moment de la capture.</w:t>
      </w:r>
    </w:p>
    <w:p>
      <w:pPr>
        <w:pStyle w:val="Compact"/>
        <w:numPr>
          <w:ilvl w:val="0"/>
          <w:numId w:val="1043"/>
        </w:numPr>
      </w:pPr>
      <w:r>
        <w:t xml:space="preserve">Synchronisation différée robuste, file locale d’événements, résolution explicite des conflits (§ 15.3).</w:t>
      </w:r>
    </w:p>
    <w:p>
      <w:pPr>
        <w:pStyle w:val="Compact"/>
        <w:numPr>
          <w:ilvl w:val="0"/>
          <w:numId w:val="1043"/>
        </w:numPr>
      </w:pPr>
      <w:r>
        <w:t xml:space="preserve">Révocation de l’appareil, effacement à distance, expiration automatique des données, détection des appareils modifiés (root ou jailbreak), contrôle d’intégrité de l’application.</w:t>
      </w:r>
    </w:p>
    <w:p>
      <w:pPr>
        <w:pStyle w:val="FirstParagraph"/>
      </w:pPr>
      <w:r>
        <w:rPr>
          <w:b/>
          <w:bCs/>
        </w:rPr>
        <w:t xml:space="preserve">Critère d’acceptation.</w:t>
      </w:r>
      <w:r>
        <w:t xml:space="preserve"> </w:t>
      </w:r>
      <w:r>
        <w:rPr>
          <w:b/>
          <w:bCs/>
        </w:rPr>
        <w:t xml:space="preserve">Étant donné</w:t>
      </w:r>
      <w:r>
        <w:t xml:space="preserve"> </w:t>
      </w:r>
      <w:r>
        <w:t xml:space="preserve">une mission téléchargée et valide,</w:t>
      </w:r>
      <w:r>
        <w:t xml:space="preserve"> </w:t>
      </w:r>
      <w:r>
        <w:rPr>
          <w:b/>
          <w:bCs/>
        </w:rPr>
        <w:t xml:space="preserve">lorsque</w:t>
      </w:r>
      <w:r>
        <w:t xml:space="preserve"> </w:t>
      </w:r>
      <w:r>
        <w:t xml:space="preserve">l’agent capture GPS, photo et formulaire hors connexion,</w:t>
      </w:r>
      <w:r>
        <w:t xml:space="preserve"> </w:t>
      </w:r>
      <w:r>
        <w:rPr>
          <w:b/>
          <w:bCs/>
        </w:rPr>
        <w:t xml:space="preserve">alors</w:t>
      </w:r>
      <w:r>
        <w:t xml:space="preserve"> </w:t>
      </w:r>
      <w:r>
        <w:t xml:space="preserve">la preuve est chiffrée, horodatée, liée à la mission et synchronisable, et aucune dette finale n’est créée sans validation.</w:t>
      </w:r>
    </w:p>
    <w:bookmarkEnd w:id="156"/>
    <w:bookmarkStart w:id="157" w:name="écrans-de-contrôle-de-référence"/>
    <w:p>
      <w:pPr>
        <w:pStyle w:val="Heading2"/>
      </w:pPr>
      <w:r>
        <w:t xml:space="preserve">15.5 Écrans de contrôle de référence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Contrôle</w:t>
            </w:r>
          </w:p>
        </w:tc>
        <w:tc>
          <w:tcPr>
            <w:shd w:val="clear" w:color="auto" w:fill="1BA996"/>
          </w:tcPr>
          <w:p>
            <w:pPr>
              <w:pStyle w:val="Compact"/>
              <w:spacing w:after="20" w:before="20" w:line="240" w:lineRule="auto"/>
              <w:jc w:val="left"/>
            </w:pPr>
            <w:r>
              <w:rPr>
                <w:b/>
                <w:color w:val="FFFFFF"/>
                <w:sz w:val="17"/>
              </w:rPr>
              <w:t xml:space="preserve">Saisie ou scan</w:t>
            </w:r>
          </w:p>
        </w:tc>
        <w:tc>
          <w:tcPr>
            <w:shd w:val="clear" w:color="auto" w:fill="1BA996"/>
          </w:tcPr>
          <w:p>
            <w:pPr>
              <w:pStyle w:val="Compact"/>
              <w:spacing w:after="20" w:before="20" w:line="240" w:lineRule="auto"/>
              <w:jc w:val="left"/>
            </w:pPr>
            <w:r>
              <w:rPr>
                <w:b/>
                <w:color w:val="FFFFFF"/>
                <w:sz w:val="17"/>
              </w:rPr>
              <w:t xml:space="preserve">Affichage minimal pour le contrôleur</w:t>
            </w:r>
          </w:p>
        </w:tc>
      </w:tr>
      <w:tr>
        <w:tc>
          <w:tcPr/>
          <w:p>
            <w:pPr>
              <w:pStyle w:val="Compact"/>
              <w:spacing w:after="20" w:before="20" w:line="240" w:lineRule="auto"/>
              <w:jc w:val="left"/>
            </w:pPr>
            <w:r>
              <w:rPr>
                <w:sz w:val="17"/>
              </w:rPr>
              <w:t xml:space="preserve">Véhicule</w:t>
            </w:r>
          </w:p>
        </w:tc>
        <w:tc>
          <w:tcPr/>
          <w:p>
            <w:pPr>
              <w:pStyle w:val="Compact"/>
              <w:spacing w:after="20" w:before="20" w:line="240" w:lineRule="auto"/>
              <w:jc w:val="left"/>
            </w:pPr>
            <w:r>
              <w:rPr>
                <w:sz w:val="17"/>
              </w:rPr>
              <w:t xml:space="preserve">Plaque AB 1234 AA ou QR</w:t>
            </w:r>
          </w:p>
        </w:tc>
        <w:tc>
          <w:tcPr/>
          <w:p>
            <w:pPr>
              <w:pStyle w:val="Compact"/>
              <w:spacing w:after="20" w:before="20" w:line="240" w:lineRule="auto"/>
              <w:jc w:val="left"/>
            </w:pPr>
            <w:r>
              <w:rPr>
                <w:sz w:val="17"/>
              </w:rPr>
              <w:t xml:space="preserve">Vignette : payée ; autre obligation : non régularisée ; dernier paiement : date</w:t>
            </w:r>
          </w:p>
        </w:tc>
      </w:tr>
      <w:tr>
        <w:tc>
          <w:tcPr>
            <w:shd w:val="clear" w:color="auto" w:fill="F2F9F8"/>
          </w:tcPr>
          <w:p>
            <w:pPr>
              <w:pStyle w:val="Compact"/>
              <w:spacing w:after="20" w:before="20" w:line="240" w:lineRule="auto"/>
              <w:jc w:val="left"/>
            </w:pPr>
            <w:r>
              <w:rPr>
                <w:sz w:val="17"/>
              </w:rPr>
              <w:t xml:space="preserve">Commerce</w:t>
            </w:r>
          </w:p>
        </w:tc>
        <w:tc>
          <w:tcPr>
            <w:shd w:val="clear" w:color="auto" w:fill="F2F9F8"/>
          </w:tcPr>
          <w:p>
            <w:pPr>
              <w:pStyle w:val="Compact"/>
              <w:spacing w:after="20" w:before="20" w:line="240" w:lineRule="auto"/>
              <w:jc w:val="left"/>
            </w:pPr>
            <w:r>
              <w:rPr>
                <w:sz w:val="17"/>
              </w:rPr>
              <w:t xml:space="preserve">QR du commerce à l’adresse géolocalisée</w:t>
            </w:r>
          </w:p>
        </w:tc>
        <w:tc>
          <w:tcPr>
            <w:shd w:val="clear" w:color="auto" w:fill="F2F9F8"/>
          </w:tcPr>
          <w:p>
            <w:pPr>
              <w:pStyle w:val="Compact"/>
              <w:spacing w:after="20" w:before="20" w:line="240" w:lineRule="auto"/>
              <w:jc w:val="left"/>
            </w:pPr>
            <w:r>
              <w:rPr>
                <w:sz w:val="17"/>
              </w:rPr>
              <w:t xml:space="preserve">Nom, localisation, patente : non régularisée → génération de la notification prévue</w:t>
            </w:r>
          </w:p>
        </w:tc>
      </w:tr>
      <w:tr>
        <w:tc>
          <w:tcPr/>
          <w:p>
            <w:pPr>
              <w:pStyle w:val="Compact"/>
              <w:spacing w:after="20" w:before="20" w:line="240" w:lineRule="auto"/>
              <w:jc w:val="left"/>
            </w:pPr>
            <w:r>
              <w:rPr>
                <w:sz w:val="17"/>
              </w:rPr>
              <w:t xml:space="preserve">Embarcation</w:t>
            </w:r>
          </w:p>
        </w:tc>
        <w:tc>
          <w:tcPr/>
          <w:p>
            <w:pPr>
              <w:pStyle w:val="Compact"/>
              <w:spacing w:after="20" w:before="20" w:line="240" w:lineRule="auto"/>
              <w:jc w:val="left"/>
            </w:pPr>
            <w:r>
              <w:rPr>
                <w:sz w:val="17"/>
              </w:rPr>
              <w:t xml:space="preserve">Identifiant, QR ou numéro</w:t>
            </w:r>
          </w:p>
        </w:tc>
        <w:tc>
          <w:tcPr/>
          <w:p>
            <w:pPr>
              <w:pStyle w:val="Compact"/>
              <w:spacing w:after="20" w:before="20" w:line="240" w:lineRule="auto"/>
              <w:jc w:val="left"/>
            </w:pPr>
            <w:r>
              <w:rPr>
                <w:sz w:val="17"/>
              </w:rPr>
              <w:t xml:space="preserve">Propriétaire, point de départ, destination, historique, obligations de l’opération</w:t>
            </w:r>
          </w:p>
        </w:tc>
      </w:tr>
      <w:tr>
        <w:tc>
          <w:tcPr>
            <w:shd w:val="clear" w:color="auto" w:fill="F2F9F8"/>
          </w:tcPr>
          <w:p>
            <w:pPr>
              <w:pStyle w:val="Compact"/>
              <w:spacing w:after="20" w:before="20" w:line="240" w:lineRule="auto"/>
              <w:jc w:val="left"/>
            </w:pPr>
            <w:r>
              <w:rPr>
                <w:sz w:val="17"/>
              </w:rPr>
              <w:t xml:space="preserve">Maison ou parcelle</w:t>
            </w:r>
          </w:p>
        </w:tc>
        <w:tc>
          <w:tcPr>
            <w:shd w:val="clear" w:color="auto" w:fill="F2F9F8"/>
          </w:tcPr>
          <w:p>
            <w:pPr>
              <w:pStyle w:val="Compact"/>
              <w:spacing w:after="20" w:before="20" w:line="240" w:lineRule="auto"/>
              <w:jc w:val="left"/>
            </w:pPr>
            <w:r>
              <w:rPr>
                <w:sz w:val="17"/>
              </w:rPr>
              <w:t xml:space="preserve">Plaque fiscale NFIU (§ 16.7)</w:t>
            </w:r>
          </w:p>
        </w:tc>
        <w:tc>
          <w:tcPr>
            <w:shd w:val="clear" w:color="auto" w:fill="F2F9F8"/>
          </w:tcPr>
          <w:p>
            <w:pPr>
              <w:pStyle w:val="Compact"/>
              <w:spacing w:after="20" w:before="20" w:line="240" w:lineRule="auto"/>
              <w:jc w:val="left"/>
            </w:pPr>
            <w:r>
              <w:rPr>
                <w:sz w:val="17"/>
              </w:rPr>
              <w:t xml:space="preserve">Statut occupé ou loué, situation IF et IRL, historique</w:t>
            </w:r>
          </w:p>
        </w:tc>
      </w:tr>
    </w:tbl>
    <w:p>
      <w:pPr>
        <w:pStyle w:val="BodyText"/>
      </w:pPr>
      <w:r>
        <w:t xml:space="preserve">Toute action est géolocalisée ; une opération enregistrée loin du point connu est signalée (exemple : « opération effectuée à 430 mètres du point enregistré — vérification requise »), avec une tolérance GPS paramétrée par commune. Une opération hors zone est justifiée, pas automatiquement rejetée lorsque le GPS est imprécis. Principe d’accès :</w:t>
      </w:r>
      <w:r>
        <w:t xml:space="preserve"> </w:t>
      </w:r>
      <w:r>
        <w:rPr>
          <w:i/>
          <w:iCs/>
        </w:rPr>
        <w:t xml:space="preserve">chacun voit ce qu’il doit voir et modifie uniquement ce qu’il est autorisé à modifier.</w:t>
      </w:r>
    </w:p>
    <w:bookmarkEnd w:id="157"/>
    <w:bookmarkEnd w:id="158"/>
    <w:bookmarkStart w:id="166" w:name="X459e9a842ada2486c43d231fd9a3722e61ce28e"/>
    <w:p>
      <w:pPr>
        <w:pStyle w:val="Heading1"/>
      </w:pPr>
      <w:r>
        <w:t xml:space="preserve">15A. Sous-traitance terrain et gestion des équipes d’agents</w:t>
      </w:r>
    </w:p>
    <w:p>
      <w:pPr>
        <w:pStyle w:val="FirstParagraph"/>
      </w:pPr>
      <w:r>
        <w:t xml:space="preserve">Le recensement, l’enrôlement assisté et le contrôle exigent des centaines d’agents. MOSOLO permet donc à deux types de gestionnaires d’administrer plusieurs agents : les</w:t>
      </w:r>
      <w:r>
        <w:t xml:space="preserve"> </w:t>
      </w:r>
      <w:r>
        <w:rPr>
          <w:b/>
          <w:bCs/>
        </w:rPr>
        <w:t xml:space="preserve">responsables de module</w:t>
      </w:r>
      <w:r>
        <w:t xml:space="preserve"> </w:t>
      </w:r>
      <w:r>
        <w:t xml:space="preserve">de la Ville, pour leurs équipes internes, et les</w:t>
      </w:r>
      <w:r>
        <w:t xml:space="preserve"> </w:t>
      </w:r>
      <w:r>
        <w:rPr>
          <w:b/>
          <w:bCs/>
        </w:rPr>
        <w:t xml:space="preserve">sous-traitants terrain accrédités</w:t>
      </w:r>
      <w:r>
        <w:t xml:space="preserve">, pour les équipes qu’ils emploient. Le principe cardinal ne change pas :</w:t>
      </w:r>
      <w:r>
        <w:t xml:space="preserve"> </w:t>
      </w:r>
      <w:r>
        <w:rPr>
          <w:b/>
          <w:bCs/>
        </w:rPr>
        <w:t xml:space="preserve">ni un agent, ni un sous-traitant, ni un responsable de module ne touche jamais l’argent public, ne crée une dette hors règle et ne valide seul ses propres résultats.</w:t>
      </w:r>
    </w:p>
    <w:bookmarkStart w:id="159" w:name="a.1-modules-concernés"/>
    <w:p>
      <w:pPr>
        <w:pStyle w:val="Heading2"/>
      </w:pPr>
      <w:r>
        <w:t xml:space="preserve">15A.1 Modules concernés</w:t>
      </w:r>
    </w:p>
    <w:p>
      <w:pPr>
        <w:pStyle w:val="FirstParagraph"/>
      </w:pPr>
      <w:r>
        <w:t xml:space="preserve">Tout module qui requiert des agents de terrain dispose d’un responsable de module habilité à gérer des équipes : intelligence foncière et locative ; registre des activités et patentes ; véhicules et circulation ; stationnement ; publicité extérieure ; antennes ; marchés et domaine public ; carrières ; ports et embarcations ; spectacles et événements ; enrôlement assisté ; recouvrement.</w:t>
      </w:r>
    </w:p>
    <w:bookmarkEnd w:id="159"/>
    <w:bookmarkStart w:id="160" w:name="a.2-hiérarchie-de-gestion"/>
    <w:p>
      <w:pPr>
        <w:pStyle w:val="Heading2"/>
      </w:pPr>
      <w:r>
        <w:t xml:space="preserve">15A.2 Hiérarchie de gestion</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blHeader/>
        </w:trPr>
        <w:tc>
          <w:tcPr>
            <w:shd w:val="clear" w:color="auto" w:fill="1BA996"/>
          </w:tcPr>
          <w:p>
            <w:pPr>
              <w:pStyle w:val="Compact"/>
              <w:spacing w:after="20" w:before="20" w:line="240" w:lineRule="auto"/>
              <w:jc w:val="left"/>
            </w:pPr>
            <w:r>
              <w:rPr>
                <w:b/>
                <w:color w:val="FFFFFF"/>
                <w:sz w:val="17"/>
              </w:rPr>
              <w:t xml:space="preserve">Niveau</w:t>
            </w:r>
          </w:p>
        </w:tc>
        <w:tc>
          <w:tcPr>
            <w:shd w:val="clear" w:color="auto" w:fill="1BA996"/>
          </w:tcPr>
          <w:p>
            <w:pPr>
              <w:pStyle w:val="Compact"/>
              <w:spacing w:after="20" w:before="20" w:line="240" w:lineRule="auto"/>
              <w:jc w:val="left"/>
            </w:pPr>
            <w:r>
              <w:rPr>
                <w:b/>
                <w:color w:val="FFFFFF"/>
                <w:sz w:val="17"/>
              </w:rPr>
              <w:t xml:space="preserve">Qui</w:t>
            </w:r>
          </w:p>
        </w:tc>
        <w:tc>
          <w:tcPr>
            <w:shd w:val="clear" w:color="auto" w:fill="1BA996"/>
          </w:tcPr>
          <w:p>
            <w:pPr>
              <w:pStyle w:val="Compact"/>
              <w:spacing w:after="20" w:before="20" w:line="240" w:lineRule="auto"/>
              <w:jc w:val="left"/>
            </w:pPr>
            <w:r>
              <w:rPr>
                <w:b/>
                <w:color w:val="FFFFFF"/>
                <w:sz w:val="17"/>
              </w:rPr>
              <w:t xml:space="preserve">Gère</w:t>
            </w:r>
          </w:p>
        </w:tc>
        <w:tc>
          <w:tcPr>
            <w:shd w:val="clear" w:color="auto" w:fill="1BA996"/>
          </w:tcPr>
          <w:p>
            <w:pPr>
              <w:pStyle w:val="Compact"/>
              <w:spacing w:after="20" w:before="20" w:line="240" w:lineRule="auto"/>
              <w:jc w:val="left"/>
            </w:pPr>
            <w:r>
              <w:rPr>
                <w:b/>
                <w:color w:val="FFFFFF"/>
                <w:sz w:val="17"/>
              </w:rPr>
              <w:t xml:space="preserve">Reçoit ses missions de</w:t>
            </w:r>
          </w:p>
        </w:tc>
      </w:tr>
      <w:tr>
        <w:tc>
          <w:tcPr/>
          <w:p>
            <w:pPr>
              <w:pStyle w:val="Compact"/>
              <w:spacing w:after="20" w:before="20" w:line="240" w:lineRule="auto"/>
              <w:jc w:val="left"/>
            </w:pPr>
            <w:r>
              <w:rPr>
                <w:sz w:val="17"/>
              </w:rPr>
              <w:t xml:space="preserve">1</w:t>
            </w:r>
          </w:p>
        </w:tc>
        <w:tc>
          <w:tcPr/>
          <w:p>
            <w:pPr>
              <w:pStyle w:val="Compact"/>
              <w:spacing w:after="20" w:before="20" w:line="240" w:lineRule="auto"/>
              <w:jc w:val="left"/>
            </w:pPr>
            <w:r>
              <w:rPr>
                <w:sz w:val="17"/>
              </w:rPr>
              <w:t xml:space="preserve">Direction de régie</w:t>
            </w:r>
          </w:p>
        </w:tc>
        <w:tc>
          <w:tcPr/>
          <w:p>
            <w:pPr>
              <w:pStyle w:val="Compact"/>
              <w:spacing w:after="20" w:before="20" w:line="240" w:lineRule="auto"/>
              <w:jc w:val="left"/>
            </w:pPr>
            <w:r>
              <w:rPr>
                <w:sz w:val="17"/>
              </w:rPr>
              <w:t xml:space="preserve">Responsables de module, attribution des lots aux sous-traitants</w:t>
            </w:r>
          </w:p>
        </w:tc>
        <w:tc>
          <w:tcPr/>
          <w:p>
            <w:pPr>
              <w:pStyle w:val="Compact"/>
              <w:spacing w:after="20" w:before="20" w:line="240" w:lineRule="auto"/>
              <w:jc w:val="left"/>
            </w:pPr>
            <w:r>
              <w:rPr>
                <w:sz w:val="17"/>
              </w:rPr>
              <w:t xml:space="preserve">Comité de pilotage</w:t>
            </w:r>
          </w:p>
        </w:tc>
      </w:tr>
      <w:tr>
        <w:tc>
          <w:tcPr>
            <w:shd w:val="clear" w:color="auto" w:fill="F2F9F8"/>
          </w:tcPr>
          <w:p>
            <w:pPr>
              <w:pStyle w:val="Compact"/>
              <w:spacing w:after="20" w:before="20" w:line="240" w:lineRule="auto"/>
              <w:jc w:val="left"/>
            </w:pPr>
            <w:r>
              <w:rPr>
                <w:sz w:val="17"/>
              </w:rPr>
              <w:t xml:space="preserve">2</w:t>
            </w:r>
          </w:p>
        </w:tc>
        <w:tc>
          <w:tcPr>
            <w:shd w:val="clear" w:color="auto" w:fill="F2F9F8"/>
          </w:tcPr>
          <w:p>
            <w:pPr>
              <w:pStyle w:val="Compact"/>
              <w:spacing w:after="20" w:before="20" w:line="240" w:lineRule="auto"/>
              <w:jc w:val="left"/>
            </w:pPr>
            <w:r>
              <w:rPr>
                <w:sz w:val="17"/>
              </w:rPr>
              <w:t xml:space="preserve">Responsable de module</w:t>
            </w:r>
          </w:p>
        </w:tc>
        <w:tc>
          <w:tcPr>
            <w:shd w:val="clear" w:color="auto" w:fill="F2F9F8"/>
          </w:tcPr>
          <w:p>
            <w:pPr>
              <w:pStyle w:val="Compact"/>
              <w:spacing w:after="20" w:before="20" w:line="240" w:lineRule="auto"/>
              <w:jc w:val="left"/>
            </w:pPr>
            <w:r>
              <w:rPr>
                <w:sz w:val="17"/>
              </w:rPr>
              <w:t xml:space="preserve">Plusieurs agents internes et plusieurs sous-traitants dans son module</w:t>
            </w:r>
          </w:p>
        </w:tc>
        <w:tc>
          <w:tcPr>
            <w:shd w:val="clear" w:color="auto" w:fill="F2F9F8"/>
          </w:tcPr>
          <w:p>
            <w:pPr>
              <w:pStyle w:val="Compact"/>
              <w:spacing w:after="20" w:before="20" w:line="240" w:lineRule="auto"/>
              <w:jc w:val="left"/>
            </w:pPr>
            <w:r>
              <w:rPr>
                <w:sz w:val="17"/>
              </w:rPr>
              <w:t xml:space="preserve">Direction de régie</w:t>
            </w:r>
          </w:p>
        </w:tc>
      </w:tr>
      <w:tr>
        <w:tc>
          <w:tcPr/>
          <w:p>
            <w:pPr>
              <w:pStyle w:val="Compact"/>
              <w:spacing w:after="20" w:before="20" w:line="240" w:lineRule="auto"/>
              <w:jc w:val="left"/>
            </w:pPr>
            <w:r>
              <w:rPr>
                <w:sz w:val="17"/>
              </w:rPr>
              <w:t xml:space="preserve">3</w:t>
            </w:r>
          </w:p>
        </w:tc>
        <w:tc>
          <w:tcPr/>
          <w:p>
            <w:pPr>
              <w:pStyle w:val="Compact"/>
              <w:spacing w:after="20" w:before="20" w:line="240" w:lineRule="auto"/>
              <w:jc w:val="left"/>
            </w:pPr>
            <w:r>
              <w:rPr>
                <w:sz w:val="17"/>
              </w:rPr>
              <w:t xml:space="preserve">Sous-traitant accrédité</w:t>
            </w:r>
          </w:p>
        </w:tc>
        <w:tc>
          <w:tcPr/>
          <w:p>
            <w:pPr>
              <w:pStyle w:val="Compact"/>
              <w:spacing w:after="20" w:before="20" w:line="240" w:lineRule="auto"/>
              <w:jc w:val="left"/>
            </w:pPr>
            <w:r>
              <w:rPr>
                <w:sz w:val="17"/>
              </w:rPr>
              <w:t xml:space="preserve">Plusieurs superviseurs et agents de sa structure</w:t>
            </w:r>
          </w:p>
        </w:tc>
        <w:tc>
          <w:tcPr/>
          <w:p>
            <w:pPr>
              <w:pStyle w:val="Compact"/>
              <w:spacing w:after="20" w:before="20" w:line="240" w:lineRule="auto"/>
              <w:jc w:val="left"/>
            </w:pPr>
            <w:r>
              <w:rPr>
                <w:sz w:val="17"/>
              </w:rPr>
              <w:t xml:space="preserve">Responsable de module</w:t>
            </w:r>
          </w:p>
        </w:tc>
      </w:tr>
      <w:tr>
        <w:tc>
          <w:tcPr>
            <w:shd w:val="clear" w:color="auto" w:fill="F2F9F8"/>
          </w:tcPr>
          <w:p>
            <w:pPr>
              <w:pStyle w:val="Compact"/>
              <w:spacing w:after="20" w:before="20" w:line="240" w:lineRule="auto"/>
              <w:jc w:val="left"/>
            </w:pPr>
            <w:r>
              <w:rPr>
                <w:sz w:val="17"/>
              </w:rPr>
              <w:t xml:space="preserve">4</w:t>
            </w:r>
          </w:p>
        </w:tc>
        <w:tc>
          <w:tcPr>
            <w:shd w:val="clear" w:color="auto" w:fill="F2F9F8"/>
          </w:tcPr>
          <w:p>
            <w:pPr>
              <w:pStyle w:val="Compact"/>
              <w:spacing w:after="20" w:before="20" w:line="240" w:lineRule="auto"/>
              <w:jc w:val="left"/>
            </w:pPr>
            <w:r>
              <w:rPr>
                <w:sz w:val="17"/>
              </w:rPr>
              <w:t xml:space="preserve">Superviseur (interne ou sous-traitant)</w:t>
            </w:r>
          </w:p>
        </w:tc>
        <w:tc>
          <w:tcPr>
            <w:shd w:val="clear" w:color="auto" w:fill="F2F9F8"/>
          </w:tcPr>
          <w:p>
            <w:pPr>
              <w:pStyle w:val="Compact"/>
              <w:spacing w:after="20" w:before="20" w:line="240" w:lineRule="auto"/>
              <w:jc w:val="left"/>
            </w:pPr>
            <w:r>
              <w:rPr>
                <w:sz w:val="17"/>
              </w:rPr>
              <w:t xml:space="preserve">Une ou plusieurs équipes d’agents</w:t>
            </w:r>
          </w:p>
        </w:tc>
        <w:tc>
          <w:tcPr>
            <w:shd w:val="clear" w:color="auto" w:fill="F2F9F8"/>
          </w:tcPr>
          <w:p>
            <w:pPr>
              <w:pStyle w:val="Compact"/>
              <w:spacing w:after="20" w:before="20" w:line="240" w:lineRule="auto"/>
              <w:jc w:val="left"/>
            </w:pPr>
            <w:r>
              <w:rPr>
                <w:sz w:val="17"/>
              </w:rPr>
              <w:t xml:space="preserve">Responsable de module ou sous-traitant</w:t>
            </w:r>
          </w:p>
        </w:tc>
      </w:tr>
      <w:tr>
        <w:tc>
          <w:tcPr/>
          <w:p>
            <w:pPr>
              <w:pStyle w:val="Compact"/>
              <w:spacing w:after="20" w:before="20" w:line="240" w:lineRule="auto"/>
              <w:jc w:val="left"/>
            </w:pPr>
            <w:r>
              <w:rPr>
                <w:sz w:val="17"/>
              </w:rPr>
              <w:t xml:space="preserve">5</w:t>
            </w:r>
          </w:p>
        </w:tc>
        <w:tc>
          <w:tcPr/>
          <w:p>
            <w:pPr>
              <w:pStyle w:val="Compact"/>
              <w:spacing w:after="20" w:before="20" w:line="240" w:lineRule="auto"/>
              <w:jc w:val="left"/>
            </w:pPr>
            <w:r>
              <w:rPr>
                <w:sz w:val="17"/>
              </w:rPr>
              <w:t xml:space="preserve">Agent</w:t>
            </w:r>
          </w:p>
        </w:tc>
        <w:tc>
          <w:tcPr/>
          <w:p>
            <w:pPr>
              <w:pStyle w:val="Compact"/>
              <w:spacing w:after="20" w:before="20" w:line="240" w:lineRule="auto"/>
              <w:jc w:val="left"/>
            </w:pPr>
            <w:r>
              <w:rPr>
                <w:sz w:val="17"/>
              </w:rPr>
              <w:t xml:space="preserve">Ses missions</w:t>
            </w:r>
          </w:p>
        </w:tc>
        <w:tc>
          <w:tcPr/>
          <w:p>
            <w:pPr>
              <w:pStyle w:val="Compact"/>
              <w:spacing w:after="20" w:before="20" w:line="240" w:lineRule="auto"/>
              <w:jc w:val="left"/>
            </w:pPr>
            <w:r>
              <w:rPr>
                <w:sz w:val="17"/>
              </w:rPr>
              <w:t xml:space="preserve">Superviseur</w:t>
            </w:r>
          </w:p>
        </w:tc>
      </w:tr>
    </w:tbl>
    <w:p>
      <w:pPr>
        <w:pStyle w:val="BodyText"/>
      </w:pPr>
      <w:r>
        <w:t xml:space="preserve">Un sous-traitant peut intervenir dans plusieurs modules s’il est accrédité pour chacun. Le nombre maximal d’agents par gestionnaire, par zone et par sous-traitant est paramétrable.</w:t>
      </w:r>
    </w:p>
    <w:bookmarkEnd w:id="160"/>
    <w:bookmarkStart w:id="161" w:name="Xf19309f3b909b8735d2e272ad6eb697d148c19c"/>
    <w:p>
      <w:pPr>
        <w:pStyle w:val="Heading2"/>
      </w:pPr>
      <w:r>
        <w:t xml:space="preserve">15A.3 Inscription et accréditation des sous-traitants</w:t>
      </w:r>
    </w:p>
    <w:p>
      <w:pPr>
        <w:pStyle w:val="Compact"/>
        <w:numPr>
          <w:ilvl w:val="0"/>
          <w:numId w:val="1044"/>
        </w:numPr>
      </w:pPr>
      <w:r>
        <w:rPr>
          <w:b/>
          <w:bCs/>
        </w:rPr>
        <w:t xml:space="preserve">Invitation</w:t>
      </w:r>
      <w:r>
        <w:t xml:space="preserve"> </w:t>
      </w:r>
      <w:r>
        <w:t xml:space="preserve">par la direction de régie ou le responsable de module, après sélection du sous-traitant (appel à manifestation d’intérêt ou procédure de passation conduite hors plateforme). Aucune inscription libre n’est possible (§ 12A). Le sous-traitant invité complète son dossier : raison sociale, registre du commerce, NIF, dirigeants et pièces d’identité, références, capacité en effectifs et en équipements, modules visés.</w:t>
      </w:r>
    </w:p>
    <w:p>
      <w:pPr>
        <w:pStyle w:val="Compact"/>
        <w:numPr>
          <w:ilvl w:val="0"/>
          <w:numId w:val="1044"/>
        </w:numPr>
      </w:pPr>
      <w:r>
        <w:rPr>
          <w:b/>
          <w:bCs/>
        </w:rPr>
        <w:t xml:space="preserve">Diligence</w:t>
      </w:r>
      <w:r>
        <w:t xml:space="preserve"> </w:t>
      </w:r>
      <w:r>
        <w:t xml:space="preserve">par la régie : existence légale, situation fiscale à jour (quitus), absence de conflit d’intérêts avec les zones visées, déclaration des liens avec des agents publics.</w:t>
      </w:r>
    </w:p>
    <w:p>
      <w:pPr>
        <w:pStyle w:val="Compact"/>
        <w:numPr>
          <w:ilvl w:val="0"/>
          <w:numId w:val="1044"/>
        </w:numPr>
      </w:pPr>
      <w:r>
        <w:rPr>
          <w:b/>
          <w:bCs/>
        </w:rPr>
        <w:t xml:space="preserve">Accréditation</w:t>
      </w:r>
      <w:r>
        <w:t xml:space="preserve"> </w:t>
      </w:r>
      <w:r>
        <w:t xml:space="preserve">par décision motivée en maker-checker, par module et pour une durée limitée, avec période probatoire sur un lot réduit.</w:t>
      </w:r>
    </w:p>
    <w:p>
      <w:pPr>
        <w:pStyle w:val="Compact"/>
        <w:numPr>
          <w:ilvl w:val="0"/>
          <w:numId w:val="1044"/>
        </w:numPr>
      </w:pPr>
      <w:r>
        <w:rPr>
          <w:b/>
          <w:bCs/>
        </w:rPr>
        <w:t xml:space="preserve">Convention</w:t>
      </w:r>
      <w:r>
        <w:t xml:space="preserve"> </w:t>
      </w:r>
      <w:r>
        <w:t xml:space="preserve">signée : périmètre, confidentialité, traitement des données comme sous-traitant de données, interdictions, qualité, pénalités, restitution et destruction des données en fin de contrat.</w:t>
      </w:r>
    </w:p>
    <w:p>
      <w:pPr>
        <w:pStyle w:val="Compact"/>
        <w:numPr>
          <w:ilvl w:val="0"/>
          <w:numId w:val="1044"/>
        </w:numPr>
      </w:pPr>
      <w:r>
        <w:rPr>
          <w:b/>
          <w:bCs/>
        </w:rPr>
        <w:t xml:space="preserve">Suivi continu</w:t>
      </w:r>
      <w:r>
        <w:t xml:space="preserve"> </w:t>
      </w:r>
      <w:r>
        <w:t xml:space="preserve">: note de qualité, rotation des zones, renouvellement ou retrait de l’accréditation.</w:t>
      </w:r>
    </w:p>
    <w:bookmarkEnd w:id="161"/>
    <w:bookmarkStart w:id="162" w:name="a.4-gestion-des-agents"/>
    <w:p>
      <w:pPr>
        <w:pStyle w:val="Heading2"/>
      </w:pPr>
      <w:r>
        <w:t xml:space="preserve">15A.4 Gestion des agents</w:t>
      </w:r>
    </w:p>
    <w:p>
      <w:pPr>
        <w:pStyle w:val="Compact"/>
        <w:numPr>
          <w:ilvl w:val="0"/>
          <w:numId w:val="1045"/>
        </w:numPr>
      </w:pPr>
      <w:r>
        <w:t xml:space="preserve">Le gestionnaire (responsable de module ou sous-traitant)</w:t>
      </w:r>
      <w:r>
        <w:t xml:space="preserve"> </w:t>
      </w:r>
      <w:r>
        <w:rPr>
          <w:b/>
          <w:bCs/>
        </w:rPr>
        <w:t xml:space="preserve">invite</w:t>
      </w:r>
      <w:r>
        <w:t xml:space="preserve"> </w:t>
      </w:r>
      <w:r>
        <w:t xml:space="preserve">ses agents ; chaque agent crée un compte nominatif. Aucun compte partagé n’est possible.</w:t>
      </w:r>
    </w:p>
    <w:p>
      <w:pPr>
        <w:pStyle w:val="Compact"/>
        <w:numPr>
          <w:ilvl w:val="0"/>
          <w:numId w:val="1045"/>
        </w:numPr>
      </w:pPr>
      <w:r>
        <w:t xml:space="preserve">L’agent n’est actif qu’après</w:t>
      </w:r>
      <w:r>
        <w:t xml:space="preserve"> </w:t>
      </w:r>
      <w:r>
        <w:rPr>
          <w:b/>
          <w:bCs/>
        </w:rPr>
        <w:t xml:space="preserve">habilitation par la régie</w:t>
      </w:r>
      <w:r>
        <w:t xml:space="preserve"> </w:t>
      </w:r>
      <w:r>
        <w:t xml:space="preserve">: vérification d’identité, certification de formation (§ 24), engagement déontologique, liaison à un terminal enregistré.</w:t>
      </w:r>
    </w:p>
    <w:p>
      <w:pPr>
        <w:pStyle w:val="Compact"/>
        <w:numPr>
          <w:ilvl w:val="0"/>
          <w:numId w:val="1045"/>
        </w:numPr>
      </w:pPr>
      <w:r>
        <w:t xml:space="preserve">Le gestionnaire</w:t>
      </w:r>
      <w:r>
        <w:t xml:space="preserve"> </w:t>
      </w:r>
      <w:r>
        <w:rPr>
          <w:b/>
          <w:bCs/>
        </w:rPr>
        <w:t xml:space="preserve">répartit les missions</w:t>
      </w:r>
      <w:r>
        <w:t xml:space="preserve"> </w:t>
      </w:r>
      <w:r>
        <w:t xml:space="preserve">reçues entre ses agents, dans la zone et la période attribuées ; il ne peut pas créer de mission hors du lot attribué.</w:t>
      </w:r>
    </w:p>
    <w:p>
      <w:pPr>
        <w:pStyle w:val="Compact"/>
        <w:numPr>
          <w:ilvl w:val="0"/>
          <w:numId w:val="1045"/>
        </w:numPr>
      </w:pPr>
      <w:r>
        <w:t xml:space="preserve">Il</w:t>
      </w:r>
      <w:r>
        <w:t xml:space="preserve"> </w:t>
      </w:r>
      <w:r>
        <w:rPr>
          <w:b/>
          <w:bCs/>
        </w:rPr>
        <w:t xml:space="preserve">suit en temps réel</w:t>
      </w:r>
      <w:r>
        <w:t xml:space="preserve"> </w:t>
      </w:r>
      <w:r>
        <w:t xml:space="preserve">la production, la qualité, les rejets et les alertes de ses agents ; il peut suspendre un agent immédiatement.</w:t>
      </w:r>
    </w:p>
    <w:p>
      <w:pPr>
        <w:pStyle w:val="Compact"/>
        <w:numPr>
          <w:ilvl w:val="0"/>
          <w:numId w:val="1045"/>
        </w:numPr>
      </w:pPr>
      <w:r>
        <w:t xml:space="preserve">Toute sortie d’un agent entraîne la révocation de ses accès et l’effacement à distance de son terminal ; la suspension d’un sous-traitant révoque d’un coup tous ses agents.</w:t>
      </w:r>
    </w:p>
    <w:bookmarkEnd w:id="162"/>
    <w:bookmarkStart w:id="163" w:name="X194e45af643d12acae6c5b8fe44418427de054a"/>
    <w:p>
      <w:pPr>
        <w:pStyle w:val="Heading2"/>
      </w:pPr>
      <w:r>
        <w:t xml:space="preserve">15A.5 Contrôle qualité et séparation des rôles</w:t>
      </w:r>
    </w:p>
    <w:p>
      <w:pPr>
        <w:pStyle w:val="Compact"/>
        <w:numPr>
          <w:ilvl w:val="0"/>
          <w:numId w:val="1046"/>
        </w:numPr>
      </w:pPr>
      <w:r>
        <w:t xml:space="preserve">Les constats d’un sous-traitant ou d’une équipe sont validés par un contrôle indépendant de la régie : ré-inspection d’un échantillon aléatoire, analyse d’intégrité GPS et photo, détection de doublons et d’objets fictifs.</w:t>
      </w:r>
    </w:p>
    <w:p>
      <w:pPr>
        <w:pStyle w:val="Compact"/>
        <w:numPr>
          <w:ilvl w:val="0"/>
          <w:numId w:val="1046"/>
        </w:numPr>
      </w:pPr>
      <w:r>
        <w:t xml:space="preserve">Tableau de qualité par agent, par équipe et par sous-traitant : taux de rejet, taux d’objets confirmés, contestations, anomalies, délais.</w:t>
      </w:r>
    </w:p>
    <w:p>
      <w:pPr>
        <w:pStyle w:val="Compact"/>
        <w:numPr>
          <w:ilvl w:val="0"/>
          <w:numId w:val="1046"/>
        </w:numPr>
      </w:pPr>
      <w:r>
        <w:t xml:space="preserve">Rotation des zones entre agents et entre sous-traitants ; interdiction d’affecter un agent à sa propre rue ou à des objets liés à ses proches déclarés.</w:t>
      </w:r>
    </w:p>
    <w:bookmarkEnd w:id="163"/>
    <w:bookmarkStart w:id="164" w:name="X062d4ca2d720fcc0f305052d934dfdcbfb76a94"/>
    <w:p>
      <w:pPr>
        <w:pStyle w:val="Heading2"/>
      </w:pPr>
      <w:r>
        <w:t xml:space="preserve">15A.6 Identification des agents par le public</w:t>
      </w:r>
    </w:p>
    <w:p>
      <w:pPr>
        <w:pStyle w:val="FirstParagraph"/>
      </w:pPr>
      <w:r>
        <w:t xml:space="preserve">Chaque agent porte un badge à photo avec QR signé et code court. Tout citoyen peut vérifier, par scan, par SMS ou au SVI, que l’agent est habilité, pour quel module, quelle zone et quelle période, et à quelle structure il appartient. Un agent non vérifiable ou hors zone doit être signalé à la ligne de signalement (§ 18A.8).</w:t>
      </w:r>
    </w:p>
    <w:bookmarkEnd w:id="164"/>
    <w:bookmarkStart w:id="165" w:name="a.7-rémunération-des-sous-traitants"/>
    <w:p>
      <w:pPr>
        <w:pStyle w:val="Heading2"/>
      </w:pPr>
      <w:r>
        <w:t xml:space="preserve">15A.7 Rémunération des sous-traitants</w:t>
      </w:r>
    </w:p>
    <w:p>
      <w:pPr>
        <w:pStyle w:val="Compact"/>
        <w:numPr>
          <w:ilvl w:val="0"/>
          <w:numId w:val="1047"/>
        </w:numPr>
      </w:pPr>
      <w:r>
        <w:t xml:space="preserve">Rémunération sur livrables vérifiés : objets confirmés après contrôle qualité, enrôlements valides, missions achevées dans les délais.</w:t>
      </w:r>
    </w:p>
    <w:p>
      <w:pPr>
        <w:pStyle w:val="Compact"/>
        <w:numPr>
          <w:ilvl w:val="0"/>
          <w:numId w:val="1047"/>
        </w:numPr>
      </w:pPr>
      <w:r>
        <w:t xml:space="preserve">Part de la réserve de 10 % destinée aux agents de terrain et à leurs sous-traitants (§ 37A.5), répartie selon les résultats vérifiés et la qualité, calculée uniquement sur des recettes rapprochées, jamais sur des espèces.</w:t>
      </w:r>
    </w:p>
    <w:p>
      <w:pPr>
        <w:pStyle w:val="Compact"/>
        <w:numPr>
          <w:ilvl w:val="0"/>
          <w:numId w:val="1047"/>
        </w:numPr>
      </w:pPr>
      <w:r>
        <w:t xml:space="preserve">Récupération des sommes versées pour tout objet fictif ou constat frauduleux, et pénalités contractuelles.</w:t>
      </w:r>
    </w:p>
    <w:p>
      <w:pPr>
        <w:pStyle w:val="FirstParagraph"/>
      </w:pPr>
      <w:r>
        <w:rPr>
          <w:b/>
          <w:bCs/>
        </w:rPr>
        <w:t xml:space="preserve">Critère d’acceptation.</w:t>
      </w:r>
      <w:r>
        <w:t xml:space="preserve"> </w:t>
      </w:r>
      <w:r>
        <w:rPr>
          <w:b/>
          <w:bCs/>
        </w:rPr>
        <w:t xml:space="preserve">Étant donné</w:t>
      </w:r>
      <w:r>
        <w:t xml:space="preserve"> </w:t>
      </w:r>
      <w:r>
        <w:t xml:space="preserve">un sous-traitant accrédité,</w:t>
      </w:r>
      <w:r>
        <w:t xml:space="preserve"> </w:t>
      </w:r>
      <w:r>
        <w:rPr>
          <w:b/>
          <w:bCs/>
        </w:rPr>
        <w:t xml:space="preserve">lorsqu’</w:t>
      </w:r>
      <w:r>
        <w:t xml:space="preserve">il invite un agent et lui attribue une mission,</w:t>
      </w:r>
      <w:r>
        <w:t xml:space="preserve"> </w:t>
      </w:r>
      <w:r>
        <w:rPr>
          <w:b/>
          <w:bCs/>
        </w:rPr>
        <w:t xml:space="preserve">alors</w:t>
      </w:r>
      <w:r>
        <w:t xml:space="preserve"> </w:t>
      </w:r>
      <w:r>
        <w:t xml:space="preserve">l’agent ne peut agir qu’après habilitation par la régie, uniquement dans la zone et la période du lot attribué, et aucun de ses constats ne produit d’obligation sans validation indépendante.</w:t>
      </w:r>
    </w:p>
    <w:bookmarkEnd w:id="165"/>
    <w:bookmarkEnd w:id="166"/>
    <w:bookmarkStart w:id="177" w:name="modèle-foncier-et-intelligence-locative"/>
    <w:p>
      <w:pPr>
        <w:pStyle w:val="Heading1"/>
      </w:pPr>
      <w:r>
        <w:t xml:space="preserve">16. Modèle foncier et intelligence locative</w:t>
      </w:r>
    </w:p>
    <w:p>
      <w:pPr>
        <w:pStyle w:val="FirstParagraph"/>
      </w:pPr>
      <w:r>
        <w:t xml:space="preserve">C'est le module à rendement le plus élevé et le plus sensible. Il</w:t>
      </w:r>
      <w:r>
        <w:t xml:space="preserve"> </w:t>
      </w:r>
      <w:r>
        <w:t xml:space="preserve">s'appuie sur la carte, l'enrôlement vérifié, le recensement terrain,</w:t>
      </w:r>
      <w:r>
        <w:t xml:space="preserve"> </w:t>
      </w:r>
      <w:r>
        <w:t xml:space="preserve">l'auto-déclaration, les données administratives autorisées et un moteur</w:t>
      </w:r>
      <w:r>
        <w:t xml:space="preserve"> </w:t>
      </w:r>
      <w:r>
        <w:t xml:space="preserve">de détection d'anomalies.</w:t>
      </w:r>
    </w:p>
    <w:bookmarkStart w:id="168" w:name="structure-de-données"/>
    <w:p>
      <w:pPr>
        <w:pStyle w:val="Heading2"/>
      </w:pPr>
      <w:r>
        <w:t xml:space="preserve">16.1 Structure de données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372"/>
        <w:gridCol w:w="3907"/>
        <w:gridCol w:w="2428"/>
      </w:tblGrid>
      <w:tr>
        <w:trPr>
          <w:tblHeader w:val="true"/>
          <w:tblHeader/>
        </w:trPr>
        <w:tc>
          <w:tcPr>
            <w:shd w:val="clear" w:color="auto" w:fill="1BA996"/>
          </w:tcPr>
          <w:p>
            <w:pPr>
              <w:pStyle w:val="Compact"/>
              <w:spacing w:after="20" w:before="20" w:line="240" w:lineRule="auto"/>
              <w:jc w:val="left"/>
            </w:pPr>
            <w:r>
              <w:rPr>
                <w:b/>
                <w:bCs/>
                <w:color w:val="FFFFFF"/>
                <w:sz w:val="17"/>
              </w:rPr>
              <w:t xml:space="preserve">Niveau</w:t>
            </w:r>
          </w:p>
        </w:tc>
        <w:tc>
          <w:tcPr>
            <w:shd w:val="clear" w:color="auto" w:fill="1BA996"/>
          </w:tcPr>
          <w:p>
            <w:pPr>
              <w:pStyle w:val="Compact"/>
              <w:spacing w:after="20" w:before="20" w:line="240" w:lineRule="auto"/>
              <w:jc w:val="left"/>
            </w:pPr>
            <w:r>
              <w:rPr>
                <w:b/>
                <w:bCs/>
                <w:color w:val="FFFFFF"/>
                <w:sz w:val="17"/>
              </w:rPr>
              <w:t xml:space="preserve">Contenu</w:t>
            </w:r>
          </w:p>
        </w:tc>
        <w:tc>
          <w:tcPr>
            <w:shd w:val="clear" w:color="auto" w:fill="1BA996"/>
          </w:tcPr>
          <w:p>
            <w:pPr>
              <w:pStyle w:val="Compact"/>
              <w:spacing w:after="20" w:before="20" w:line="240" w:lineRule="auto"/>
              <w:jc w:val="left"/>
            </w:pPr>
            <w:r>
              <w:rPr>
                <w:b/>
                <w:bCs/>
                <w:color w:val="FFFFFF"/>
                <w:sz w:val="17"/>
              </w:rPr>
              <w:t xml:space="preserve">Usage fiscal</w:t>
            </w:r>
          </w:p>
        </w:tc>
      </w:tr>
      <w:tr>
        <w:tc>
          <w:tcPr/>
          <w:p>
            <w:pPr>
              <w:pStyle w:val="Compact"/>
              <w:spacing w:after="20" w:before="20" w:line="240" w:lineRule="auto"/>
              <w:jc w:val="left"/>
            </w:pPr>
            <w:r>
              <w:rPr>
                <w:sz w:val="17"/>
              </w:rPr>
              <w:t xml:space="preserve">Parcelle</w:t>
            </w:r>
          </w:p>
        </w:tc>
        <w:tc>
          <w:tcPr/>
          <w:p>
            <w:pPr>
              <w:pStyle w:val="Compact"/>
              <w:spacing w:after="20" w:before="20" w:line="240" w:lineRule="auto"/>
              <w:jc w:val="left"/>
            </w:pPr>
            <w:r>
              <w:rPr>
                <w:sz w:val="17"/>
              </w:rPr>
              <w:t xml:space="preserve">Référence, superficie, rang de</w:t>
            </w:r>
            <w:r>
              <w:rPr>
                <w:sz w:val="17"/>
              </w:rPr>
              <w:t xml:space="preserve"> </w:t>
            </w:r>
            <w:r>
              <w:rPr>
                <w:sz w:val="17"/>
              </w:rPr>
              <w:t xml:space="preserve">localité, statut bâti ou non bâti</w:t>
            </w:r>
          </w:p>
        </w:tc>
        <w:tc>
          <w:tcPr/>
          <w:p>
            <w:pPr>
              <w:pStyle w:val="Compact"/>
              <w:spacing w:after="20" w:before="20" w:line="240" w:lineRule="auto"/>
              <w:jc w:val="left"/>
            </w:pPr>
            <w:r>
              <w:rPr>
                <w:sz w:val="17"/>
              </w:rPr>
              <w:t xml:space="preserve">Impôt foncier</w:t>
            </w:r>
          </w:p>
        </w:tc>
      </w:tr>
      <w:tr>
        <w:tc>
          <w:tcPr>
            <w:shd w:val="clear" w:color="auto" w:fill="F2F9F8"/>
          </w:tcPr>
          <w:p>
            <w:pPr>
              <w:pStyle w:val="Compact"/>
              <w:spacing w:after="20" w:before="20" w:line="240" w:lineRule="auto"/>
              <w:jc w:val="left"/>
            </w:pPr>
            <w:r>
              <w:rPr>
                <w:sz w:val="17"/>
              </w:rPr>
              <w:t xml:space="preserve">Bâtiment</w:t>
            </w:r>
          </w:p>
        </w:tc>
        <w:tc>
          <w:tcPr>
            <w:shd w:val="clear" w:color="auto" w:fill="F2F9F8"/>
          </w:tcPr>
          <w:p>
            <w:pPr>
              <w:pStyle w:val="Compact"/>
              <w:spacing w:after="20" w:before="20" w:line="240" w:lineRule="auto"/>
              <w:jc w:val="left"/>
            </w:pPr>
            <w:r>
              <w:rPr>
                <w:sz w:val="17"/>
              </w:rPr>
              <w:t xml:space="preserve">Nombre d'étages, usage, année,</w:t>
            </w:r>
            <w:r>
              <w:rPr>
                <w:sz w:val="17"/>
              </w:rPr>
              <w:t xml:space="preserve"> </w:t>
            </w:r>
            <w:r>
              <w:rPr>
                <w:sz w:val="17"/>
              </w:rPr>
              <w:t xml:space="preserve">surface</w:t>
            </w:r>
          </w:p>
        </w:tc>
        <w:tc>
          <w:tcPr>
            <w:shd w:val="clear" w:color="auto" w:fill="F2F9F8"/>
          </w:tcPr>
          <w:p>
            <w:pPr>
              <w:pStyle w:val="Compact"/>
              <w:spacing w:after="20" w:before="20" w:line="240" w:lineRule="auto"/>
              <w:jc w:val="left"/>
            </w:pPr>
            <w:r>
              <w:rPr>
                <w:sz w:val="17"/>
              </w:rPr>
              <w:t xml:space="preserve">Impôt foncier,</w:t>
            </w:r>
            <w:r>
              <w:rPr>
                <w:sz w:val="17"/>
              </w:rPr>
              <w:t xml:space="preserve"> </w:t>
            </w:r>
            <w:r>
              <w:rPr>
                <w:sz w:val="17"/>
              </w:rPr>
              <w:t xml:space="preserve">requalification</w:t>
            </w:r>
          </w:p>
        </w:tc>
      </w:tr>
      <w:tr>
        <w:tc>
          <w:tcPr/>
          <w:p>
            <w:pPr>
              <w:pStyle w:val="Compact"/>
              <w:spacing w:after="20" w:before="20" w:line="240" w:lineRule="auto"/>
              <w:jc w:val="left"/>
            </w:pPr>
            <w:r>
              <w:rPr>
                <w:sz w:val="17"/>
              </w:rPr>
              <w:t xml:space="preserve">Unité</w:t>
            </w:r>
          </w:p>
        </w:tc>
        <w:tc>
          <w:tcPr/>
          <w:p>
            <w:pPr>
              <w:pStyle w:val="Compact"/>
              <w:spacing w:after="20" w:before="20" w:line="240" w:lineRule="auto"/>
              <w:jc w:val="left"/>
            </w:pPr>
            <w:r>
              <w:rPr>
                <w:sz w:val="17"/>
              </w:rPr>
              <w:t xml:space="preserve">Appartement, chambre, local</w:t>
            </w:r>
            <w:r>
              <w:rPr>
                <w:sz w:val="17"/>
              </w:rPr>
              <w:t xml:space="preserve"> </w:t>
            </w:r>
            <w:r>
              <w:rPr>
                <w:sz w:val="17"/>
              </w:rPr>
              <w:t xml:space="preserve">commercial, annexe</w:t>
            </w:r>
          </w:p>
        </w:tc>
        <w:tc>
          <w:tcPr/>
          <w:p>
            <w:pPr>
              <w:pStyle w:val="Compact"/>
              <w:spacing w:after="20" w:before="20" w:line="240" w:lineRule="auto"/>
              <w:jc w:val="left"/>
            </w:pPr>
            <w:r>
              <w:rPr>
                <w:sz w:val="17"/>
              </w:rPr>
              <w:t xml:space="preserve">Impôt sur les revenus</w:t>
            </w:r>
            <w:r>
              <w:rPr>
                <w:sz w:val="17"/>
              </w:rPr>
              <w:t xml:space="preserve"> </w:t>
            </w:r>
            <w:r>
              <w:rPr>
                <w:sz w:val="17"/>
              </w:rPr>
              <w:t xml:space="preserve">locatifs</w:t>
            </w:r>
          </w:p>
        </w:tc>
      </w:tr>
      <w:tr>
        <w:tc>
          <w:tcPr>
            <w:shd w:val="clear" w:color="auto" w:fill="F2F9F8"/>
          </w:tcPr>
          <w:p>
            <w:pPr>
              <w:pStyle w:val="Compact"/>
              <w:spacing w:after="20" w:before="20" w:line="240" w:lineRule="auto"/>
              <w:jc w:val="left"/>
            </w:pPr>
            <w:r>
              <w:rPr>
                <w:sz w:val="17"/>
              </w:rPr>
              <w:t xml:space="preserve">Bail</w:t>
            </w:r>
          </w:p>
        </w:tc>
        <w:tc>
          <w:tcPr>
            <w:shd w:val="clear" w:color="auto" w:fill="F2F9F8"/>
          </w:tcPr>
          <w:p>
            <w:pPr>
              <w:pStyle w:val="Compact"/>
              <w:spacing w:after="20" w:before="20" w:line="240" w:lineRule="auto"/>
              <w:jc w:val="left"/>
            </w:pPr>
            <w:r>
              <w:rPr>
                <w:sz w:val="17"/>
              </w:rPr>
              <w:t xml:space="preserve">Bailleur, locataire, loyer</w:t>
            </w:r>
            <w:r>
              <w:rPr>
                <w:sz w:val="17"/>
              </w:rPr>
              <w:t xml:space="preserve"> </w:t>
            </w:r>
            <w:r>
              <w:rPr>
                <w:sz w:val="17"/>
              </w:rPr>
              <w:t xml:space="preserve">périodique, devise, début, fin,</w:t>
            </w:r>
            <w:r>
              <w:rPr>
                <w:sz w:val="17"/>
              </w:rPr>
              <w:t xml:space="preserve"> </w:t>
            </w:r>
            <w:r>
              <w:rPr>
                <w:sz w:val="17"/>
              </w:rPr>
              <w:t xml:space="preserve">preuve</w:t>
            </w:r>
          </w:p>
        </w:tc>
        <w:tc>
          <w:tcPr>
            <w:shd w:val="clear" w:color="auto" w:fill="F2F9F8"/>
          </w:tcPr>
          <w:p>
            <w:pPr>
              <w:pStyle w:val="Compact"/>
              <w:spacing w:after="20" w:before="20" w:line="240" w:lineRule="auto"/>
              <w:jc w:val="left"/>
            </w:pPr>
            <w:r>
              <w:rPr>
                <w:sz w:val="17"/>
              </w:rPr>
              <w:t xml:space="preserve">Base de l'IRL et de</w:t>
            </w:r>
            <w:r>
              <w:rPr>
                <w:sz w:val="17"/>
              </w:rPr>
              <w:t xml:space="preserve"> </w:t>
            </w:r>
            <w:r>
              <w:rPr>
                <w:sz w:val="17"/>
              </w:rPr>
              <w:t xml:space="preserve">la retenue</w:t>
            </w:r>
          </w:p>
        </w:tc>
      </w:tr>
      <w:tr>
        <w:tc>
          <w:tcPr/>
          <w:p>
            <w:pPr>
              <w:pStyle w:val="Compact"/>
              <w:spacing w:after="20" w:before="20" w:line="240" w:lineRule="auto"/>
              <w:jc w:val="left"/>
            </w:pPr>
            <w:r>
              <w:rPr>
                <w:sz w:val="17"/>
              </w:rPr>
              <w:t xml:space="preserve">Occupation</w:t>
            </w:r>
          </w:p>
        </w:tc>
        <w:tc>
          <w:tcPr/>
          <w:p>
            <w:pPr>
              <w:pStyle w:val="Compact"/>
              <w:spacing w:after="20" w:before="20" w:line="240" w:lineRule="auto"/>
              <w:jc w:val="left"/>
            </w:pPr>
            <w:r>
              <w:rPr>
                <w:sz w:val="17"/>
              </w:rPr>
              <w:t xml:space="preserve">Occupant, statut, date de constat</w:t>
            </w:r>
          </w:p>
        </w:tc>
        <w:tc>
          <w:tcPr/>
          <w:p>
            <w:pPr>
              <w:pStyle w:val="Compact"/>
              <w:spacing w:after="20" w:before="20" w:line="240" w:lineRule="auto"/>
              <w:jc w:val="left"/>
            </w:pPr>
            <w:r>
              <w:rPr>
                <w:sz w:val="17"/>
              </w:rPr>
              <w:t xml:space="preserve">Contrôle et</w:t>
            </w:r>
            <w:r>
              <w:rPr>
                <w:sz w:val="17"/>
              </w:rPr>
              <w:t xml:space="preserve"> </w:t>
            </w:r>
            <w:r>
              <w:rPr>
                <w:sz w:val="17"/>
              </w:rPr>
              <w:t xml:space="preserve">qualification</w:t>
            </w:r>
          </w:p>
        </w:tc>
      </w:tr>
      <w:tr>
        <w:tc>
          <w:tcPr>
            <w:shd w:val="clear" w:color="auto" w:fill="F2F9F8"/>
          </w:tcPr>
          <w:p>
            <w:pPr>
              <w:pStyle w:val="Compact"/>
              <w:spacing w:after="20" w:before="20" w:line="240" w:lineRule="auto"/>
              <w:jc w:val="left"/>
            </w:pPr>
            <w:r>
              <w:rPr>
                <w:sz w:val="17"/>
              </w:rPr>
              <w:t xml:space="preserve">Statut</w:t>
            </w:r>
          </w:p>
        </w:tc>
        <w:tc>
          <w:tcPr>
            <w:shd w:val="clear" w:color="auto" w:fill="F2F9F8"/>
          </w:tcPr>
          <w:p>
            <w:pPr>
              <w:pStyle w:val="Compact"/>
              <w:spacing w:after="20" w:before="20" w:line="240" w:lineRule="auto"/>
              <w:jc w:val="left"/>
            </w:pPr>
            <w:r>
              <w:rPr>
                <w:sz w:val="17"/>
              </w:rPr>
              <w:t xml:space="preserve">Déclaré, constaté, vérifié, contesté</w:t>
            </w:r>
          </w:p>
        </w:tc>
        <w:tc>
          <w:tcPr>
            <w:shd w:val="clear" w:color="auto" w:fill="F2F9F8"/>
          </w:tcPr>
          <w:p>
            <w:pPr>
              <w:pStyle w:val="Compact"/>
              <w:spacing w:after="20" w:before="20" w:line="240" w:lineRule="auto"/>
              <w:jc w:val="left"/>
            </w:pPr>
            <w:r>
              <w:rPr>
                <w:sz w:val="17"/>
              </w:rPr>
              <w:t xml:space="preserve">Traçabilité de la</w:t>
            </w:r>
            <w:r>
              <w:rPr>
                <w:sz w:val="17"/>
              </w:rPr>
              <w:t xml:space="preserve"> </w:t>
            </w:r>
            <w:r>
              <w:rPr>
                <w:sz w:val="17"/>
              </w:rPr>
              <w:t xml:space="preserve">valeur probante</w:t>
            </w:r>
          </w:p>
        </w:tc>
      </w:tr>
    </w:tbl>
    <w:bookmarkStart w:id="167" w:name="X578189ecabac5996ad7086993fa45fdb53c6cfc"/>
    <w:p>
      <w:pPr>
        <w:pStyle w:val="Heading3"/>
      </w:pPr>
      <w:r>
        <w:t xml:space="preserve">Valeur probante et chaîne de responsabilité</w:t>
      </w:r>
    </w:p>
    <w:p>
      <w:pPr>
        <w:pStyle w:val="FirstParagraph"/>
      </w:pPr>
      <w:r>
        <w:t xml:space="preserve">Les statuts de valeur probante sont : déclaré, observé (constaté sur le terrain), vérifié, contesté. La même distinction s’applique à la propriété : propriété déclarée, observée, vérifiée ou contestée. La chaîne de responsabilité est fixe : l’IA détecte les incohérences et les signaux de location ; un agent humain vérifie ; le moteur légal ne calcule qu’après établissement des faits. Un signal d’IA crée un dossier de vérification, jamais directement une dette.</w:t>
      </w:r>
    </w:p>
    <w:bookmarkEnd w:id="167"/>
    <w:bookmarkEnd w:id="168"/>
    <w:bookmarkStart w:id="169" w:name="taux-et-retenue"/>
    <w:p>
      <w:pPr>
        <w:pStyle w:val="Heading2"/>
      </w:pPr>
      <w:r>
        <w:t xml:space="preserve">16.2 Taux et retenue</w:t>
      </w:r>
    </w:p>
    <w:p>
      <w:pPr>
        <w:pStyle w:val="FirstParagraph"/>
      </w:pPr>
      <w:r>
        <w:t xml:space="preserve">Le référentiel distingue clairement le taux de l'impôt et la retenue</w:t>
      </w:r>
      <w:r>
        <w:t xml:space="preserve"> </w:t>
      </w:r>
      <w:r>
        <w:t xml:space="preserve">opérée par le locataire, qui diffèrent et varient selon le rang de la</w:t>
      </w:r>
      <w:r>
        <w:t xml:space="preserve"> </w:t>
      </w:r>
      <w:r>
        <w:t xml:space="preserve">localité. Les valeurs publiées en 2026 pour Kinshasa situent le taux de</w:t>
      </w:r>
      <w:r>
        <w:t xml:space="preserve"> </w:t>
      </w:r>
      <w:r>
        <w:t xml:space="preserve">l'impôt à 22 % des revenus locatifs effectivement encaissés, la retenue</w:t>
      </w:r>
      <w:r>
        <w:t xml:space="preserve"> </w:t>
      </w:r>
      <w:r>
        <w:t xml:space="preserve">sur le loyer étant de 20 % pour les localités de premier rang et de 15 %</w:t>
      </w:r>
      <w:r>
        <w:t xml:space="preserve"> </w:t>
      </w:r>
      <w:r>
        <w:t xml:space="preserve">pour les deuxième, troisième et quatrième rangs. Ces valeurs sont</w:t>
      </w:r>
      <w:r>
        <w:t xml:space="preserve"> </w:t>
      </w:r>
      <w:r>
        <w:t xml:space="preserve">paramétrées avec leur arrêté de référence et doivent être revalidées à</w:t>
      </w:r>
      <w:r>
        <w:t xml:space="preserve"> </w:t>
      </w:r>
      <w:r>
        <w:t xml:space="preserve">chaque édit budgétaire.</w:t>
      </w:r>
    </w:p>
    <w:p>
      <w:pPr>
        <w:pStyle w:val="BlockText"/>
      </w:pPr>
      <w:r>
        <w:rPr>
          <w:b/>
          <w:bCs/>
        </w:rPr>
        <w:t xml:space="preserve">Ne pas confondre.</w:t>
      </w:r>
      <w:r>
        <w:t xml:space="preserve"> </w:t>
      </w:r>
      <w:r>
        <w:t xml:space="preserve">La commande initiale évoquait « 20 % du loyer</w:t>
      </w:r>
      <w:r>
        <w:t xml:space="preserve"> </w:t>
      </w:r>
      <w:r>
        <w:t xml:space="preserve">perçu ». Ce chiffre correspond à la retenue de premier rang, non au</w:t>
      </w:r>
      <w:r>
        <w:t xml:space="preserve"> </w:t>
      </w:r>
      <w:r>
        <w:t xml:space="preserve">taux de l'impôt. Le paramétrage doit porter les deux valeurs et leur</w:t>
      </w:r>
      <w:r>
        <w:t xml:space="preserve"> </w:t>
      </w:r>
      <w:r>
        <w:t xml:space="preserve">champ d'application, faute de quoi la liquidation sera contestée.</w:t>
      </w:r>
    </w:p>
    <w:bookmarkEnd w:id="169"/>
    <w:bookmarkStart w:id="170" w:name="Xd34e3ca49cb9157a18ccd9ed2e57ce254aa5e7b"/>
    <w:p>
      <w:pPr>
        <w:pStyle w:val="Heading2"/>
      </w:pPr>
      <w:r>
        <w:t xml:space="preserve">16.3 Élargissement d'assiette prévu par l'édit budgétaire 2026</w:t>
      </w:r>
    </w:p>
    <w:p>
      <w:pPr>
        <w:numPr>
          <w:ilvl w:val="0"/>
          <w:numId w:val="1048"/>
        </w:numPr>
      </w:pPr>
      <w:r>
        <w:t xml:space="preserve">Baux emphytéotiques conclus entre entreprises et églises,</w:t>
      </w:r>
      <w:r>
        <w:t xml:space="preserve"> </w:t>
      </w:r>
      <w:r>
        <w:t xml:space="preserve">associations sans but lucratif ou organisations non gouvernementales</w:t>
      </w:r>
      <w:r>
        <w:t xml:space="preserve"> </w:t>
      </w:r>
      <w:r>
        <w:t xml:space="preserve">pour la construction d'immeubles destinés à la location.</w:t>
      </w:r>
    </w:p>
    <w:p>
      <w:pPr>
        <w:numPr>
          <w:ilvl w:val="0"/>
          <w:numId w:val="1048"/>
        </w:numPr>
      </w:pPr>
      <w:r>
        <w:t xml:space="preserve">Loyers perçus par les sociétés immobilières.</w:t>
      </w:r>
    </w:p>
    <w:p>
      <w:pPr>
        <w:numPr>
          <w:ilvl w:val="0"/>
          <w:numId w:val="1048"/>
        </w:numPr>
      </w:pPr>
      <w:r>
        <w:t xml:space="preserve">Indemnités de logement versées aux travailleurs occupant leur propre</w:t>
      </w:r>
      <w:r>
        <w:t xml:space="preserve"> </w:t>
      </w:r>
      <w:r>
        <w:t xml:space="preserve">maison, celle de leur conjoint, ou bénéficiant d'un logement</w:t>
      </w:r>
      <w:r>
        <w:t xml:space="preserve"> </w:t>
      </w:r>
      <w:r>
        <w:t xml:space="preserve">gratuit.</w:t>
      </w:r>
    </w:p>
    <w:p>
      <w:pPr>
        <w:numPr>
          <w:ilvl w:val="0"/>
          <w:numId w:val="1048"/>
        </w:numPr>
      </w:pPr>
      <w:r>
        <w:t xml:space="preserve">Chacun de ces cas appelle un formulaire déclaratif propre, un</w:t>
      </w:r>
      <w:r>
        <w:t xml:space="preserve"> </w:t>
      </w:r>
      <w:r>
        <w:t xml:space="preserve">contrôle de cohérence et une voie de recours identifiée, notamment</w:t>
      </w:r>
      <w:r>
        <w:t xml:space="preserve"> </w:t>
      </w:r>
      <w:r>
        <w:t xml:space="preserve">au regard des résolutions du Conseil national du travail invoquées</w:t>
      </w:r>
      <w:r>
        <w:t xml:space="preserve"> </w:t>
      </w:r>
      <w:r>
        <w:t xml:space="preserve">par les entreprises.</w:t>
      </w:r>
    </w:p>
    <w:bookmarkEnd w:id="170"/>
    <w:bookmarkStart w:id="171" w:name="moteur-de-détection-danomalies-locatives"/>
    <w:p>
      <w:pPr>
        <w:pStyle w:val="Heading2"/>
      </w:pPr>
      <w:r>
        <w:t xml:space="preserve">16.4 Moteur de détection d'anomalies locatives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323"/>
        <w:gridCol w:w="2640"/>
        <w:gridCol w:w="2745"/>
      </w:tblGrid>
      <w:tr>
        <w:trPr>
          <w:tblHeader w:val="true"/>
          <w:tblHeader/>
        </w:trPr>
        <w:tc>
          <w:tcPr>
            <w:shd w:val="clear" w:color="auto" w:fill="1BA996"/>
          </w:tcPr>
          <w:p>
            <w:pPr>
              <w:pStyle w:val="Compact"/>
              <w:spacing w:after="20" w:before="20" w:line="240" w:lineRule="auto"/>
              <w:jc w:val="left"/>
            </w:pPr>
            <w:r>
              <w:rPr>
                <w:b/>
                <w:bCs/>
                <w:color w:val="FFFFFF"/>
                <w:sz w:val="17"/>
              </w:rPr>
              <w:t xml:space="preserve">Signal</w:t>
            </w:r>
          </w:p>
        </w:tc>
        <w:tc>
          <w:tcPr>
            <w:shd w:val="clear" w:color="auto" w:fill="1BA996"/>
          </w:tcPr>
          <w:p>
            <w:pPr>
              <w:pStyle w:val="Compact"/>
              <w:spacing w:after="20" w:before="20" w:line="240" w:lineRule="auto"/>
              <w:jc w:val="left"/>
            </w:pPr>
            <w:r>
              <w:rPr>
                <w:b/>
                <w:bCs/>
                <w:color w:val="FFFFFF"/>
                <w:sz w:val="17"/>
              </w:rPr>
              <w:t xml:space="preserve">Règle de</w:t>
            </w:r>
            <w:r>
              <w:rPr>
                <w:b/>
                <w:bCs/>
                <w:color w:val="FFFFFF"/>
                <w:sz w:val="17"/>
              </w:rPr>
              <w:t xml:space="preserve"> </w:t>
            </w:r>
            <w:r>
              <w:rPr>
                <w:b/>
                <w:bCs/>
                <w:color w:val="FFFFFF"/>
                <w:sz w:val="17"/>
              </w:rPr>
              <w:t xml:space="preserve">rapprochement</w:t>
            </w:r>
          </w:p>
        </w:tc>
        <w:tc>
          <w:tcPr>
            <w:shd w:val="clear" w:color="auto" w:fill="1BA996"/>
          </w:tcPr>
          <w:p>
            <w:pPr>
              <w:pStyle w:val="Compact"/>
              <w:spacing w:after="20" w:before="20" w:line="240" w:lineRule="auto"/>
              <w:jc w:val="left"/>
            </w:pPr>
            <w:r>
              <w:rPr>
                <w:b/>
                <w:bCs/>
                <w:color w:val="FFFFFF"/>
                <w:sz w:val="17"/>
              </w:rPr>
              <w:t xml:space="preserve">Sortie</w:t>
            </w:r>
          </w:p>
        </w:tc>
      </w:tr>
      <w:tr>
        <w:tc>
          <w:tcPr/>
          <w:p>
            <w:pPr>
              <w:pStyle w:val="Compact"/>
              <w:spacing w:after="20" w:before="20" w:line="240" w:lineRule="auto"/>
              <w:jc w:val="left"/>
            </w:pPr>
            <w:r>
              <w:rPr>
                <w:sz w:val="17"/>
              </w:rPr>
              <w:t xml:space="preserve">Plusieurs compteurs</w:t>
            </w:r>
            <w:r>
              <w:rPr>
                <w:sz w:val="17"/>
              </w:rPr>
              <w:t xml:space="preserve"> </w:t>
            </w:r>
            <w:r>
              <w:rPr>
                <w:sz w:val="17"/>
              </w:rPr>
              <w:t xml:space="preserve">d'électricité ou</w:t>
            </w:r>
            <w:r>
              <w:rPr>
                <w:sz w:val="17"/>
              </w:rPr>
              <w:t xml:space="preserve"> </w:t>
            </w:r>
            <w:r>
              <w:rPr>
                <w:sz w:val="17"/>
              </w:rPr>
              <w:t xml:space="preserve">d'eau sur une</w:t>
            </w:r>
            <w:r>
              <w:rPr>
                <w:sz w:val="17"/>
              </w:rPr>
              <w:t xml:space="preserve"> </w:t>
            </w:r>
            <w:r>
              <w:rPr>
                <w:sz w:val="17"/>
              </w:rPr>
              <w:t xml:space="preserve">parcelle</w:t>
            </w:r>
          </w:p>
        </w:tc>
        <w:tc>
          <w:tcPr/>
          <w:p>
            <w:pPr>
              <w:pStyle w:val="Compact"/>
              <w:spacing w:after="20" w:before="20" w:line="240" w:lineRule="auto"/>
              <w:jc w:val="left"/>
            </w:pPr>
            <w:r>
              <w:rPr>
                <w:sz w:val="17"/>
              </w:rPr>
              <w:t xml:space="preserve">Aucune déclaration</w:t>
            </w:r>
            <w:r>
              <w:rPr>
                <w:sz w:val="17"/>
              </w:rPr>
              <w:t xml:space="preserve"> </w:t>
            </w:r>
            <w:r>
              <w:rPr>
                <w:sz w:val="17"/>
              </w:rPr>
              <w:t xml:space="preserve">locative associée</w:t>
            </w:r>
          </w:p>
        </w:tc>
        <w:tc>
          <w:tcPr/>
          <w:p>
            <w:pPr>
              <w:pStyle w:val="Compact"/>
              <w:spacing w:after="20" w:before="20" w:line="240" w:lineRule="auto"/>
              <w:jc w:val="left"/>
            </w:pPr>
            <w:r>
              <w:rPr>
                <w:sz w:val="17"/>
              </w:rPr>
              <w:t xml:space="preserve">Probable bien loué :</w:t>
            </w:r>
            <w:r>
              <w:rPr>
                <w:sz w:val="17"/>
              </w:rPr>
              <w:t xml:space="preserve"> </w:t>
            </w:r>
            <w:r>
              <w:rPr>
                <w:sz w:val="17"/>
              </w:rPr>
              <w:t xml:space="preserve">visite de vérification</w:t>
            </w:r>
          </w:p>
        </w:tc>
      </w:tr>
      <w:tr>
        <w:tc>
          <w:tcPr>
            <w:shd w:val="clear" w:color="auto" w:fill="F2F9F8"/>
          </w:tcPr>
          <w:p>
            <w:pPr>
              <w:pStyle w:val="Compact"/>
              <w:spacing w:after="20" w:before="20" w:line="240" w:lineRule="auto"/>
              <w:jc w:val="left"/>
            </w:pPr>
            <w:r>
              <w:rPr>
                <w:sz w:val="17"/>
              </w:rPr>
              <w:t xml:space="preserve">Indemnités de</w:t>
            </w:r>
            <w:r>
              <w:rPr>
                <w:sz w:val="17"/>
              </w:rPr>
              <w:t xml:space="preserve"> </w:t>
            </w:r>
            <w:r>
              <w:rPr>
                <w:sz w:val="17"/>
              </w:rPr>
              <w:t xml:space="preserve">logement en paie</w:t>
            </w:r>
            <w:r>
              <w:rPr>
                <w:sz w:val="17"/>
              </w:rPr>
              <w:t xml:space="preserve"> </w:t>
            </w:r>
            <w:r>
              <w:rPr>
                <w:sz w:val="17"/>
              </w:rPr>
              <w:t xml:space="preserve">d'entreprise</w:t>
            </w:r>
          </w:p>
        </w:tc>
        <w:tc>
          <w:tcPr>
            <w:shd w:val="clear" w:color="auto" w:fill="F2F9F8"/>
          </w:tcPr>
          <w:p>
            <w:pPr>
              <w:pStyle w:val="Compact"/>
              <w:spacing w:after="20" w:before="20" w:line="240" w:lineRule="auto"/>
              <w:jc w:val="left"/>
            </w:pPr>
            <w:r>
              <w:rPr>
                <w:sz w:val="17"/>
              </w:rPr>
              <w:t xml:space="preserve">Aucune retenue IRL</w:t>
            </w:r>
            <w:r>
              <w:rPr>
                <w:sz w:val="17"/>
              </w:rPr>
              <w:t xml:space="preserve"> </w:t>
            </w:r>
            <w:r>
              <w:rPr>
                <w:sz w:val="17"/>
              </w:rPr>
              <w:t xml:space="preserve">correspondante</w:t>
            </w:r>
          </w:p>
        </w:tc>
        <w:tc>
          <w:tcPr>
            <w:shd w:val="clear" w:color="auto" w:fill="F2F9F8"/>
          </w:tcPr>
          <w:p>
            <w:pPr>
              <w:pStyle w:val="Compact"/>
              <w:spacing w:after="20" w:before="20" w:line="240" w:lineRule="auto"/>
              <w:jc w:val="left"/>
            </w:pPr>
            <w:r>
              <w:rPr>
                <w:sz w:val="17"/>
              </w:rPr>
              <w:t xml:space="preserve">Notification à</w:t>
            </w:r>
            <w:r>
              <w:rPr>
                <w:sz w:val="17"/>
              </w:rPr>
              <w:t xml:space="preserve"> </w:t>
            </w:r>
            <w:r>
              <w:rPr>
                <w:sz w:val="17"/>
              </w:rPr>
              <w:t xml:space="preserve">l'employeur</w:t>
            </w:r>
          </w:p>
        </w:tc>
      </w:tr>
      <w:tr>
        <w:tc>
          <w:tcPr/>
          <w:p>
            <w:pPr>
              <w:pStyle w:val="Compact"/>
              <w:spacing w:after="20" w:before="20" w:line="240" w:lineRule="auto"/>
              <w:jc w:val="left"/>
            </w:pPr>
            <w:r>
              <w:rPr>
                <w:sz w:val="17"/>
              </w:rPr>
              <w:t xml:space="preserve">Annonce ou mandat</w:t>
            </w:r>
            <w:r>
              <w:rPr>
                <w:sz w:val="17"/>
              </w:rPr>
              <w:t xml:space="preserve"> </w:t>
            </w:r>
            <w:r>
              <w:rPr>
                <w:sz w:val="17"/>
              </w:rPr>
              <w:t xml:space="preserve">d'agence immobilière</w:t>
            </w:r>
          </w:p>
        </w:tc>
        <w:tc>
          <w:tcPr/>
          <w:p>
            <w:pPr>
              <w:pStyle w:val="Compact"/>
              <w:spacing w:after="20" w:before="20" w:line="240" w:lineRule="auto"/>
              <w:jc w:val="left"/>
            </w:pPr>
            <w:r>
              <w:rPr>
                <w:sz w:val="17"/>
              </w:rPr>
              <w:t xml:space="preserve">Bien non rattaché à un</w:t>
            </w:r>
            <w:r>
              <w:rPr>
                <w:sz w:val="17"/>
              </w:rPr>
              <w:t xml:space="preserve"> </w:t>
            </w:r>
            <w:r>
              <w:rPr>
                <w:sz w:val="17"/>
              </w:rPr>
              <w:t xml:space="preserve">compte</w:t>
            </w:r>
          </w:p>
        </w:tc>
        <w:tc>
          <w:tcPr/>
          <w:p>
            <w:pPr>
              <w:pStyle w:val="Compact"/>
              <w:spacing w:after="20" w:before="20" w:line="240" w:lineRule="auto"/>
              <w:jc w:val="left"/>
            </w:pPr>
            <w:r>
              <w:rPr>
                <w:sz w:val="17"/>
              </w:rPr>
              <w:t xml:space="preserve">Enquête documentaire</w:t>
            </w:r>
          </w:p>
        </w:tc>
      </w:tr>
      <w:tr>
        <w:tc>
          <w:tcPr>
            <w:shd w:val="clear" w:color="auto" w:fill="F2F9F8"/>
          </w:tcPr>
          <w:p>
            <w:pPr>
              <w:pStyle w:val="Compact"/>
              <w:spacing w:after="20" w:before="20" w:line="240" w:lineRule="auto"/>
              <w:jc w:val="left"/>
            </w:pPr>
            <w:r>
              <w:rPr>
                <w:sz w:val="17"/>
              </w:rPr>
              <w:t xml:space="preserve">Bail d'entreprise</w:t>
            </w:r>
            <w:r>
              <w:rPr>
                <w:sz w:val="17"/>
              </w:rPr>
              <w:t xml:space="preserve"> </w:t>
            </w:r>
            <w:r>
              <w:rPr>
                <w:sz w:val="17"/>
              </w:rPr>
              <w:t xml:space="preserve">déclaré à l'impôt</w:t>
            </w:r>
            <w:r>
              <w:rPr>
                <w:sz w:val="17"/>
              </w:rPr>
              <w:t xml:space="preserve"> </w:t>
            </w:r>
            <w:r>
              <w:rPr>
                <w:sz w:val="17"/>
              </w:rPr>
              <w:t xml:space="preserve">professionnel</w:t>
            </w:r>
          </w:p>
        </w:tc>
        <w:tc>
          <w:tcPr>
            <w:shd w:val="clear" w:color="auto" w:fill="F2F9F8"/>
          </w:tcPr>
          <w:p>
            <w:pPr>
              <w:pStyle w:val="Compact"/>
              <w:spacing w:after="20" w:before="20" w:line="240" w:lineRule="auto"/>
              <w:jc w:val="left"/>
            </w:pPr>
            <w:r>
              <w:rPr>
                <w:sz w:val="17"/>
              </w:rPr>
              <w:t xml:space="preserve">Bailleur inconnu du</w:t>
            </w:r>
            <w:r>
              <w:rPr>
                <w:sz w:val="17"/>
              </w:rPr>
              <w:t xml:space="preserve"> </w:t>
            </w:r>
            <w:r>
              <w:rPr>
                <w:sz w:val="17"/>
              </w:rPr>
              <w:t xml:space="preserve">registre provincial</w:t>
            </w:r>
          </w:p>
        </w:tc>
        <w:tc>
          <w:tcPr>
            <w:shd w:val="clear" w:color="auto" w:fill="F2F9F8"/>
          </w:tcPr>
          <w:p>
            <w:pPr>
              <w:pStyle w:val="Compact"/>
              <w:spacing w:after="20" w:before="20" w:line="240" w:lineRule="auto"/>
              <w:jc w:val="left"/>
            </w:pPr>
            <w:r>
              <w:rPr>
                <w:sz w:val="17"/>
              </w:rPr>
              <w:t xml:space="preserve">Rapprochement</w:t>
            </w:r>
            <w:r>
              <w:rPr>
                <w:sz w:val="17"/>
              </w:rPr>
              <w:t xml:space="preserve"> </w:t>
            </w:r>
            <w:r>
              <w:rPr>
                <w:sz w:val="17"/>
              </w:rPr>
              <w:t xml:space="preserve">inter-administrations</w:t>
            </w:r>
          </w:p>
        </w:tc>
      </w:tr>
      <w:tr>
        <w:tc>
          <w:tcPr/>
          <w:p>
            <w:pPr>
              <w:pStyle w:val="Compact"/>
              <w:spacing w:after="20" w:before="20" w:line="240" w:lineRule="auto"/>
              <w:jc w:val="left"/>
            </w:pPr>
            <w:r>
              <w:rPr>
                <w:sz w:val="17"/>
              </w:rPr>
              <w:t xml:space="preserve">Parcelle déclarée non</w:t>
            </w:r>
            <w:r>
              <w:rPr>
                <w:sz w:val="17"/>
              </w:rPr>
              <w:t xml:space="preserve"> </w:t>
            </w:r>
            <w:r>
              <w:rPr>
                <w:sz w:val="17"/>
              </w:rPr>
              <w:t xml:space="preserve">bâtie</w:t>
            </w:r>
          </w:p>
        </w:tc>
        <w:tc>
          <w:tcPr/>
          <w:p>
            <w:pPr>
              <w:pStyle w:val="Compact"/>
              <w:spacing w:after="20" w:before="20" w:line="240" w:lineRule="auto"/>
              <w:jc w:val="left"/>
            </w:pPr>
            <w:r>
              <w:rPr>
                <w:sz w:val="17"/>
              </w:rPr>
              <w:t xml:space="preserve">Image ou permis montrant</w:t>
            </w:r>
            <w:r>
              <w:rPr>
                <w:sz w:val="17"/>
              </w:rPr>
              <w:t xml:space="preserve"> </w:t>
            </w:r>
            <w:r>
              <w:rPr>
                <w:sz w:val="17"/>
              </w:rPr>
              <w:t xml:space="preserve">une construction</w:t>
            </w:r>
          </w:p>
        </w:tc>
        <w:tc>
          <w:tcPr/>
          <w:p>
            <w:pPr>
              <w:pStyle w:val="Compact"/>
              <w:spacing w:after="20" w:before="20" w:line="240" w:lineRule="auto"/>
              <w:jc w:val="left"/>
            </w:pPr>
            <w:r>
              <w:rPr>
                <w:sz w:val="17"/>
              </w:rPr>
              <w:t xml:space="preserve">Requalification contrôlée</w:t>
            </w:r>
          </w:p>
        </w:tc>
      </w:tr>
      <w:tr>
        <w:tc>
          <w:tcPr>
            <w:shd w:val="clear" w:color="auto" w:fill="F2F9F8"/>
          </w:tcPr>
          <w:p>
            <w:pPr>
              <w:pStyle w:val="Compact"/>
              <w:spacing w:after="20" w:before="20" w:line="240" w:lineRule="auto"/>
              <w:jc w:val="left"/>
            </w:pPr>
            <w:r>
              <w:rPr>
                <w:sz w:val="17"/>
              </w:rPr>
              <w:t xml:space="preserve">Immeuble neuf</w:t>
            </w:r>
            <w:r>
              <w:rPr>
                <w:sz w:val="17"/>
              </w:rPr>
              <w:t xml:space="preserve"> </w:t>
            </w:r>
            <w:r>
              <w:rPr>
                <w:sz w:val="17"/>
              </w:rPr>
              <w:t xml:space="preserve">réceptionné</w:t>
            </w:r>
          </w:p>
        </w:tc>
        <w:tc>
          <w:tcPr>
            <w:shd w:val="clear" w:color="auto" w:fill="F2F9F8"/>
          </w:tcPr>
          <w:p>
            <w:pPr>
              <w:pStyle w:val="Compact"/>
              <w:spacing w:after="20" w:before="20" w:line="240" w:lineRule="auto"/>
              <w:jc w:val="left"/>
            </w:pPr>
            <w:r>
              <w:rPr>
                <w:sz w:val="17"/>
              </w:rPr>
              <w:t xml:space="preserve">Aucune unité locative</w:t>
            </w:r>
            <w:r>
              <w:rPr>
                <w:sz w:val="17"/>
              </w:rPr>
              <w:t xml:space="preserve"> </w:t>
            </w:r>
            <w:r>
              <w:rPr>
                <w:sz w:val="17"/>
              </w:rPr>
              <w:t xml:space="preserve">déclarée après douze</w:t>
            </w:r>
            <w:r>
              <w:rPr>
                <w:sz w:val="17"/>
              </w:rPr>
              <w:t xml:space="preserve"> </w:t>
            </w:r>
            <w:r>
              <w:rPr>
                <w:sz w:val="17"/>
              </w:rPr>
              <w:t xml:space="preserve">mois</w:t>
            </w:r>
          </w:p>
        </w:tc>
        <w:tc>
          <w:tcPr>
            <w:shd w:val="clear" w:color="auto" w:fill="F2F9F8"/>
          </w:tcPr>
          <w:p>
            <w:pPr>
              <w:pStyle w:val="Compact"/>
              <w:spacing w:after="20" w:before="20" w:line="240" w:lineRule="auto"/>
              <w:jc w:val="left"/>
            </w:pPr>
            <w:r>
              <w:rPr>
                <w:sz w:val="17"/>
              </w:rPr>
              <w:t xml:space="preserve">Visite de recensement</w:t>
            </w:r>
          </w:p>
        </w:tc>
      </w:tr>
    </w:tbl>
    <w:bookmarkEnd w:id="171"/>
    <w:bookmarkStart w:id="173" w:name="carte-et-visibilité"/>
    <w:p>
      <w:pPr>
        <w:pStyle w:val="Heading2"/>
      </w:pPr>
      <w:r>
        <w:t xml:space="preserve">16.5 Carte et visibilité</w:t>
      </w:r>
    </w:p>
    <w:p>
      <w:pPr>
        <w:pStyle w:val="FirstParagraph"/>
      </w:pPr>
      <w:r>
        <w:t xml:space="preserve">La carte interne affiche des états : vert pour une obligation</w:t>
      </w:r>
      <w:r>
        <w:t xml:space="preserve"> </w:t>
      </w:r>
      <w:r>
        <w:t xml:space="preserve">régularisée, orange pour un paiement partiel ou une échéance proche,</w:t>
      </w:r>
      <w:r>
        <w:t xml:space="preserve"> </w:t>
      </w:r>
      <w:r>
        <w:t xml:space="preserve">rouge pour un impayé constaté après vérification, gris pour un objet non</w:t>
      </w:r>
      <w:r>
        <w:t xml:space="preserve"> </w:t>
      </w:r>
      <w:r>
        <w:t xml:space="preserve">enregistré ou insuffisamment documenté, bleu pour un objet en litige. Le</w:t>
      </w:r>
      <w:r>
        <w:t xml:space="preserve"> </w:t>
      </w:r>
      <w:r>
        <w:t xml:space="preserve">public ne voit aucune donnée fiscale individuelle. L'agent ne voit que</w:t>
      </w:r>
      <w:r>
        <w:t xml:space="preserve"> </w:t>
      </w:r>
      <w:r>
        <w:t xml:space="preserve">le minimum nécessaire à sa mission.</w:t>
      </w:r>
    </w:p>
    <w:bookmarkStart w:id="172" w:name="deux-couches-cartographiques-distinctes"/>
    <w:p>
      <w:pPr>
        <w:pStyle w:val="Heading3"/>
      </w:pPr>
      <w:r>
        <w:t xml:space="preserve">Deux couches cartographiques distinctes</w:t>
      </w:r>
    </w:p>
    <w:p>
      <w:pPr>
        <w:pStyle w:val="FirstParagraph"/>
      </w:pPr>
      <w:r>
        <w:t xml:space="preserve">Pour éviter toute confusion entre la situation fiscale d’un objet et l’avancement de sa vérification, la carte interne comporte deux couches commutables, chacune avec sa propre légende. La couche de situation fiscale est celle décrite ci-dessus. La couche opérationnelle de vérification est utilisée par les superviseurs et les équipes terrain :</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Couleur</w:t>
            </w:r>
          </w:p>
        </w:tc>
        <w:tc>
          <w:tcPr>
            <w:shd w:val="clear" w:color="auto" w:fill="1BA996"/>
          </w:tcPr>
          <w:p>
            <w:pPr>
              <w:pStyle w:val="Compact"/>
              <w:spacing w:after="20" w:before="20" w:line="240" w:lineRule="auto"/>
              <w:jc w:val="left"/>
            </w:pPr>
            <w:r>
              <w:rPr>
                <w:b/>
                <w:color w:val="FFFFFF"/>
                <w:sz w:val="17"/>
              </w:rPr>
              <w:t xml:space="preserve">Couche opérationnelle de vérification</w:t>
            </w:r>
          </w:p>
        </w:tc>
      </w:tr>
      <w:tr>
        <w:tc>
          <w:tcPr>
            <w:shd w:val="clear" w:color="auto" w:fill="2E9E4F"/>
          </w:tcPr>
          <w:p>
            <w:pPr>
              <w:pStyle w:val="Compact"/>
              <w:spacing w:after="20" w:before="20" w:line="240" w:lineRule="auto"/>
              <w:jc w:val="left"/>
            </w:pPr>
            <w:r>
              <w:rPr>
                <w:b/>
                <w:color w:val="FFFFFF"/>
                <w:sz w:val="17"/>
              </w:rPr>
              <w:t xml:space="preserve">Vert</w:t>
            </w:r>
          </w:p>
        </w:tc>
        <w:tc>
          <w:tcPr/>
          <w:p>
            <w:pPr>
              <w:pStyle w:val="Compact"/>
              <w:spacing w:after="20" w:before="20" w:line="240" w:lineRule="auto"/>
              <w:jc w:val="left"/>
            </w:pPr>
            <w:r>
              <w:rPr>
                <w:sz w:val="17"/>
              </w:rPr>
              <w:t xml:space="preserve">Objet vérifié</w:t>
            </w:r>
          </w:p>
        </w:tc>
      </w:tr>
      <w:tr>
        <w:tc>
          <w:tcPr>
            <w:shd w:val="clear" w:color="auto" w:fill="F2A900"/>
          </w:tcPr>
          <w:p>
            <w:pPr>
              <w:pStyle w:val="Compact"/>
              <w:spacing w:after="20" w:before="20" w:line="240" w:lineRule="auto"/>
              <w:jc w:val="left"/>
            </w:pPr>
            <w:r>
              <w:rPr>
                <w:b/>
                <w:color w:val="222222"/>
                <w:sz w:val="17"/>
              </w:rPr>
              <w:t xml:space="preserve">Ambre</w:t>
            </w:r>
          </w:p>
        </w:tc>
        <w:tc>
          <w:tcPr>
            <w:shd w:val="clear" w:color="auto" w:fill="F2F9F8"/>
          </w:tcPr>
          <w:p>
            <w:pPr>
              <w:pStyle w:val="Compact"/>
              <w:spacing w:after="20" w:before="20" w:line="240" w:lineRule="auto"/>
              <w:jc w:val="left"/>
            </w:pPr>
            <w:r>
              <w:rPr>
                <w:sz w:val="17"/>
              </w:rPr>
              <w:t xml:space="preserve">Objet à vérifier</w:t>
            </w:r>
          </w:p>
        </w:tc>
      </w:tr>
      <w:tr>
        <w:tc>
          <w:tcPr>
            <w:shd w:val="clear" w:color="auto" w:fill="D32F2F"/>
          </w:tcPr>
          <w:p>
            <w:pPr>
              <w:pStyle w:val="Compact"/>
              <w:spacing w:after="20" w:before="20" w:line="240" w:lineRule="auto"/>
              <w:jc w:val="left"/>
            </w:pPr>
            <w:r>
              <w:rPr>
                <w:b/>
                <w:color w:val="FFFFFF"/>
                <w:sz w:val="17"/>
              </w:rPr>
              <w:t xml:space="preserve">Rouge</w:t>
            </w:r>
          </w:p>
        </w:tc>
        <w:tc>
          <w:tcPr/>
          <w:p>
            <w:pPr>
              <w:pStyle w:val="Compact"/>
              <w:spacing w:after="20" w:before="20" w:line="240" w:lineRule="auto"/>
              <w:jc w:val="left"/>
            </w:pPr>
            <w:r>
              <w:rPr>
                <w:sz w:val="17"/>
              </w:rPr>
              <w:t xml:space="preserve">Anomalie détectée</w:t>
            </w:r>
          </w:p>
        </w:tc>
      </w:tr>
      <w:tr>
        <w:tc>
          <w:tcPr>
            <w:shd w:val="clear" w:color="auto" w:fill="9E9E9E"/>
          </w:tcPr>
          <w:p>
            <w:pPr>
              <w:pStyle w:val="Compact"/>
              <w:spacing w:after="20" w:before="20" w:line="240" w:lineRule="auto"/>
              <w:jc w:val="left"/>
            </w:pPr>
            <w:r>
              <w:rPr>
                <w:b/>
                <w:color w:val="FFFFFF"/>
                <w:sz w:val="17"/>
              </w:rPr>
              <w:t xml:space="preserve">Gris</w:t>
            </w:r>
          </w:p>
        </w:tc>
        <w:tc>
          <w:tcPr>
            <w:shd w:val="clear" w:color="auto" w:fill="F2F9F8"/>
          </w:tcPr>
          <w:p>
            <w:pPr>
              <w:pStyle w:val="Compact"/>
              <w:spacing w:after="20" w:before="20" w:line="240" w:lineRule="auto"/>
              <w:jc w:val="left"/>
            </w:pPr>
            <w:r>
              <w:rPr>
                <w:sz w:val="17"/>
              </w:rPr>
              <w:t xml:space="preserve">Objet inconnu ou non documenté</w:t>
            </w:r>
          </w:p>
        </w:tc>
      </w:tr>
      <w:tr>
        <w:tc>
          <w:tcPr>
            <w:shd w:val="clear" w:color="auto" w:fill="1E6FD9"/>
          </w:tcPr>
          <w:p>
            <w:pPr>
              <w:pStyle w:val="Compact"/>
              <w:spacing w:after="20" w:before="20" w:line="240" w:lineRule="auto"/>
              <w:jc w:val="left"/>
            </w:pPr>
            <w:r>
              <w:rPr>
                <w:b/>
                <w:color w:val="FFFFFF"/>
                <w:sz w:val="17"/>
              </w:rPr>
              <w:t xml:space="preserve">Bleu</w:t>
            </w:r>
          </w:p>
        </w:tc>
        <w:tc>
          <w:tcPr/>
          <w:p>
            <w:pPr>
              <w:pStyle w:val="Compact"/>
              <w:spacing w:after="20" w:before="20" w:line="240" w:lineRule="auto"/>
              <w:jc w:val="left"/>
            </w:pPr>
            <w:r>
              <w:rPr>
                <w:sz w:val="17"/>
              </w:rPr>
              <w:t xml:space="preserve">Dossier en cours d’instruction</w:t>
            </w:r>
          </w:p>
        </w:tc>
      </w:tr>
    </w:tbl>
    <w:p>
      <w:pPr>
        <w:pStyle w:val="BodyText"/>
      </w:pPr>
      <w:r>
        <w:t xml:space="preserve">Les mêmes règles de confidentialité s’appliquent aux deux couches.</w:t>
      </w:r>
    </w:p>
    <w:bookmarkEnd w:id="172"/>
    <w:bookmarkEnd w:id="173"/>
    <w:bookmarkStart w:id="174" w:name="indicateurs-de-couverture-locative"/>
    <w:p>
      <w:pPr>
        <w:pStyle w:val="Heading2"/>
      </w:pPr>
      <w:r>
        <w:t xml:space="preserve">16.6 Indicateurs de couverture locative</w:t>
      </w:r>
    </w:p>
    <w:p>
      <w:pPr>
        <w:pStyle w:val="FirstParagraph"/>
      </w:pPr>
      <w:r>
        <w:t xml:space="preserve">Le module produit, par avenue, quartier et commune : nombre estimé de</w:t>
      </w:r>
      <w:r>
        <w:t xml:space="preserve"> </w:t>
      </w:r>
      <w:r>
        <w:t xml:space="preserve">parcelles et d'unités ; nombre enregistré ; parts occupées par le</w:t>
      </w:r>
      <w:r>
        <w:t xml:space="preserve"> </w:t>
      </w:r>
      <w:r>
        <w:t xml:space="preserve">propriétaire et louées ; nombre de bailleurs et de locataires identifiés</w:t>
      </w:r>
      <w:r>
        <w:t xml:space="preserve"> </w:t>
      </w:r>
      <w:r>
        <w:t xml:space="preserve">; valeur locative déclarée ; base légalement imposable ; obligations</w:t>
      </w:r>
      <w:r>
        <w:t xml:space="preserve"> </w:t>
      </w:r>
      <w:r>
        <w:t xml:space="preserve">payées et impayées ; concentration géographique de l'activité locative</w:t>
      </w:r>
      <w:r>
        <w:t xml:space="preserve"> </w:t>
      </w:r>
      <w:r>
        <w:t xml:space="preserve">; taux de couverture du recensement.</w:t>
      </w:r>
    </w:p>
    <w:bookmarkEnd w:id="174"/>
    <w:bookmarkStart w:id="175" w:name="X9ef28433eaffb41f1bcae70e9f84bb9066601ce"/>
    <w:p>
      <w:pPr>
        <w:pStyle w:val="Heading2"/>
      </w:pPr>
      <w:r>
        <w:t xml:space="preserve">16.7 Plaque fiscale immobilière intelligente (NFIU)</w:t>
      </w:r>
    </w:p>
    <w:p>
      <w:pPr>
        <w:pStyle w:val="FirstParagraph"/>
      </w:pPr>
      <w:r>
        <w:t xml:space="preserve">Chaque maison reçoit une plaque officielle normalisée, fixée visiblement, portant un</w:t>
      </w:r>
      <w:r>
        <w:t xml:space="preserve"> </w:t>
      </w:r>
      <w:r>
        <w:rPr>
          <w:b/>
          <w:bCs/>
        </w:rPr>
        <w:t xml:space="preserve">Numéro Fiscal Immobilier Unique (NFIU)</w:t>
      </w:r>
      <w:r>
        <w:t xml:space="preserve">, un QR sécurisé, la commune et le quartier, et le logo de l’autorité. La plaque est l’identité fiscale permanente du bien.</w:t>
      </w:r>
    </w:p>
    <w:p>
      <w:pPr>
        <w:pStyle w:val="Compact"/>
        <w:numPr>
          <w:ilvl w:val="0"/>
          <w:numId w:val="1049"/>
        </w:numPr>
      </w:pPr>
      <w:r>
        <w:rPr>
          <w:b/>
          <w:bCs/>
        </w:rPr>
        <w:t xml:space="preserve">Scan par un agent habilité</w:t>
      </w:r>
      <w:r>
        <w:t xml:space="preserve"> </w:t>
      </w:r>
      <w:r>
        <w:t xml:space="preserve">: propriétaire, localisation GPS, statut (occupé par le propriétaire ou mis en bail), loyer déclaré, impôt foncier et IRL dus, situation en temps réel (payé, en attente, impayé avec pénalités éventuelles), historique. Aucune négociation ni estimation manuelle possible ; l’agent ne peut pas modifier les montants dus ; rapports journaliers automatiques. Un scan public n’affiche que le statut minimal (§ 17.5).</w:t>
      </w:r>
    </w:p>
    <w:p>
      <w:pPr>
        <w:pStyle w:val="Compact"/>
        <w:numPr>
          <w:ilvl w:val="0"/>
          <w:numId w:val="1049"/>
        </w:numPr>
      </w:pPr>
      <w:r>
        <w:rPr>
          <w:b/>
          <w:bCs/>
        </w:rPr>
        <w:t xml:space="preserve">Propriétaires</w:t>
      </w:r>
      <w:r>
        <w:t xml:space="preserve"> </w:t>
      </w:r>
      <w:r>
        <w:t xml:space="preserve">: application et portail pour déclarer le statut et le loyer, consulter et payer ;</w:t>
      </w:r>
      <w:r>
        <w:t xml:space="preserve"> </w:t>
      </w:r>
      <w:r>
        <w:rPr>
          <w:b/>
          <w:bCs/>
        </w:rPr>
        <w:t xml:space="preserve">sans smartphone</w:t>
      </w:r>
      <w:r>
        <w:t xml:space="preserve">, paiement en banque ou au guichet agréé avec le NFIU, rattachement automatique et mise à jour en temps réel.</w:t>
      </w:r>
    </w:p>
    <w:p>
      <w:pPr>
        <w:pStyle w:val="Compact"/>
        <w:numPr>
          <w:ilvl w:val="0"/>
          <w:numId w:val="1049"/>
        </w:numPr>
      </w:pPr>
      <w:r>
        <w:rPr>
          <w:b/>
          <w:bCs/>
        </w:rPr>
        <w:t xml:space="preserve">Acte requis</w:t>
      </w:r>
      <w:r>
        <w:t xml:space="preserve"> </w:t>
      </w:r>
      <w:r>
        <w:t xml:space="preserve">: édit ou arrêté rendant obligatoires l’immatriculation fiscale des maisons et l’apposition de la plaque, reconnaissant le QR comme outil officiel de contrôle, et interdisant la mise en bail d’une maison non immatriculée (Annexe B, point 28).</w:t>
      </w:r>
    </w:p>
    <w:p>
      <w:pPr>
        <w:pStyle w:val="FirstParagraph"/>
      </w:pPr>
      <w:r>
        <w:rPr>
          <w:i/>
          <w:iCs/>
        </w:rPr>
        <w:t xml:space="preserve">Une maison identifiée, un paiement vérifiable, une recette sécurisée.</w:t>
      </w:r>
    </w:p>
    <w:bookmarkEnd w:id="175"/>
    <w:bookmarkStart w:id="176" w:name="revenus-locatifs-chantier-prioritaire"/>
    <w:p>
      <w:pPr>
        <w:pStyle w:val="Heading2"/>
      </w:pPr>
      <w:r>
        <w:t xml:space="preserve">16.8 Revenus locatifs : chantier prioritaire</w:t>
      </w:r>
    </w:p>
    <w:p>
      <w:pPr>
        <w:pStyle w:val="FirstParagraph"/>
      </w:pPr>
      <w:r>
        <w:t xml:space="preserve">Le revenu locatif exige un registre des</w:t>
      </w:r>
      <w:r>
        <w:t xml:space="preserve"> </w:t>
      </w:r>
      <w:r>
        <w:rPr>
          <w:b/>
          <w:bCs/>
        </w:rPr>
        <w:t xml:space="preserve">unités louables</w:t>
      </w:r>
      <w:r>
        <w:t xml:space="preserve">, pas seulement des propriétaires. Campagne volontaire initiale avec délai de régularisation clairement défini ; déclaration simplifiée du bail et du loyer avec preuve et consentements ; détection des incohérences (immeuble multi-unités déclaré vacant, baux expirés, loyers atypiques, doublons) ; visite ciblée uniquement après examen humain et autorisation de mission ; calcul paramétré selon le texte en vigueur (§ 16.2).</w:t>
      </w:r>
    </w:p>
    <w:bookmarkEnd w:id="176"/>
    <w:bookmarkEnd w:id="177"/>
    <w:bookmarkStart w:id="183" w:name="cadastre-fiscal-géospatial"/>
    <w:p>
      <w:pPr>
        <w:pStyle w:val="Heading1"/>
      </w:pPr>
      <w:r>
        <w:t xml:space="preserve">17. Cadastre fiscal géospatial</w:t>
      </w:r>
    </w:p>
    <w:p>
      <w:pPr>
        <w:pStyle w:val="FirstParagraph"/>
      </w:pPr>
      <w:r>
        <w:t xml:space="preserve">Le cadastre fiscal n'est pas un cadastre de propriété : il localise des</w:t>
      </w:r>
      <w:r>
        <w:t xml:space="preserve"> </w:t>
      </w:r>
      <w:r>
        <w:t xml:space="preserve">objets générateurs de recettes et les rattache à des identités fiscales,</w:t>
      </w:r>
      <w:r>
        <w:t xml:space="preserve"> </w:t>
      </w:r>
      <w:r>
        <w:t xml:space="preserve">sans trancher les droits réels.</w:t>
      </w:r>
    </w:p>
    <w:p>
      <w:pPr>
        <w:pStyle w:val="BodyText"/>
      </w:pPr>
      <w:r>
        <w:t xml:space="preserve">Hiérarchie de référence : commune → quartier → avenue ou rue → parcelle → bâtiment → étage → unité → activité ou objet. Le cadastre fiscal repose sur une base spatiale PostgreSQL/PostGIS, avec couches d’inspection, cartes de chaleur du potentiel et de la conformité, couverture du recensement, missions terrain et preuves géolocalisées. Chaque objet porte un identifiant géographique fiscal unique et stable.</w:t>
      </w:r>
    </w:p>
    <w:bookmarkStart w:id="178" w:name="couches"/>
    <w:p>
      <w:pPr>
        <w:pStyle w:val="Heading2"/>
      </w:pPr>
      <w:r>
        <w:t xml:space="preserve">17.1 Couches</w:t>
      </w:r>
    </w:p>
    <w:p>
      <w:pPr>
        <w:pStyle w:val="FirstParagraph"/>
      </w:pPr>
      <w:r>
        <w:t xml:space="preserve">Communes ; quartiers ; avenues et rues ; parcelles ; bâtiments ; unités</w:t>
      </w:r>
      <w:r>
        <w:t xml:space="preserve"> </w:t>
      </w:r>
      <w:r>
        <w:t xml:space="preserve">; établissements ; marchés ; zones de stationnement ; panneaux ;</w:t>
      </w:r>
      <w:r>
        <w:t xml:space="preserve"> </w:t>
      </w:r>
      <w:r>
        <w:t xml:space="preserve">antennes ; axes de transport ; ports et points d'embarquement ;</w:t>
      </w:r>
      <w:r>
        <w:t xml:space="preserve"> </w:t>
      </w:r>
      <w:r>
        <w:t xml:space="preserve">embarcations ; concessions ; infrastructures publiques ; zones</w:t>
      </w:r>
      <w:r>
        <w:t xml:space="preserve"> </w:t>
      </w:r>
      <w:r>
        <w:t xml:space="preserve">d'inspection ; cartes de chaleur des recettes ; couverture du</w:t>
      </w:r>
      <w:r>
        <w:t xml:space="preserve"> </w:t>
      </w:r>
      <w:r>
        <w:t xml:space="preserve">recensement ; niveaux de conformité ; potentiel estimé.</w:t>
      </w:r>
    </w:p>
    <w:bookmarkEnd w:id="178"/>
    <w:bookmarkStart w:id="179" w:name="identifiant-géographique-fiscal"/>
    <w:p>
      <w:pPr>
        <w:pStyle w:val="Heading2"/>
      </w:pPr>
      <w:r>
        <w:t xml:space="preserve">17.2 Identifiant géographique fiscal</w:t>
      </w:r>
    </w:p>
    <w:p>
      <w:pPr>
        <w:pStyle w:val="FirstParagraph"/>
      </w:pPr>
      <w:r>
        <w:t xml:space="preserve">Format proposé : KIN-&lt;code commune&gt;-&lt;code quartier&gt;-&lt;code</w:t>
      </w:r>
      <w:r>
        <w:t xml:space="preserve"> </w:t>
      </w:r>
      <w:r>
        <w:t xml:space="preserve">voie&gt;-&lt;numéro séquentiel&gt;, par exemple KIN-GOM-GOMBE-AV-MONT-001245.</w:t>
      </w:r>
      <w:r>
        <w:t xml:space="preserve"> </w:t>
      </w:r>
      <w:r>
        <w:t xml:space="preserve">L'identifiant est stable, non réattribuable et lié à un code QR</w:t>
      </w:r>
      <w:r>
        <w:t xml:space="preserve"> </w:t>
      </w:r>
      <w:r>
        <w:t xml:space="preserve">sécurisé. Il relie localisation, catégorie, relation au contribuable,</w:t>
      </w:r>
      <w:r>
        <w:t xml:space="preserve"> </w:t>
      </w:r>
      <w:r>
        <w:t xml:space="preserve">photographies, documents, historique d'inspection, règles applicables,</w:t>
      </w:r>
      <w:r>
        <w:t xml:space="preserve"> </w:t>
      </w:r>
      <w:r>
        <w:t xml:space="preserve">obligations, paiements, quittances, litiges et audit.</w:t>
      </w:r>
    </w:p>
    <w:bookmarkEnd w:id="179"/>
    <w:bookmarkStart w:id="180" w:name="cas-difficiles-et-procédures"/>
    <w:p>
      <w:pPr>
        <w:pStyle w:val="Heading2"/>
      </w:pPr>
      <w:r>
        <w:t xml:space="preserve">17.3 Cas difficiles et procédures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354"/>
        <w:gridCol w:w="5351"/>
      </w:tblGrid>
      <w:tr>
        <w:trPr>
          <w:tblHeader w:val="true"/>
          <w:tblHeader/>
        </w:trPr>
        <w:tc>
          <w:tcPr>
            <w:shd w:val="clear" w:color="auto" w:fill="1BA996"/>
          </w:tcPr>
          <w:p>
            <w:pPr>
              <w:pStyle w:val="Compact"/>
              <w:spacing w:after="20" w:before="20" w:line="240" w:lineRule="auto"/>
              <w:jc w:val="left"/>
            </w:pPr>
            <w:r>
              <w:rPr>
                <w:b/>
                <w:bCs/>
                <w:color w:val="FFFFFF"/>
                <w:sz w:val="17"/>
              </w:rPr>
              <w:t xml:space="preserve">Cas</w:t>
            </w:r>
          </w:p>
        </w:tc>
        <w:tc>
          <w:tcPr>
            <w:shd w:val="clear" w:color="auto" w:fill="1BA996"/>
          </w:tcPr>
          <w:p>
            <w:pPr>
              <w:pStyle w:val="Compact"/>
              <w:spacing w:after="20" w:before="20" w:line="240" w:lineRule="auto"/>
              <w:jc w:val="left"/>
            </w:pPr>
            <w:r>
              <w:rPr>
                <w:b/>
                <w:bCs/>
                <w:color w:val="FFFFFF"/>
                <w:sz w:val="17"/>
              </w:rPr>
              <w:t xml:space="preserve">Procédure</w:t>
            </w:r>
          </w:p>
        </w:tc>
      </w:tr>
      <w:tr>
        <w:tc>
          <w:tcPr/>
          <w:p>
            <w:pPr>
              <w:pStyle w:val="Compact"/>
              <w:spacing w:after="20" w:before="20" w:line="240" w:lineRule="auto"/>
              <w:jc w:val="left"/>
            </w:pPr>
            <w:r>
              <w:rPr>
                <w:sz w:val="17"/>
              </w:rPr>
              <w:t xml:space="preserve">Objet sans adresse</w:t>
            </w:r>
            <w:r>
              <w:rPr>
                <w:sz w:val="17"/>
              </w:rPr>
              <w:t xml:space="preserve"> </w:t>
            </w:r>
            <w:r>
              <w:rPr>
                <w:sz w:val="17"/>
              </w:rPr>
              <w:t xml:space="preserve">formelle</w:t>
            </w:r>
          </w:p>
        </w:tc>
        <w:tc>
          <w:tcPr/>
          <w:p>
            <w:pPr>
              <w:pStyle w:val="Compact"/>
              <w:spacing w:after="20" w:before="20" w:line="240" w:lineRule="auto"/>
              <w:jc w:val="left"/>
            </w:pPr>
            <w:r>
              <w:rPr>
                <w:sz w:val="17"/>
              </w:rPr>
              <w:t xml:space="preserve">Identifiant fondé sur le point GPS et le repère</w:t>
            </w:r>
            <w:r>
              <w:rPr>
                <w:sz w:val="17"/>
              </w:rPr>
              <w:t xml:space="preserve"> </w:t>
            </w:r>
            <w:r>
              <w:rPr>
                <w:sz w:val="17"/>
              </w:rPr>
              <w:t xml:space="preserve">de voisinage, avec photographie de façade</w:t>
            </w:r>
          </w:p>
        </w:tc>
      </w:tr>
      <w:tr>
        <w:tc>
          <w:tcPr>
            <w:shd w:val="clear" w:color="auto" w:fill="F2F9F8"/>
          </w:tcPr>
          <w:p>
            <w:pPr>
              <w:pStyle w:val="Compact"/>
              <w:spacing w:after="20" w:before="20" w:line="240" w:lineRule="auto"/>
              <w:jc w:val="left"/>
            </w:pPr>
            <w:r>
              <w:rPr>
                <w:sz w:val="17"/>
              </w:rPr>
              <w:t xml:space="preserve">Habitat informel</w:t>
            </w:r>
          </w:p>
        </w:tc>
        <w:tc>
          <w:tcPr>
            <w:shd w:val="clear" w:color="auto" w:fill="F2F9F8"/>
          </w:tcPr>
          <w:p>
            <w:pPr>
              <w:pStyle w:val="Compact"/>
              <w:spacing w:after="20" w:before="20" w:line="240" w:lineRule="auto"/>
              <w:jc w:val="left"/>
            </w:pPr>
            <w:r>
              <w:rPr>
                <w:sz w:val="17"/>
              </w:rPr>
              <w:t xml:space="preserve">Recensement par grappes, identifiant provisoire,</w:t>
            </w:r>
            <w:r>
              <w:rPr>
                <w:sz w:val="17"/>
              </w:rPr>
              <w:t xml:space="preserve"> </w:t>
            </w:r>
            <w:r>
              <w:rPr>
                <w:sz w:val="17"/>
              </w:rPr>
              <w:t xml:space="preserve">absence de conséquence fiscale avant</w:t>
            </w:r>
            <w:r>
              <w:rPr>
                <w:sz w:val="17"/>
              </w:rPr>
              <w:t xml:space="preserve"> </w:t>
            </w:r>
            <w:r>
              <w:rPr>
                <w:sz w:val="17"/>
              </w:rPr>
              <w:t xml:space="preserve">qualification juridique</w:t>
            </w:r>
          </w:p>
        </w:tc>
      </w:tr>
      <w:tr>
        <w:tc>
          <w:tcPr/>
          <w:p>
            <w:pPr>
              <w:pStyle w:val="Compact"/>
              <w:spacing w:after="20" w:before="20" w:line="240" w:lineRule="auto"/>
              <w:jc w:val="left"/>
            </w:pPr>
            <w:r>
              <w:rPr>
                <w:sz w:val="17"/>
              </w:rPr>
              <w:t xml:space="preserve">GPS imprécis</w:t>
            </w:r>
          </w:p>
        </w:tc>
        <w:tc>
          <w:tcPr/>
          <w:p>
            <w:pPr>
              <w:pStyle w:val="Compact"/>
              <w:spacing w:after="20" w:before="20" w:line="240" w:lineRule="auto"/>
              <w:jc w:val="left"/>
            </w:pPr>
            <w:r>
              <w:rPr>
                <w:sz w:val="17"/>
              </w:rPr>
              <w:t xml:space="preserve">Tolérance paramétrée par commune, photo</w:t>
            </w:r>
            <w:r>
              <w:rPr>
                <w:sz w:val="17"/>
              </w:rPr>
              <w:t xml:space="preserve"> </w:t>
            </w:r>
            <w:r>
              <w:rPr>
                <w:sz w:val="17"/>
              </w:rPr>
              <w:t xml:space="preserve">horodatée, validation du superviseur</w:t>
            </w:r>
          </w:p>
        </w:tc>
      </w:tr>
      <w:tr>
        <w:tc>
          <w:tcPr>
            <w:shd w:val="clear" w:color="auto" w:fill="F2F9F8"/>
          </w:tcPr>
          <w:p>
            <w:pPr>
              <w:pStyle w:val="Compact"/>
              <w:spacing w:after="20" w:before="20" w:line="240" w:lineRule="auto"/>
              <w:jc w:val="left"/>
            </w:pPr>
            <w:r>
              <w:rPr>
                <w:sz w:val="17"/>
              </w:rPr>
              <w:t xml:space="preserve">Litige de limites</w:t>
            </w:r>
          </w:p>
        </w:tc>
        <w:tc>
          <w:tcPr>
            <w:shd w:val="clear" w:color="auto" w:fill="F2F9F8"/>
          </w:tcPr>
          <w:p>
            <w:pPr>
              <w:pStyle w:val="Compact"/>
              <w:spacing w:after="20" w:before="20" w:line="240" w:lineRule="auto"/>
              <w:jc w:val="left"/>
            </w:pPr>
            <w:r>
              <w:rPr>
                <w:sz w:val="17"/>
              </w:rPr>
              <w:t xml:space="preserve">Objet marqué en litige, obligations suspendues</w:t>
            </w:r>
            <w:r>
              <w:rPr>
                <w:sz w:val="17"/>
              </w:rPr>
              <w:t xml:space="preserve"> </w:t>
            </w:r>
            <w:r>
              <w:rPr>
                <w:sz w:val="17"/>
              </w:rPr>
              <w:t xml:space="preserve">selon la règle applicable, renvoi au service</w:t>
            </w:r>
            <w:r>
              <w:rPr>
                <w:sz w:val="17"/>
              </w:rPr>
              <w:t xml:space="preserve"> </w:t>
            </w:r>
            <w:r>
              <w:rPr>
                <w:sz w:val="17"/>
              </w:rPr>
              <w:t xml:space="preserve">foncier</w:t>
            </w:r>
          </w:p>
        </w:tc>
      </w:tr>
      <w:tr>
        <w:tc>
          <w:tcPr/>
          <w:p>
            <w:pPr>
              <w:pStyle w:val="Compact"/>
              <w:spacing w:after="20" w:before="20" w:line="240" w:lineRule="auto"/>
              <w:jc w:val="left"/>
            </w:pPr>
            <w:r>
              <w:rPr>
                <w:sz w:val="17"/>
              </w:rPr>
              <w:t xml:space="preserve">Plusieurs activités à</w:t>
            </w:r>
            <w:r>
              <w:rPr>
                <w:sz w:val="17"/>
              </w:rPr>
              <w:t xml:space="preserve"> </w:t>
            </w:r>
            <w:r>
              <w:rPr>
                <w:sz w:val="17"/>
              </w:rPr>
              <w:t xml:space="preserve">une même adresse</w:t>
            </w:r>
          </w:p>
        </w:tc>
        <w:tc>
          <w:tcPr/>
          <w:p>
            <w:pPr>
              <w:pStyle w:val="Compact"/>
              <w:spacing w:after="20" w:before="20" w:line="240" w:lineRule="auto"/>
              <w:jc w:val="left"/>
            </w:pPr>
            <w:r>
              <w:rPr>
                <w:sz w:val="17"/>
              </w:rPr>
              <w:t xml:space="preserve">Un objet par activité, rattachés au même point</w:t>
            </w:r>
            <w:r>
              <w:rPr>
                <w:sz w:val="17"/>
              </w:rPr>
              <w:t xml:space="preserve"> </w:t>
            </w:r>
            <w:r>
              <w:rPr>
                <w:sz w:val="17"/>
              </w:rPr>
              <w:t xml:space="preserve">géographique</w:t>
            </w:r>
          </w:p>
        </w:tc>
      </w:tr>
      <w:tr>
        <w:tc>
          <w:tcPr>
            <w:shd w:val="clear" w:color="auto" w:fill="F2F9F8"/>
          </w:tcPr>
          <w:p>
            <w:pPr>
              <w:pStyle w:val="Compact"/>
              <w:spacing w:after="20" w:before="20" w:line="240" w:lineRule="auto"/>
              <w:jc w:val="left"/>
            </w:pPr>
            <w:r>
              <w:rPr>
                <w:sz w:val="17"/>
              </w:rPr>
              <w:t xml:space="preserve">Une entreprise sur</w:t>
            </w:r>
            <w:r>
              <w:rPr>
                <w:sz w:val="17"/>
              </w:rPr>
              <w:t xml:space="preserve"> </w:t>
            </w:r>
            <w:r>
              <w:rPr>
                <w:sz w:val="17"/>
              </w:rPr>
              <w:t xml:space="preserve">plusieurs sites</w:t>
            </w:r>
          </w:p>
        </w:tc>
        <w:tc>
          <w:tcPr>
            <w:shd w:val="clear" w:color="auto" w:fill="F2F9F8"/>
          </w:tcPr>
          <w:p>
            <w:pPr>
              <w:pStyle w:val="Compact"/>
              <w:spacing w:after="20" w:before="20" w:line="240" w:lineRule="auto"/>
              <w:jc w:val="left"/>
            </w:pPr>
            <w:r>
              <w:rPr>
                <w:sz w:val="17"/>
              </w:rPr>
              <w:t xml:space="preserve">Un compte, plusieurs établissements, obligations</w:t>
            </w:r>
            <w:r>
              <w:rPr>
                <w:sz w:val="17"/>
              </w:rPr>
              <w:t xml:space="preserve"> </w:t>
            </w:r>
            <w:r>
              <w:rPr>
                <w:sz w:val="17"/>
              </w:rPr>
              <w:t xml:space="preserve">distinctes</w:t>
            </w:r>
          </w:p>
        </w:tc>
      </w:tr>
      <w:tr>
        <w:tc>
          <w:tcPr/>
          <w:p>
            <w:pPr>
              <w:pStyle w:val="Compact"/>
              <w:spacing w:after="20" w:before="20" w:line="240" w:lineRule="auto"/>
              <w:jc w:val="left"/>
            </w:pPr>
            <w:r>
              <w:rPr>
                <w:sz w:val="17"/>
              </w:rPr>
              <w:t xml:space="preserve">Un immeuble à</w:t>
            </w:r>
            <w:r>
              <w:rPr>
                <w:sz w:val="17"/>
              </w:rPr>
              <w:t xml:space="preserve"> </w:t>
            </w:r>
            <w:r>
              <w:rPr>
                <w:sz w:val="17"/>
              </w:rPr>
              <w:t xml:space="preserve">multiples unités</w:t>
            </w:r>
          </w:p>
        </w:tc>
        <w:tc>
          <w:tcPr/>
          <w:p>
            <w:pPr>
              <w:pStyle w:val="Compact"/>
              <w:spacing w:after="20" w:before="20" w:line="240" w:lineRule="auto"/>
              <w:jc w:val="left"/>
            </w:pPr>
            <w:r>
              <w:rPr>
                <w:sz w:val="17"/>
              </w:rPr>
              <w:t xml:space="preserve">Un objet bâtiment, plusieurs objets unités, un</w:t>
            </w:r>
            <w:r>
              <w:rPr>
                <w:sz w:val="17"/>
              </w:rPr>
              <w:t xml:space="preserve"> </w:t>
            </w:r>
            <w:r>
              <w:rPr>
                <w:sz w:val="17"/>
              </w:rPr>
              <w:t xml:space="preserve">bail par unité</w:t>
            </w:r>
          </w:p>
        </w:tc>
      </w:tr>
    </w:tbl>
    <w:bookmarkEnd w:id="180"/>
    <w:bookmarkStart w:id="181" w:name="méthode-de-recensement-massif"/>
    <w:p>
      <w:pPr>
        <w:pStyle w:val="Heading2"/>
      </w:pPr>
      <w:r>
        <w:t xml:space="preserve">17.4 Méthode de recensement massif</w:t>
      </w:r>
    </w:p>
    <w:p>
      <w:pPr>
        <w:pStyle w:val="FirstParagraph"/>
      </w:pPr>
      <w:r>
        <w:t xml:space="preserve">Le recensement combine cinq sources : missions terrain, auto-déclaration, données administratives existantes, données de partenaires autorisés, observation géospatiale lorsque la loi et les licences le permettent. Chaque donnée porte une provenance, un niveau de confiance, une date de vérification et un responsable de validation.</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Vague</w:t>
            </w:r>
          </w:p>
        </w:tc>
        <w:tc>
          <w:tcPr>
            <w:shd w:val="clear" w:color="auto" w:fill="1BA996"/>
          </w:tcPr>
          <w:p>
            <w:pPr>
              <w:pStyle w:val="Compact"/>
              <w:spacing w:after="20" w:before="20" w:line="240" w:lineRule="auto"/>
              <w:jc w:val="left"/>
            </w:pPr>
            <w:r>
              <w:rPr>
                <w:b/>
                <w:color w:val="FFFFFF"/>
                <w:sz w:val="17"/>
              </w:rPr>
              <w:t xml:space="preserve">Cible</w:t>
            </w:r>
          </w:p>
        </w:tc>
        <w:tc>
          <w:tcPr>
            <w:shd w:val="clear" w:color="auto" w:fill="1BA996"/>
          </w:tcPr>
          <w:p>
            <w:pPr>
              <w:pStyle w:val="Compact"/>
              <w:spacing w:after="20" w:before="20" w:line="240" w:lineRule="auto"/>
              <w:jc w:val="left"/>
            </w:pPr>
            <w:r>
              <w:rPr>
                <w:b/>
                <w:color w:val="FFFFFF"/>
                <w:sz w:val="17"/>
              </w:rPr>
              <w:t xml:space="preserve">Sortie</w:t>
            </w:r>
          </w:p>
        </w:tc>
      </w:tr>
      <w:tr>
        <w:tc>
          <w:tcPr/>
          <w:p>
            <w:pPr>
              <w:pStyle w:val="Compact"/>
              <w:spacing w:after="20" w:before="20" w:line="240" w:lineRule="auto"/>
              <w:jc w:val="left"/>
            </w:pPr>
            <w:r>
              <w:rPr>
                <w:sz w:val="17"/>
              </w:rPr>
              <w:t xml:space="preserve">0 Préparation</w:t>
            </w:r>
          </w:p>
        </w:tc>
        <w:tc>
          <w:tcPr/>
          <w:p>
            <w:pPr>
              <w:pStyle w:val="Compact"/>
              <w:spacing w:after="20" w:before="20" w:line="240" w:lineRule="auto"/>
              <w:jc w:val="left"/>
            </w:pPr>
            <w:r>
              <w:rPr>
                <w:sz w:val="17"/>
              </w:rPr>
              <w:t xml:space="preserve">Découpage des zones et import des données existantes</w:t>
            </w:r>
          </w:p>
        </w:tc>
        <w:tc>
          <w:tcPr/>
          <w:p>
            <w:pPr>
              <w:pStyle w:val="Compact"/>
              <w:spacing w:after="20" w:before="20" w:line="240" w:lineRule="auto"/>
              <w:jc w:val="left"/>
            </w:pPr>
            <w:r>
              <w:rPr>
                <w:sz w:val="17"/>
              </w:rPr>
              <w:t xml:space="preserve">Carte de référence, doublons, zones blanches</w:t>
            </w:r>
          </w:p>
        </w:tc>
      </w:tr>
      <w:tr>
        <w:tc>
          <w:tcPr>
            <w:shd w:val="clear" w:color="auto" w:fill="F2F9F8"/>
          </w:tcPr>
          <w:p>
            <w:pPr>
              <w:pStyle w:val="Compact"/>
              <w:spacing w:after="20" w:before="20" w:line="240" w:lineRule="auto"/>
              <w:jc w:val="left"/>
            </w:pPr>
            <w:r>
              <w:rPr>
                <w:sz w:val="17"/>
              </w:rPr>
              <w:t xml:space="preserve">1 Détection</w:t>
            </w:r>
          </w:p>
        </w:tc>
        <w:tc>
          <w:tcPr>
            <w:shd w:val="clear" w:color="auto" w:fill="F2F9F8"/>
          </w:tcPr>
          <w:p>
            <w:pPr>
              <w:pStyle w:val="Compact"/>
              <w:spacing w:after="20" w:before="20" w:line="240" w:lineRule="auto"/>
              <w:jc w:val="left"/>
            </w:pPr>
            <w:r>
              <w:rPr>
                <w:sz w:val="17"/>
              </w:rPr>
              <w:t xml:space="preserve">Tout objet visible ou déclaré</w:t>
            </w:r>
          </w:p>
        </w:tc>
        <w:tc>
          <w:tcPr>
            <w:shd w:val="clear" w:color="auto" w:fill="F2F9F8"/>
          </w:tcPr>
          <w:p>
            <w:pPr>
              <w:pStyle w:val="Compact"/>
              <w:spacing w:after="20" w:before="20" w:line="240" w:lineRule="auto"/>
              <w:jc w:val="left"/>
            </w:pPr>
            <w:r>
              <w:rPr>
                <w:sz w:val="17"/>
              </w:rPr>
              <w:t xml:space="preserve">Objet provisoire avec preuve minimale</w:t>
            </w:r>
          </w:p>
        </w:tc>
      </w:tr>
      <w:tr>
        <w:tc>
          <w:tcPr/>
          <w:p>
            <w:pPr>
              <w:pStyle w:val="Compact"/>
              <w:spacing w:after="20" w:before="20" w:line="240" w:lineRule="auto"/>
              <w:jc w:val="left"/>
            </w:pPr>
            <w:r>
              <w:rPr>
                <w:sz w:val="17"/>
              </w:rPr>
              <w:t xml:space="preserve">2 Qualification</w:t>
            </w:r>
          </w:p>
        </w:tc>
        <w:tc>
          <w:tcPr/>
          <w:p>
            <w:pPr>
              <w:pStyle w:val="Compact"/>
              <w:spacing w:after="20" w:before="20" w:line="240" w:lineRule="auto"/>
              <w:jc w:val="left"/>
            </w:pPr>
            <w:r>
              <w:rPr>
                <w:sz w:val="17"/>
              </w:rPr>
              <w:t xml:space="preserve">Usage, dimensions, activité, statut</w:t>
            </w:r>
          </w:p>
        </w:tc>
        <w:tc>
          <w:tcPr/>
          <w:p>
            <w:pPr>
              <w:pStyle w:val="Compact"/>
              <w:spacing w:after="20" w:before="20" w:line="240" w:lineRule="auto"/>
              <w:jc w:val="left"/>
            </w:pPr>
            <w:r>
              <w:rPr>
                <w:sz w:val="17"/>
              </w:rPr>
              <w:t xml:space="preserve">Fiche complète et score de confiance</w:t>
            </w:r>
          </w:p>
        </w:tc>
      </w:tr>
      <w:tr>
        <w:tc>
          <w:tcPr>
            <w:shd w:val="clear" w:color="auto" w:fill="F2F9F8"/>
          </w:tcPr>
          <w:p>
            <w:pPr>
              <w:pStyle w:val="Compact"/>
              <w:spacing w:after="20" w:before="20" w:line="240" w:lineRule="auto"/>
              <w:jc w:val="left"/>
            </w:pPr>
            <w:r>
              <w:rPr>
                <w:sz w:val="17"/>
              </w:rPr>
              <w:t xml:space="preserve">3 Rattachement</w:t>
            </w:r>
          </w:p>
        </w:tc>
        <w:tc>
          <w:tcPr>
            <w:shd w:val="clear" w:color="auto" w:fill="F2F9F8"/>
          </w:tcPr>
          <w:p>
            <w:pPr>
              <w:pStyle w:val="Compact"/>
              <w:spacing w:after="20" w:before="20" w:line="240" w:lineRule="auto"/>
              <w:jc w:val="left"/>
            </w:pPr>
            <w:r>
              <w:rPr>
                <w:sz w:val="17"/>
              </w:rPr>
              <w:t xml:space="preserve">Personne ou organisation</w:t>
            </w:r>
          </w:p>
        </w:tc>
        <w:tc>
          <w:tcPr>
            <w:shd w:val="clear" w:color="auto" w:fill="F2F9F8"/>
          </w:tcPr>
          <w:p>
            <w:pPr>
              <w:pStyle w:val="Compact"/>
              <w:spacing w:after="20" w:before="20" w:line="240" w:lineRule="auto"/>
              <w:jc w:val="left"/>
            </w:pPr>
            <w:r>
              <w:rPr>
                <w:sz w:val="17"/>
              </w:rPr>
              <w:t xml:space="preserve">Relation juridique vérifiée ou à confirmer</w:t>
            </w:r>
          </w:p>
        </w:tc>
      </w:tr>
      <w:tr>
        <w:tc>
          <w:tcPr/>
          <w:p>
            <w:pPr>
              <w:pStyle w:val="Compact"/>
              <w:spacing w:after="20" w:before="20" w:line="240" w:lineRule="auto"/>
              <w:jc w:val="left"/>
            </w:pPr>
            <w:r>
              <w:rPr>
                <w:sz w:val="17"/>
              </w:rPr>
              <w:t xml:space="preserve">4 Fiscalisation</w:t>
            </w:r>
          </w:p>
        </w:tc>
        <w:tc>
          <w:tcPr/>
          <w:p>
            <w:pPr>
              <w:pStyle w:val="Compact"/>
              <w:spacing w:after="20" w:before="20" w:line="240" w:lineRule="auto"/>
              <w:jc w:val="left"/>
            </w:pPr>
            <w:r>
              <w:rPr>
                <w:sz w:val="17"/>
              </w:rPr>
              <w:t xml:space="preserve">Règles validées uniquement</w:t>
            </w:r>
          </w:p>
        </w:tc>
        <w:tc>
          <w:tcPr/>
          <w:p>
            <w:pPr>
              <w:pStyle w:val="Compact"/>
              <w:spacing w:after="20" w:before="20" w:line="240" w:lineRule="auto"/>
              <w:jc w:val="left"/>
            </w:pPr>
            <w:r>
              <w:rPr>
                <w:sz w:val="17"/>
              </w:rPr>
              <w:t xml:space="preserve">Obligations calculées et expliquées</w:t>
            </w:r>
          </w:p>
        </w:tc>
      </w:tr>
      <w:tr>
        <w:tc>
          <w:tcPr>
            <w:shd w:val="clear" w:color="auto" w:fill="F2F9F8"/>
          </w:tcPr>
          <w:p>
            <w:pPr>
              <w:pStyle w:val="Compact"/>
              <w:spacing w:after="20" w:before="20" w:line="240" w:lineRule="auto"/>
              <w:jc w:val="left"/>
            </w:pPr>
            <w:r>
              <w:rPr>
                <w:sz w:val="17"/>
              </w:rPr>
              <w:t xml:space="preserve">5 Entretien</w:t>
            </w:r>
          </w:p>
        </w:tc>
        <w:tc>
          <w:tcPr>
            <w:shd w:val="clear" w:color="auto" w:fill="F2F9F8"/>
          </w:tcPr>
          <w:p>
            <w:pPr>
              <w:pStyle w:val="Compact"/>
              <w:spacing w:after="20" w:before="20" w:line="240" w:lineRule="auto"/>
              <w:jc w:val="left"/>
            </w:pPr>
            <w:r>
              <w:rPr>
                <w:sz w:val="17"/>
              </w:rPr>
              <w:t xml:space="preserve">Ouvertures, fermetures, mutations</w:t>
            </w:r>
          </w:p>
        </w:tc>
        <w:tc>
          <w:tcPr>
            <w:shd w:val="clear" w:color="auto" w:fill="F2F9F8"/>
          </w:tcPr>
          <w:p>
            <w:pPr>
              <w:pStyle w:val="Compact"/>
              <w:spacing w:after="20" w:before="20" w:line="240" w:lineRule="auto"/>
              <w:jc w:val="left"/>
            </w:pPr>
            <w:r>
              <w:rPr>
                <w:sz w:val="17"/>
              </w:rPr>
              <w:t xml:space="preserve">Registre continuellement actualisé</w:t>
            </w:r>
          </w:p>
        </w:tc>
      </w:tr>
    </w:tbl>
    <w:bookmarkEnd w:id="181"/>
    <w:bookmarkStart w:id="182" w:name="X55d45641bd3c51488dd17541bda1fe9c8f5f533"/>
    <w:p>
      <w:pPr>
        <w:pStyle w:val="Heading2"/>
      </w:pPr>
      <w:r>
        <w:t xml:space="preserve">17.5 Identifiant géofiscal et protection des données</w:t>
      </w:r>
    </w:p>
    <w:p>
      <w:pPr>
        <w:pStyle w:val="FirstParagraph"/>
      </w:pPr>
      <w:r>
        <w:t xml:space="preserve">Pour concilier lisibilité et protection des données, l’objet porte</w:t>
      </w:r>
      <w:r>
        <w:t xml:space="preserve"> </w:t>
      </w:r>
      <w:r>
        <w:rPr>
          <w:b/>
          <w:bCs/>
        </w:rPr>
        <w:t xml:space="preserve">un identifiant interne aléatoire, stable et non réattribuable</w:t>
      </w:r>
      <w:r>
        <w:t xml:space="preserve">, et un</w:t>
      </w:r>
      <w:r>
        <w:t xml:space="preserve"> </w:t>
      </w:r>
      <w:r>
        <w:rPr>
          <w:b/>
          <w:bCs/>
        </w:rPr>
        <w:t xml:space="preserve">code territorial lisible et versionné</w:t>
      </w:r>
      <w:r>
        <w:t xml:space="preserve"> </w:t>
      </w:r>
      <w:r>
        <w:t xml:space="preserve">au format du § 17.2 (par exemple KIN-GOM-GOMBE-AV-MONT-001245), utilisé pour l’affichage, les plaques et les échanges avec le contribuable. Le code lisible ne contient aucune donnée personnelle. Le QR embarque un jeton signé ou une URL de vérification à durée contrôlée ; il n’expose jamais le nom complet, le montant dû ni l’historique à un lecteur non autorisé.</w:t>
      </w:r>
    </w:p>
    <w:bookmarkEnd w:id="182"/>
    <w:bookmarkEnd w:id="183"/>
    <w:bookmarkStart w:id="190" w:name="modèle-de-paiement-et-de-règlement"/>
    <w:p>
      <w:pPr>
        <w:pStyle w:val="Heading1"/>
      </w:pPr>
      <w:r>
        <w:t xml:space="preserve">18. Modèle de paiement et de règlement</w:t>
      </w:r>
    </w:p>
    <w:bookmarkStart w:id="184" w:name="canaux"/>
    <w:p>
      <w:pPr>
        <w:pStyle w:val="Heading2"/>
      </w:pPr>
      <w:r>
        <w:t xml:space="preserve">18.1 Canaux</w:t>
      </w:r>
    </w:p>
    <w:p>
      <w:pPr>
        <w:pStyle w:val="FirstParagraph"/>
      </w:pPr>
      <w:r>
        <w:t xml:space="preserve">Mobile Money de tous les opérateurs agréés, banques, cartes, virements,</w:t>
      </w:r>
      <w:r>
        <w:t xml:space="preserve"> </w:t>
      </w:r>
      <w:r>
        <w:t xml:space="preserve">USSD, QR et agents agréés. Le choix du canal appartient au contribuable</w:t>
      </w:r>
      <w:r>
        <w:t xml:space="preserve"> </w:t>
      </w:r>
      <w:r>
        <w:t xml:space="preserve">; aucun canal n'est exclusif.</w:t>
      </w:r>
    </w:p>
    <w:p>
      <w:pPr>
        <w:pStyle w:val="BodyText"/>
      </w:pPr>
      <w:r>
        <w:t xml:space="preserve">Les « agents agréés » désignent exclusivement des établissements et agents financiers régulés — banques, agents Mobile Money, guichets bancaires installés dans les guichets MOSOLO, terminaux de paiement opérés par des prestataires habilités — et jamais des agents de l’administration ni des sous-traitants terrain. Le parcours détaillé figure au chapitre 18A.</w:t>
      </w:r>
    </w:p>
    <w:bookmarkEnd w:id="184"/>
    <w:bookmarkStart w:id="185" w:name="cycle-de-vie-du-paiement"/>
    <w:p>
      <w:pPr>
        <w:pStyle w:val="Heading2"/>
      </w:pPr>
      <w:r>
        <w:t xml:space="preserve">18.2 Cycle de vie du paiement</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29"/>
        <w:gridCol w:w="3452"/>
        <w:gridCol w:w="2335"/>
      </w:tblGrid>
      <w:tr>
        <w:trPr>
          <w:tblHeader w:val="true"/>
          <w:tblHeader/>
        </w:trPr>
        <w:tc>
          <w:tcPr>
            <w:shd w:val="clear" w:color="auto" w:fill="1BA996"/>
          </w:tcPr>
          <w:p>
            <w:pPr>
              <w:pStyle w:val="Compact"/>
              <w:spacing w:after="20" w:before="20" w:line="240" w:lineRule="auto"/>
              <w:jc w:val="left"/>
            </w:pPr>
            <w:r>
              <w:rPr>
                <w:b/>
                <w:bCs/>
                <w:color w:val="FFFFFF"/>
                <w:sz w:val="17"/>
              </w:rPr>
              <w:t xml:space="preserve">Étape</w:t>
            </w:r>
          </w:p>
        </w:tc>
        <w:tc>
          <w:tcPr>
            <w:shd w:val="clear" w:color="auto" w:fill="1BA996"/>
          </w:tcPr>
          <w:p>
            <w:pPr>
              <w:pStyle w:val="Compact"/>
              <w:spacing w:after="20" w:before="20" w:line="240" w:lineRule="auto"/>
              <w:jc w:val="left"/>
            </w:pPr>
            <w:r>
              <w:rPr>
                <w:b/>
                <w:bCs/>
                <w:color w:val="FFFFFF"/>
                <w:sz w:val="17"/>
              </w:rPr>
              <w:t xml:space="preserve">Contrôle</w:t>
            </w:r>
          </w:p>
        </w:tc>
        <w:tc>
          <w:tcPr>
            <w:shd w:val="clear" w:color="auto" w:fill="1BA996"/>
          </w:tcPr>
          <w:p>
            <w:pPr>
              <w:pStyle w:val="Compact"/>
              <w:spacing w:after="20" w:before="20" w:line="240" w:lineRule="auto"/>
              <w:jc w:val="left"/>
            </w:pPr>
            <w:r>
              <w:rPr>
                <w:b/>
                <w:bCs/>
                <w:color w:val="FFFFFF"/>
                <w:sz w:val="17"/>
              </w:rPr>
              <w:t xml:space="preserve">Preuve produite</w:t>
            </w:r>
          </w:p>
        </w:tc>
      </w:tr>
      <w:tr>
        <w:tc>
          <w:tcPr/>
          <w:p>
            <w:pPr>
              <w:pStyle w:val="Compact"/>
              <w:spacing w:after="20" w:before="20" w:line="240" w:lineRule="auto"/>
              <w:jc w:val="left"/>
            </w:pPr>
            <w:r>
              <w:rPr>
                <w:sz w:val="17"/>
              </w:rPr>
              <w:t xml:space="preserve">Création de</w:t>
            </w:r>
            <w:r>
              <w:rPr>
                <w:sz w:val="17"/>
              </w:rPr>
              <w:t xml:space="preserve"> </w:t>
            </w:r>
            <w:r>
              <w:rPr>
                <w:sz w:val="17"/>
              </w:rPr>
              <w:t xml:space="preserve">l'obligation</w:t>
            </w:r>
          </w:p>
        </w:tc>
        <w:tc>
          <w:tcPr/>
          <w:p>
            <w:pPr>
              <w:pStyle w:val="Compact"/>
              <w:spacing w:after="20" w:before="20" w:line="240" w:lineRule="auto"/>
              <w:jc w:val="left"/>
            </w:pPr>
            <w:r>
              <w:rPr>
                <w:sz w:val="17"/>
              </w:rPr>
              <w:t xml:space="preserve">Règle validée, objet identifié,</w:t>
            </w:r>
            <w:r>
              <w:rPr>
                <w:sz w:val="17"/>
              </w:rPr>
              <w:t xml:space="preserve"> </w:t>
            </w:r>
            <w:r>
              <w:rPr>
                <w:sz w:val="17"/>
              </w:rPr>
              <w:t xml:space="preserve">période</w:t>
            </w:r>
          </w:p>
        </w:tc>
        <w:tc>
          <w:tcPr/>
          <w:p>
            <w:pPr>
              <w:pStyle w:val="Compact"/>
              <w:spacing w:after="20" w:before="20" w:line="240" w:lineRule="auto"/>
              <w:jc w:val="left"/>
            </w:pPr>
            <w:r>
              <w:rPr>
                <w:sz w:val="17"/>
              </w:rPr>
              <w:t xml:space="preserve">Avis de paiement</w:t>
            </w:r>
          </w:p>
        </w:tc>
      </w:tr>
      <w:tr>
        <w:tc>
          <w:tcPr>
            <w:shd w:val="clear" w:color="auto" w:fill="F2F9F8"/>
          </w:tcPr>
          <w:p>
            <w:pPr>
              <w:pStyle w:val="Compact"/>
              <w:spacing w:after="20" w:before="20" w:line="240" w:lineRule="auto"/>
              <w:jc w:val="left"/>
            </w:pPr>
            <w:r>
              <w:rPr>
                <w:sz w:val="17"/>
              </w:rPr>
              <w:t xml:space="preserve">Référence unique</w:t>
            </w:r>
          </w:p>
        </w:tc>
        <w:tc>
          <w:tcPr>
            <w:shd w:val="clear" w:color="auto" w:fill="F2F9F8"/>
          </w:tcPr>
          <w:p>
            <w:pPr>
              <w:pStyle w:val="Compact"/>
              <w:spacing w:after="20" w:before="20" w:line="240" w:lineRule="auto"/>
              <w:jc w:val="left"/>
            </w:pPr>
            <w:r>
              <w:rPr>
                <w:sz w:val="17"/>
              </w:rPr>
              <w:t xml:space="preserve">Idempotence, unicité, expiration</w:t>
            </w:r>
          </w:p>
        </w:tc>
        <w:tc>
          <w:tcPr>
            <w:shd w:val="clear" w:color="auto" w:fill="F2F9F8"/>
          </w:tcPr>
          <w:p>
            <w:pPr>
              <w:pStyle w:val="Compact"/>
              <w:spacing w:after="20" w:before="20" w:line="240" w:lineRule="auto"/>
              <w:jc w:val="left"/>
            </w:pPr>
            <w:r>
              <w:rPr>
                <w:sz w:val="17"/>
              </w:rPr>
              <w:t xml:space="preserve">Référence opposable</w:t>
            </w:r>
          </w:p>
        </w:tc>
      </w:tr>
      <w:tr>
        <w:tc>
          <w:tcPr/>
          <w:p>
            <w:pPr>
              <w:pStyle w:val="Compact"/>
              <w:spacing w:after="20" w:before="20" w:line="240" w:lineRule="auto"/>
              <w:jc w:val="left"/>
            </w:pPr>
            <w:r>
              <w:rPr>
                <w:sz w:val="17"/>
              </w:rPr>
              <w:t xml:space="preserve">Initiation</w:t>
            </w:r>
          </w:p>
        </w:tc>
        <w:tc>
          <w:tcPr/>
          <w:p>
            <w:pPr>
              <w:pStyle w:val="Compact"/>
              <w:spacing w:after="20" w:before="20" w:line="240" w:lineRule="auto"/>
              <w:jc w:val="left"/>
            </w:pPr>
            <w:r>
              <w:rPr>
                <w:sz w:val="17"/>
              </w:rPr>
              <w:t xml:space="preserve">Canal autorisé, montant et devise</w:t>
            </w:r>
            <w:r>
              <w:rPr>
                <w:sz w:val="17"/>
              </w:rPr>
              <w:t xml:space="preserve"> </w:t>
            </w:r>
            <w:r>
              <w:rPr>
                <w:sz w:val="17"/>
              </w:rPr>
              <w:t xml:space="preserve">conformes</w:t>
            </w:r>
          </w:p>
        </w:tc>
        <w:tc>
          <w:tcPr/>
          <w:p>
            <w:pPr>
              <w:pStyle w:val="Compact"/>
              <w:spacing w:after="20" w:before="20" w:line="240" w:lineRule="auto"/>
              <w:jc w:val="left"/>
            </w:pPr>
            <w:r>
              <w:rPr>
                <w:sz w:val="17"/>
              </w:rPr>
              <w:t xml:space="preserve">Ordre de paiement</w:t>
            </w:r>
          </w:p>
        </w:tc>
      </w:tr>
      <w:tr>
        <w:tc>
          <w:tcPr>
            <w:shd w:val="clear" w:color="auto" w:fill="F2F9F8"/>
          </w:tcPr>
          <w:p>
            <w:pPr>
              <w:pStyle w:val="Compact"/>
              <w:spacing w:after="20" w:before="20" w:line="240" w:lineRule="auto"/>
              <w:jc w:val="left"/>
            </w:pPr>
            <w:r>
              <w:rPr>
                <w:sz w:val="17"/>
              </w:rPr>
              <w:t xml:space="preserve">Confirmation du</w:t>
            </w:r>
            <w:r>
              <w:rPr>
                <w:sz w:val="17"/>
              </w:rPr>
              <w:t xml:space="preserve"> </w:t>
            </w:r>
            <w:r>
              <w:rPr>
                <w:sz w:val="17"/>
              </w:rPr>
              <w:t xml:space="preserve">prestataire</w:t>
            </w:r>
          </w:p>
        </w:tc>
        <w:tc>
          <w:tcPr>
            <w:shd w:val="clear" w:color="auto" w:fill="F2F9F8"/>
          </w:tcPr>
          <w:p>
            <w:pPr>
              <w:pStyle w:val="Compact"/>
              <w:spacing w:after="20" w:before="20" w:line="240" w:lineRule="auto"/>
              <w:jc w:val="left"/>
            </w:pPr>
            <w:r>
              <w:rPr>
                <w:sz w:val="17"/>
              </w:rPr>
              <w:t xml:space="preserve">Rappel signé, contrôle</w:t>
            </w:r>
            <w:r>
              <w:rPr>
                <w:sz w:val="17"/>
              </w:rPr>
              <w:t xml:space="preserve"> </w:t>
            </w:r>
            <w:r>
              <w:rPr>
                <w:sz w:val="17"/>
              </w:rPr>
              <w:t xml:space="preserve">anti-rejeu, vérification serveur</w:t>
            </w:r>
            <w:r>
              <w:rPr>
                <w:sz w:val="17"/>
              </w:rPr>
              <w:t xml:space="preserve"> </w:t>
            </w:r>
            <w:r>
              <w:rPr>
                <w:sz w:val="17"/>
              </w:rPr>
              <w:t xml:space="preserve">à serveur</w:t>
            </w:r>
          </w:p>
        </w:tc>
        <w:tc>
          <w:tcPr>
            <w:shd w:val="clear" w:color="auto" w:fill="F2F9F8"/>
          </w:tcPr>
          <w:p>
            <w:pPr>
              <w:pStyle w:val="Compact"/>
              <w:spacing w:after="20" w:before="20" w:line="240" w:lineRule="auto"/>
              <w:jc w:val="left"/>
            </w:pPr>
            <w:r>
              <w:rPr>
                <w:sz w:val="17"/>
              </w:rPr>
              <w:t xml:space="preserve">Événement de paiement</w:t>
            </w:r>
          </w:p>
        </w:tc>
      </w:tr>
      <w:tr>
        <w:tc>
          <w:tcPr/>
          <w:p>
            <w:pPr>
              <w:pStyle w:val="Compact"/>
              <w:spacing w:after="20" w:before="20" w:line="240" w:lineRule="auto"/>
              <w:jc w:val="left"/>
            </w:pPr>
            <w:r>
              <w:rPr>
                <w:sz w:val="17"/>
              </w:rPr>
              <w:t xml:space="preserve">Règlement en</w:t>
            </w:r>
            <w:r>
              <w:rPr>
                <w:sz w:val="17"/>
              </w:rPr>
              <w:t xml:space="preserve"> </w:t>
            </w:r>
            <w:r>
              <w:rPr>
                <w:sz w:val="17"/>
              </w:rPr>
              <w:t xml:space="preserve">compte public</w:t>
            </w:r>
          </w:p>
        </w:tc>
        <w:tc>
          <w:tcPr/>
          <w:p>
            <w:pPr>
              <w:pStyle w:val="Compact"/>
              <w:spacing w:after="20" w:before="20" w:line="240" w:lineRule="auto"/>
              <w:jc w:val="left"/>
            </w:pPr>
            <w:r>
              <w:rPr>
                <w:sz w:val="17"/>
              </w:rPr>
              <w:t xml:space="preserve">Compte désigné verrouillé, relevé</w:t>
            </w:r>
            <w:r>
              <w:rPr>
                <w:sz w:val="17"/>
              </w:rPr>
              <w:t xml:space="preserve"> </w:t>
            </w:r>
            <w:r>
              <w:rPr>
                <w:sz w:val="17"/>
              </w:rPr>
              <w:t xml:space="preserve">bancaire</w:t>
            </w:r>
          </w:p>
        </w:tc>
        <w:tc>
          <w:tcPr/>
          <w:p>
            <w:pPr>
              <w:pStyle w:val="Compact"/>
              <w:spacing w:after="20" w:before="20" w:line="240" w:lineRule="auto"/>
              <w:jc w:val="left"/>
            </w:pPr>
            <w:r>
              <w:rPr>
                <w:sz w:val="17"/>
              </w:rPr>
              <w:t xml:space="preserve">Écriture de règlement</w:t>
            </w:r>
          </w:p>
        </w:tc>
      </w:tr>
      <w:tr>
        <w:tc>
          <w:tcPr>
            <w:shd w:val="clear" w:color="auto" w:fill="F2F9F8"/>
          </w:tcPr>
          <w:p>
            <w:pPr>
              <w:pStyle w:val="Compact"/>
              <w:spacing w:after="20" w:before="20" w:line="240" w:lineRule="auto"/>
              <w:jc w:val="left"/>
            </w:pPr>
            <w:r>
              <w:rPr>
                <w:sz w:val="17"/>
              </w:rPr>
              <w:t xml:space="preserve">Rapprochement</w:t>
            </w:r>
          </w:p>
        </w:tc>
        <w:tc>
          <w:tcPr>
            <w:shd w:val="clear" w:color="auto" w:fill="F2F9F8"/>
          </w:tcPr>
          <w:p>
            <w:pPr>
              <w:pStyle w:val="Compact"/>
              <w:spacing w:after="20" w:before="20" w:line="240" w:lineRule="auto"/>
              <w:jc w:val="left"/>
            </w:pPr>
            <w:r>
              <w:rPr>
                <w:sz w:val="17"/>
              </w:rPr>
              <w:t xml:space="preserve">Appariement automatique</w:t>
            </w:r>
            <w:r>
              <w:rPr>
                <w:sz w:val="17"/>
              </w:rPr>
              <w:t xml:space="preserve"> </w:t>
            </w:r>
            <w:r>
              <w:rPr>
                <w:sz w:val="17"/>
              </w:rPr>
              <w:t xml:space="preserve">obligation–paiement–règlement</w:t>
            </w:r>
          </w:p>
        </w:tc>
        <w:tc>
          <w:tcPr>
            <w:shd w:val="clear" w:color="auto" w:fill="F2F9F8"/>
          </w:tcPr>
          <w:p>
            <w:pPr>
              <w:pStyle w:val="Compact"/>
              <w:spacing w:after="20" w:before="20" w:line="240" w:lineRule="auto"/>
              <w:jc w:val="left"/>
            </w:pPr>
            <w:r>
              <w:rPr>
                <w:sz w:val="17"/>
              </w:rPr>
              <w:t xml:space="preserve">Statut rapproché</w:t>
            </w:r>
          </w:p>
        </w:tc>
      </w:tr>
      <w:tr>
        <w:tc>
          <w:tcPr/>
          <w:p>
            <w:pPr>
              <w:pStyle w:val="Compact"/>
              <w:spacing w:after="20" w:before="20" w:line="240" w:lineRule="auto"/>
              <w:jc w:val="left"/>
            </w:pPr>
            <w:r>
              <w:rPr>
                <w:sz w:val="17"/>
              </w:rPr>
              <w:t xml:space="preserve">Quittance</w:t>
            </w:r>
          </w:p>
        </w:tc>
        <w:tc>
          <w:tcPr/>
          <w:p>
            <w:pPr>
              <w:pStyle w:val="Compact"/>
              <w:spacing w:after="20" w:before="20" w:line="240" w:lineRule="auto"/>
              <w:jc w:val="left"/>
            </w:pPr>
            <w:r>
              <w:rPr>
                <w:sz w:val="17"/>
              </w:rPr>
              <w:t xml:space="preserve">Signature électronique, QR,</w:t>
            </w:r>
            <w:r>
              <w:rPr>
                <w:sz w:val="17"/>
              </w:rPr>
              <w:t xml:space="preserve"> </w:t>
            </w:r>
            <w:r>
              <w:rPr>
                <w:sz w:val="17"/>
              </w:rPr>
              <w:t xml:space="preserve">publication du statut</w:t>
            </w:r>
          </w:p>
        </w:tc>
        <w:tc>
          <w:tcPr/>
          <w:p>
            <w:pPr>
              <w:pStyle w:val="Compact"/>
              <w:spacing w:after="20" w:before="20" w:line="240" w:lineRule="auto"/>
              <w:jc w:val="left"/>
            </w:pPr>
            <w:r>
              <w:rPr>
                <w:sz w:val="17"/>
              </w:rPr>
              <w:t xml:space="preserve">Quittance vérifiable</w:t>
            </w:r>
          </w:p>
        </w:tc>
      </w:tr>
      <w:tr>
        <w:tc>
          <w:tcPr>
            <w:shd w:val="clear" w:color="auto" w:fill="F2F9F8"/>
          </w:tcPr>
          <w:p>
            <w:pPr>
              <w:pStyle w:val="Compact"/>
              <w:spacing w:after="20" w:before="20" w:line="240" w:lineRule="auto"/>
              <w:jc w:val="left"/>
            </w:pPr>
            <w:r>
              <w:rPr>
                <w:sz w:val="17"/>
              </w:rPr>
              <w:t xml:space="preserve">Comptabilisation</w:t>
            </w:r>
          </w:p>
        </w:tc>
        <w:tc>
          <w:tcPr>
            <w:shd w:val="clear" w:color="auto" w:fill="F2F9F8"/>
          </w:tcPr>
          <w:p>
            <w:pPr>
              <w:pStyle w:val="Compact"/>
              <w:spacing w:after="20" w:before="20" w:line="240" w:lineRule="auto"/>
              <w:jc w:val="left"/>
            </w:pPr>
            <w:r>
              <w:rPr>
                <w:sz w:val="17"/>
              </w:rPr>
              <w:t xml:space="preserve">Imputation selon la nomenclature</w:t>
            </w:r>
            <w:r>
              <w:rPr>
                <w:sz w:val="17"/>
              </w:rPr>
              <w:t xml:space="preserve"> </w:t>
            </w:r>
            <w:r>
              <w:rPr>
                <w:sz w:val="17"/>
              </w:rPr>
              <w:t xml:space="preserve">publique</w:t>
            </w:r>
          </w:p>
        </w:tc>
        <w:tc>
          <w:tcPr>
            <w:shd w:val="clear" w:color="auto" w:fill="F2F9F8"/>
          </w:tcPr>
          <w:p>
            <w:pPr>
              <w:pStyle w:val="Compact"/>
              <w:spacing w:after="20" w:before="20" w:line="240" w:lineRule="auto"/>
              <w:jc w:val="left"/>
            </w:pPr>
            <w:r>
              <w:rPr>
                <w:sz w:val="17"/>
              </w:rPr>
              <w:t xml:space="preserve">Écriture comptable</w:t>
            </w:r>
          </w:p>
        </w:tc>
      </w:tr>
      <w:tr>
        <w:tc>
          <w:tcPr/>
          <w:p>
            <w:pPr>
              <w:pStyle w:val="Compact"/>
              <w:spacing w:after="20" w:before="20" w:line="240" w:lineRule="auto"/>
              <w:jc w:val="left"/>
            </w:pPr>
            <w:r>
              <w:rPr>
                <w:sz w:val="17"/>
              </w:rPr>
              <w:t xml:space="preserve">Exception</w:t>
            </w:r>
          </w:p>
        </w:tc>
        <w:tc>
          <w:tcPr/>
          <w:p>
            <w:pPr>
              <w:pStyle w:val="Compact"/>
              <w:spacing w:after="20" w:before="20" w:line="240" w:lineRule="auto"/>
              <w:jc w:val="left"/>
            </w:pPr>
            <w:r>
              <w:rPr>
                <w:sz w:val="17"/>
              </w:rPr>
              <w:t xml:space="preserve">File d'exception, double</w:t>
            </w:r>
            <w:r>
              <w:rPr>
                <w:sz w:val="17"/>
              </w:rPr>
              <w:t xml:space="preserve"> </w:t>
            </w:r>
            <w:r>
              <w:rPr>
                <w:sz w:val="17"/>
              </w:rPr>
              <w:t xml:space="preserve">validation pour correction</w:t>
            </w:r>
          </w:p>
        </w:tc>
        <w:tc>
          <w:tcPr/>
          <w:p>
            <w:pPr>
              <w:pStyle w:val="Compact"/>
              <w:spacing w:after="20" w:before="20" w:line="240" w:lineRule="auto"/>
              <w:jc w:val="left"/>
            </w:pPr>
            <w:r>
              <w:rPr>
                <w:sz w:val="17"/>
              </w:rPr>
              <w:t xml:space="preserve">Écriture contraire</w:t>
            </w:r>
            <w:r>
              <w:rPr>
                <w:sz w:val="17"/>
              </w:rPr>
              <w:t xml:space="preserve"> </w:t>
            </w:r>
            <w:r>
              <w:rPr>
                <w:sz w:val="17"/>
              </w:rPr>
              <w:t xml:space="preserve">tracée</w:t>
            </w:r>
          </w:p>
        </w:tc>
      </w:tr>
    </w:tbl>
    <w:bookmarkEnd w:id="185"/>
    <w:bookmarkStart w:id="186" w:name="états-distincts"/>
    <w:p>
      <w:pPr>
        <w:pStyle w:val="Heading2"/>
      </w:pPr>
      <w:r>
        <w:t xml:space="preserve">18.3 États distincts</w:t>
      </w:r>
    </w:p>
    <w:p>
      <w:pPr>
        <w:pStyle w:val="FirstParagraph"/>
      </w:pPr>
      <w:r>
        <w:t xml:space="preserve">Le système distingue strictement : paiement initié ; confirmé ; réglé en</w:t>
      </w:r>
      <w:r>
        <w:t xml:space="preserve"> </w:t>
      </w:r>
      <w:r>
        <w:t xml:space="preserve">compte public ; rapproché ; échoué ; dupliqué ; contrepassé ; remboursé</w:t>
      </w:r>
      <w:r>
        <w:t xml:space="preserve"> </w:t>
      </w:r>
      <w:r>
        <w:t xml:space="preserve">; contesté. Une quittance définitive n'est émise qu'à partir d'une</w:t>
      </w:r>
      <w:r>
        <w:t xml:space="preserve"> </w:t>
      </w:r>
      <w:r>
        <w:t xml:space="preserve">confirmation serveur à serveur du prestataire, jamais sur la base d'une</w:t>
      </w:r>
      <w:r>
        <w:t xml:space="preserve"> </w:t>
      </w:r>
      <w:r>
        <w:t xml:space="preserve">capture d'écran ou d'un message non vérifié.</w:t>
      </w:r>
    </w:p>
    <w:bookmarkEnd w:id="186"/>
    <w:bookmarkStart w:id="187" w:name="protection-du-circuit"/>
    <w:p>
      <w:pPr>
        <w:pStyle w:val="Heading2"/>
      </w:pPr>
      <w:r>
        <w:t xml:space="preserve">18.4 Protection du circuit</w:t>
      </w:r>
    </w:p>
    <w:p>
      <w:pPr>
        <w:numPr>
          <w:ilvl w:val="0"/>
          <w:numId w:val="1050"/>
        </w:numPr>
      </w:pPr>
      <w:r>
        <w:t xml:space="preserve">Comptes bénéficiaires verrouillés : toute modification exige double</w:t>
      </w:r>
      <w:r>
        <w:t xml:space="preserve"> </w:t>
      </w:r>
      <w:r>
        <w:t xml:space="preserve">validation, authentification renforcée et notification au comité de</w:t>
      </w:r>
      <w:r>
        <w:t xml:space="preserve"> </w:t>
      </w:r>
      <w:r>
        <w:t xml:space="preserve">pilotage.</w:t>
      </w:r>
    </w:p>
    <w:p>
      <w:pPr>
        <w:numPr>
          <w:ilvl w:val="0"/>
          <w:numId w:val="1050"/>
        </w:numPr>
      </w:pPr>
      <w:r>
        <w:t xml:space="preserve">Anti-rejeu et signature des rappels de prestataires ; refus des</w:t>
      </w:r>
      <w:r>
        <w:t xml:space="preserve"> </w:t>
      </w:r>
      <w:r>
        <w:t xml:space="preserve">rappels non signés ou hors délai.</w:t>
      </w:r>
    </w:p>
    <w:p>
      <w:pPr>
        <w:numPr>
          <w:ilvl w:val="0"/>
          <w:numId w:val="1050"/>
        </w:numPr>
      </w:pPr>
      <w:r>
        <w:t xml:space="preserve">Détection des doublons par référence, montant, objet et fenêtre</w:t>
      </w:r>
      <w:r>
        <w:t xml:space="preserve"> </w:t>
      </w:r>
      <w:r>
        <w:t xml:space="preserve">temporelle.</w:t>
      </w:r>
    </w:p>
    <w:p>
      <w:pPr>
        <w:numPr>
          <w:ilvl w:val="0"/>
          <w:numId w:val="1050"/>
        </w:numPr>
      </w:pPr>
      <w:r>
        <w:t xml:space="preserve">Plafonds et seuils d'alerte par canal, par agent et par point</w:t>
      </w:r>
      <w:r>
        <w:t xml:space="preserve"> </w:t>
      </w:r>
      <w:r>
        <w:t xml:space="preserve">d'encaissement.</w:t>
      </w:r>
    </w:p>
    <w:p>
      <w:pPr>
        <w:numPr>
          <w:ilvl w:val="0"/>
          <w:numId w:val="1050"/>
        </w:numPr>
      </w:pPr>
      <w:r>
        <w:t xml:space="preserve">Remboursement possible uniquement lorsque la loi le permet, sur</w:t>
      </w:r>
      <w:r>
        <w:t xml:space="preserve"> </w:t>
      </w:r>
      <w:r>
        <w:t xml:space="preserve">décision motivée, avec double validation et écriture contraire.</w:t>
      </w:r>
    </w:p>
    <w:p>
      <w:pPr>
        <w:numPr>
          <w:ilvl w:val="0"/>
          <w:numId w:val="1050"/>
        </w:numPr>
      </w:pPr>
      <w:r>
        <w:t xml:space="preserve">Interdiction technique de l'encaissement en espèces par un agent</w:t>
      </w:r>
      <w:r>
        <w:t xml:space="preserve"> </w:t>
      </w:r>
      <w:r>
        <w:t xml:space="preserve">dans les circuits couverts par la plateforme.</w:t>
      </w:r>
    </w:p>
    <w:p>
      <w:pPr>
        <w:pStyle w:val="BlockText"/>
      </w:pPr>
      <w:r>
        <w:rPr>
          <w:b/>
          <w:bCs/>
        </w:rPr>
        <w:t xml:space="preserve">Statut de la plateforme.</w:t>
      </w:r>
      <w:r>
        <w:t xml:space="preserve"> </w:t>
      </w:r>
      <w:r>
        <w:t xml:space="preserve">MOSOLO n'est pas une caisse. Les fonds</w:t>
      </w:r>
      <w:r>
        <w:t xml:space="preserve"> </w:t>
      </w:r>
      <w:r>
        <w:t xml:space="preserve">transitent par des établissements agréés vers les comptes publics</w:t>
      </w:r>
      <w:r>
        <w:t xml:space="preserve"> </w:t>
      </w:r>
      <w:r>
        <w:t xml:space="preserve">désignés. L'habilitation des agrégateurs et les conventions de</w:t>
      </w:r>
      <w:r>
        <w:t xml:space="preserve"> </w:t>
      </w:r>
      <w:r>
        <w:t xml:space="preserve">règlement doivent être confirmées auprès de la Banque Centrale du</w:t>
      </w:r>
      <w:r>
        <w:t xml:space="preserve"> </w:t>
      </w:r>
      <w:r>
        <w:t xml:space="preserve">Congo avant la mise en production.</w:t>
      </w:r>
    </w:p>
    <w:bookmarkEnd w:id="187"/>
    <w:bookmarkStart w:id="188" w:name="modèle-détats-de-paiement"/>
    <w:p>
      <w:pPr>
        <w:pStyle w:val="Heading2"/>
      </w:pPr>
      <w:r>
        <w:t xml:space="preserve">18.5 Modèle d’états de paiement</w:t>
      </w:r>
    </w:p>
    <w:p>
      <w:pPr>
        <w:pStyle w:val="FirstParagraph"/>
      </w:pPr>
      <w:r>
        <w:t xml:space="preserve">Les états fonctionnels du § 18.3 correspondent aux codes techniques suivants. MOSOLO orchestre les paiements et en apporte la preuve ; il ne devient jamais un compte privé de recettes publiques.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blHeader/>
        </w:trPr>
        <w:tc>
          <w:tcPr>
            <w:shd w:val="clear" w:color="auto" w:fill="1BA996"/>
          </w:tcPr>
          <w:p>
            <w:pPr>
              <w:pStyle w:val="Compact"/>
              <w:spacing w:after="20" w:before="20" w:line="240" w:lineRule="auto"/>
              <w:jc w:val="left"/>
            </w:pPr>
            <w:r>
              <w:rPr>
                <w:b/>
                <w:color w:val="FFFFFF"/>
                <w:sz w:val="17"/>
              </w:rPr>
              <w:t xml:space="preserve">Code technique</w:t>
            </w:r>
          </w:p>
        </w:tc>
        <w:tc>
          <w:tcPr>
            <w:shd w:val="clear" w:color="auto" w:fill="1BA996"/>
          </w:tcPr>
          <w:p>
            <w:pPr>
              <w:pStyle w:val="Compact"/>
              <w:spacing w:after="20" w:before="20" w:line="240" w:lineRule="auto"/>
              <w:jc w:val="left"/>
            </w:pPr>
            <w:r>
              <w:rPr>
                <w:b/>
                <w:color w:val="FFFFFF"/>
                <w:sz w:val="17"/>
              </w:rPr>
              <w:t xml:space="preserve">État</w:t>
            </w:r>
          </w:p>
        </w:tc>
        <w:tc>
          <w:tcPr>
            <w:shd w:val="clear" w:color="auto" w:fill="1BA996"/>
          </w:tcPr>
          <w:p>
            <w:pPr>
              <w:pStyle w:val="Compact"/>
              <w:spacing w:after="20" w:before="20" w:line="240" w:lineRule="auto"/>
              <w:jc w:val="left"/>
            </w:pPr>
            <w:r>
              <w:rPr>
                <w:b/>
                <w:color w:val="FFFFFF"/>
                <w:sz w:val="17"/>
              </w:rPr>
              <w:t xml:space="preserve">Définition</w:t>
            </w:r>
          </w:p>
        </w:tc>
        <w:tc>
          <w:tcPr>
            <w:shd w:val="clear" w:color="auto" w:fill="1BA996"/>
          </w:tcPr>
          <w:p>
            <w:pPr>
              <w:pStyle w:val="Compact"/>
              <w:spacing w:after="20" w:before="20" w:line="240" w:lineRule="auto"/>
              <w:jc w:val="left"/>
            </w:pPr>
            <w:r>
              <w:rPr>
                <w:b/>
                <w:color w:val="FFFFFF"/>
                <w:sz w:val="17"/>
              </w:rPr>
              <w:t xml:space="preserve">Effet sur la quittance</w:t>
            </w:r>
          </w:p>
        </w:tc>
      </w:tr>
      <w:tr>
        <w:tc>
          <w:tcPr/>
          <w:p>
            <w:pPr>
              <w:pStyle w:val="Compact"/>
              <w:spacing w:after="20" w:before="20" w:line="240" w:lineRule="auto"/>
              <w:jc w:val="left"/>
            </w:pPr>
            <w:r>
              <w:rPr>
                <w:sz w:val="17"/>
              </w:rPr>
              <w:t xml:space="preserve">INITIATED</w:t>
            </w:r>
          </w:p>
        </w:tc>
        <w:tc>
          <w:tcPr/>
          <w:p>
            <w:pPr>
              <w:pStyle w:val="Compact"/>
              <w:spacing w:after="20" w:before="20" w:line="240" w:lineRule="auto"/>
              <w:jc w:val="left"/>
            </w:pPr>
            <w:r>
              <w:rPr>
                <w:sz w:val="17"/>
              </w:rPr>
              <w:t xml:space="preserve">Initié</w:t>
            </w:r>
          </w:p>
        </w:tc>
        <w:tc>
          <w:tcPr/>
          <w:p>
            <w:pPr>
              <w:pStyle w:val="Compact"/>
              <w:spacing w:after="20" w:before="20" w:line="240" w:lineRule="auto"/>
              <w:jc w:val="left"/>
            </w:pPr>
            <w:r>
              <w:rPr>
                <w:sz w:val="17"/>
              </w:rPr>
              <w:t xml:space="preserve">Instruction de paiement créée</w:t>
            </w:r>
          </w:p>
        </w:tc>
        <w:tc>
          <w:tcPr/>
          <w:p>
            <w:pPr>
              <w:pStyle w:val="Compact"/>
              <w:spacing w:after="20" w:before="20" w:line="240" w:lineRule="auto"/>
              <w:jc w:val="left"/>
            </w:pPr>
            <w:r>
              <w:rPr>
                <w:sz w:val="17"/>
              </w:rPr>
              <w:t xml:space="preserve">Aucune quittance</w:t>
            </w:r>
          </w:p>
        </w:tc>
      </w:tr>
      <w:tr>
        <w:tc>
          <w:tcPr>
            <w:shd w:val="clear" w:color="auto" w:fill="F2F9F8"/>
          </w:tcPr>
          <w:p>
            <w:pPr>
              <w:pStyle w:val="Compact"/>
              <w:spacing w:after="20" w:before="20" w:line="240" w:lineRule="auto"/>
              <w:jc w:val="left"/>
            </w:pPr>
            <w:r>
              <w:rPr>
                <w:sz w:val="17"/>
              </w:rPr>
              <w:t xml:space="preserve">PROVIDER_CONFIRMED</w:t>
            </w:r>
          </w:p>
        </w:tc>
        <w:tc>
          <w:tcPr>
            <w:shd w:val="clear" w:color="auto" w:fill="F2F9F8"/>
          </w:tcPr>
          <w:p>
            <w:pPr>
              <w:pStyle w:val="Compact"/>
              <w:spacing w:after="20" w:before="20" w:line="240" w:lineRule="auto"/>
              <w:jc w:val="left"/>
            </w:pPr>
            <w:r>
              <w:rPr>
                <w:sz w:val="17"/>
              </w:rPr>
              <w:t xml:space="preserve">Confirmé</w:t>
            </w:r>
          </w:p>
        </w:tc>
        <w:tc>
          <w:tcPr>
            <w:shd w:val="clear" w:color="auto" w:fill="F2F9F8"/>
          </w:tcPr>
          <w:p>
            <w:pPr>
              <w:pStyle w:val="Compact"/>
              <w:spacing w:after="20" w:before="20" w:line="240" w:lineRule="auto"/>
              <w:jc w:val="left"/>
            </w:pPr>
            <w:r>
              <w:rPr>
                <w:sz w:val="17"/>
              </w:rPr>
              <w:t xml:space="preserve">Le prestataire confirme réception ou autorisation, par rappel signé serveur à serveur</w:t>
            </w:r>
          </w:p>
        </w:tc>
        <w:tc>
          <w:tcPr>
            <w:shd w:val="clear" w:color="auto" w:fill="F2F9F8"/>
          </w:tcPr>
          <w:p>
            <w:pPr>
              <w:pStyle w:val="Compact"/>
              <w:spacing w:after="20" w:before="20" w:line="240" w:lineRule="auto"/>
              <w:jc w:val="left"/>
            </w:pPr>
            <w:r>
              <w:rPr>
                <w:sz w:val="17"/>
              </w:rPr>
              <w:t xml:space="preserve">Quittance électronique émise au statut « en attente de règlement » (§ 18.6)</w:t>
            </w:r>
          </w:p>
        </w:tc>
      </w:tr>
      <w:tr>
        <w:tc>
          <w:tcPr/>
          <w:p>
            <w:pPr>
              <w:pStyle w:val="Compact"/>
              <w:spacing w:after="20" w:before="20" w:line="240" w:lineRule="auto"/>
              <w:jc w:val="left"/>
            </w:pPr>
            <w:r>
              <w:rPr>
                <w:sz w:val="17"/>
              </w:rPr>
              <w:t xml:space="preserve">SETTLED</w:t>
            </w:r>
          </w:p>
        </w:tc>
        <w:tc>
          <w:tcPr/>
          <w:p>
            <w:pPr>
              <w:pStyle w:val="Compact"/>
              <w:spacing w:after="20" w:before="20" w:line="240" w:lineRule="auto"/>
              <w:jc w:val="left"/>
            </w:pPr>
            <w:r>
              <w:rPr>
                <w:sz w:val="17"/>
              </w:rPr>
              <w:t xml:space="preserve">Réglé</w:t>
            </w:r>
          </w:p>
        </w:tc>
        <w:tc>
          <w:tcPr/>
          <w:p>
            <w:pPr>
              <w:pStyle w:val="Compact"/>
              <w:spacing w:after="20" w:before="20" w:line="240" w:lineRule="auto"/>
              <w:jc w:val="left"/>
            </w:pPr>
            <w:r>
              <w:rPr>
                <w:sz w:val="17"/>
              </w:rPr>
              <w:t xml:space="preserve">Fonds dénoués vers le compte public, selon preuve</w:t>
            </w:r>
          </w:p>
        </w:tc>
        <w:tc>
          <w:tcPr/>
          <w:p>
            <w:pPr>
              <w:pStyle w:val="Compact"/>
              <w:spacing w:after="20" w:before="20" w:line="240" w:lineRule="auto"/>
              <w:jc w:val="left"/>
            </w:pPr>
            <w:r>
              <w:rPr>
                <w:sz w:val="17"/>
              </w:rPr>
              <w:t xml:space="preserve">Statut maintenu en attente jusqu’au rapprochement, sauf politique contraire</w:t>
            </w:r>
          </w:p>
        </w:tc>
      </w:tr>
      <w:tr>
        <w:tc>
          <w:tcPr>
            <w:shd w:val="clear" w:color="auto" w:fill="F2F9F8"/>
          </w:tcPr>
          <w:p>
            <w:pPr>
              <w:pStyle w:val="Compact"/>
              <w:spacing w:after="20" w:before="20" w:line="240" w:lineRule="auto"/>
              <w:jc w:val="left"/>
            </w:pPr>
            <w:r>
              <w:rPr>
                <w:sz w:val="17"/>
              </w:rPr>
              <w:t xml:space="preserve">RECONCILED</w:t>
            </w:r>
          </w:p>
        </w:tc>
        <w:tc>
          <w:tcPr>
            <w:shd w:val="clear" w:color="auto" w:fill="F2F9F8"/>
          </w:tcPr>
          <w:p>
            <w:pPr>
              <w:pStyle w:val="Compact"/>
              <w:spacing w:after="20" w:before="20" w:line="240" w:lineRule="auto"/>
              <w:jc w:val="left"/>
            </w:pPr>
            <w:r>
              <w:rPr>
                <w:sz w:val="17"/>
              </w:rPr>
              <w:t xml:space="preserve">Rapproché</w:t>
            </w:r>
          </w:p>
        </w:tc>
        <w:tc>
          <w:tcPr>
            <w:shd w:val="clear" w:color="auto" w:fill="F2F9F8"/>
          </w:tcPr>
          <w:p>
            <w:pPr>
              <w:pStyle w:val="Compact"/>
              <w:spacing w:after="20" w:before="20" w:line="240" w:lineRule="auto"/>
              <w:jc w:val="left"/>
            </w:pPr>
            <w:r>
              <w:rPr>
                <w:sz w:val="17"/>
              </w:rPr>
              <w:t xml:space="preserve">Transaction rapprochée avec le compte public et le grand livre</w:t>
            </w:r>
          </w:p>
        </w:tc>
        <w:tc>
          <w:tcPr>
            <w:shd w:val="clear" w:color="auto" w:fill="F2F9F8"/>
          </w:tcPr>
          <w:p>
            <w:pPr>
              <w:pStyle w:val="Compact"/>
              <w:spacing w:after="20" w:before="20" w:line="240" w:lineRule="auto"/>
              <w:jc w:val="left"/>
            </w:pPr>
            <w:r>
              <w:rPr>
                <w:sz w:val="17"/>
              </w:rPr>
              <w:t xml:space="preserve">Quittance définitive</w:t>
            </w:r>
          </w:p>
        </w:tc>
      </w:tr>
      <w:tr>
        <w:tc>
          <w:tcPr/>
          <w:p>
            <w:pPr>
              <w:pStyle w:val="Compact"/>
              <w:spacing w:after="20" w:before="20" w:line="240" w:lineRule="auto"/>
              <w:jc w:val="left"/>
            </w:pPr>
            <w:r>
              <w:rPr>
                <w:sz w:val="17"/>
              </w:rPr>
              <w:t xml:space="preserve">FAILED</w:t>
            </w:r>
          </w:p>
        </w:tc>
        <w:tc>
          <w:tcPr/>
          <w:p>
            <w:pPr>
              <w:pStyle w:val="Compact"/>
              <w:spacing w:after="20" w:before="20" w:line="240" w:lineRule="auto"/>
              <w:jc w:val="left"/>
            </w:pPr>
            <w:r>
              <w:rPr>
                <w:sz w:val="17"/>
              </w:rPr>
              <w:t xml:space="preserve">Échoué</w:t>
            </w:r>
          </w:p>
        </w:tc>
        <w:tc>
          <w:tcPr/>
          <w:p>
            <w:pPr>
              <w:pStyle w:val="Compact"/>
              <w:spacing w:after="20" w:before="20" w:line="240" w:lineRule="auto"/>
              <w:jc w:val="left"/>
            </w:pPr>
            <w:r>
              <w:rPr>
                <w:sz w:val="17"/>
              </w:rPr>
              <w:t xml:space="preserve">Échec du paiement</w:t>
            </w:r>
          </w:p>
        </w:tc>
        <w:tc>
          <w:tcPr/>
          <w:p>
            <w:pPr>
              <w:pStyle w:val="Compact"/>
              <w:spacing w:after="20" w:before="20" w:line="240" w:lineRule="auto"/>
              <w:jc w:val="left"/>
            </w:pPr>
            <w:r>
              <w:rPr>
                <w:sz w:val="17"/>
              </w:rPr>
              <w:t xml:space="preserve">Aucune quittance</w:t>
            </w:r>
          </w:p>
        </w:tc>
      </w:tr>
      <w:tr>
        <w:tc>
          <w:tcPr>
            <w:shd w:val="clear" w:color="auto" w:fill="F2F9F8"/>
          </w:tcPr>
          <w:p>
            <w:pPr>
              <w:pStyle w:val="Compact"/>
              <w:spacing w:after="20" w:before="20" w:line="240" w:lineRule="auto"/>
              <w:jc w:val="left"/>
            </w:pPr>
            <w:r>
              <w:rPr>
                <w:sz w:val="17"/>
              </w:rPr>
              <w:t xml:space="preserve">DUPLICATE</w:t>
            </w:r>
          </w:p>
        </w:tc>
        <w:tc>
          <w:tcPr>
            <w:shd w:val="clear" w:color="auto" w:fill="F2F9F8"/>
          </w:tcPr>
          <w:p>
            <w:pPr>
              <w:pStyle w:val="Compact"/>
              <w:spacing w:after="20" w:before="20" w:line="240" w:lineRule="auto"/>
              <w:jc w:val="left"/>
            </w:pPr>
            <w:r>
              <w:rPr>
                <w:sz w:val="17"/>
              </w:rPr>
              <w:t xml:space="preserve">Dupliqué</w:t>
            </w:r>
          </w:p>
        </w:tc>
        <w:tc>
          <w:tcPr>
            <w:shd w:val="clear" w:color="auto" w:fill="F2F9F8"/>
          </w:tcPr>
          <w:p>
            <w:pPr>
              <w:pStyle w:val="Compact"/>
              <w:spacing w:after="20" w:before="20" w:line="240" w:lineRule="auto"/>
              <w:jc w:val="left"/>
            </w:pPr>
            <w:r>
              <w:rPr>
                <w:sz w:val="17"/>
              </w:rPr>
              <w:t xml:space="preserve">Doublon détecté</w:t>
            </w:r>
          </w:p>
        </w:tc>
        <w:tc>
          <w:tcPr>
            <w:shd w:val="clear" w:color="auto" w:fill="F2F9F8"/>
          </w:tcPr>
          <w:p>
            <w:pPr>
              <w:pStyle w:val="Compact"/>
              <w:spacing w:after="20" w:before="20" w:line="240" w:lineRule="auto"/>
              <w:jc w:val="left"/>
            </w:pPr>
            <w:r>
              <w:rPr>
                <w:sz w:val="17"/>
              </w:rPr>
              <w:t xml:space="preserve">Aucune quittance</w:t>
            </w:r>
          </w:p>
        </w:tc>
      </w:tr>
      <w:tr>
        <w:tc>
          <w:tcPr/>
          <w:p>
            <w:pPr>
              <w:pStyle w:val="Compact"/>
              <w:spacing w:after="20" w:before="20" w:line="240" w:lineRule="auto"/>
              <w:jc w:val="left"/>
            </w:pPr>
            <w:r>
              <w:rPr>
                <w:sz w:val="17"/>
              </w:rPr>
              <w:t xml:space="preserve">REVERSED</w:t>
            </w:r>
          </w:p>
        </w:tc>
        <w:tc>
          <w:tcPr/>
          <w:p>
            <w:pPr>
              <w:pStyle w:val="Compact"/>
              <w:spacing w:after="20" w:before="20" w:line="240" w:lineRule="auto"/>
              <w:jc w:val="left"/>
            </w:pPr>
            <w:r>
              <w:rPr>
                <w:sz w:val="17"/>
              </w:rPr>
              <w:t xml:space="preserve">Contrepassé</w:t>
            </w:r>
          </w:p>
        </w:tc>
        <w:tc>
          <w:tcPr/>
          <w:p>
            <w:pPr>
              <w:pStyle w:val="Compact"/>
              <w:spacing w:after="20" w:before="20" w:line="240" w:lineRule="auto"/>
              <w:jc w:val="left"/>
            </w:pPr>
            <w:r>
              <w:rPr>
                <w:sz w:val="17"/>
              </w:rPr>
              <w:t xml:space="preserve">Opération inversée</w:t>
            </w:r>
          </w:p>
        </w:tc>
        <w:tc>
          <w:tcPr/>
          <w:p>
            <w:pPr>
              <w:pStyle w:val="Compact"/>
              <w:spacing w:after="20" w:before="20" w:line="240" w:lineRule="auto"/>
              <w:jc w:val="left"/>
            </w:pPr>
            <w:r>
              <w:rPr>
                <w:sz w:val="17"/>
              </w:rPr>
              <w:t xml:space="preserve">Quittance précédente marquée inversée ou remplacée</w:t>
            </w:r>
          </w:p>
        </w:tc>
      </w:tr>
      <w:tr>
        <w:tc>
          <w:tcPr>
            <w:shd w:val="clear" w:color="auto" w:fill="F2F9F8"/>
          </w:tcPr>
          <w:p>
            <w:pPr>
              <w:pStyle w:val="Compact"/>
              <w:spacing w:after="20" w:before="20" w:line="240" w:lineRule="auto"/>
              <w:jc w:val="left"/>
            </w:pPr>
            <w:r>
              <w:rPr>
                <w:sz w:val="17"/>
              </w:rPr>
              <w:t xml:space="preserve">REFUNDED</w:t>
            </w:r>
          </w:p>
        </w:tc>
        <w:tc>
          <w:tcPr>
            <w:shd w:val="clear" w:color="auto" w:fill="F2F9F8"/>
          </w:tcPr>
          <w:p>
            <w:pPr>
              <w:pStyle w:val="Compact"/>
              <w:spacing w:after="20" w:before="20" w:line="240" w:lineRule="auto"/>
              <w:jc w:val="left"/>
            </w:pPr>
            <w:r>
              <w:rPr>
                <w:sz w:val="17"/>
              </w:rPr>
              <w:t xml:space="preserve">Remboursé</w:t>
            </w:r>
          </w:p>
        </w:tc>
        <w:tc>
          <w:tcPr>
            <w:shd w:val="clear" w:color="auto" w:fill="F2F9F8"/>
          </w:tcPr>
          <w:p>
            <w:pPr>
              <w:pStyle w:val="Compact"/>
              <w:spacing w:after="20" w:before="20" w:line="240" w:lineRule="auto"/>
              <w:jc w:val="left"/>
            </w:pPr>
            <w:r>
              <w:rPr>
                <w:sz w:val="17"/>
              </w:rPr>
              <w:t xml:space="preserve">Remboursement autorisé</w:t>
            </w:r>
          </w:p>
        </w:tc>
        <w:tc>
          <w:tcPr>
            <w:shd w:val="clear" w:color="auto" w:fill="F2F9F8"/>
          </w:tcPr>
          <w:p>
            <w:pPr>
              <w:pStyle w:val="Compact"/>
              <w:spacing w:after="20" w:before="20" w:line="240" w:lineRule="auto"/>
              <w:jc w:val="left"/>
            </w:pPr>
            <w:r>
              <w:rPr>
                <w:sz w:val="17"/>
              </w:rPr>
              <w:t xml:space="preserve">Statut de quittance mis à jour</w:t>
            </w:r>
          </w:p>
        </w:tc>
      </w:tr>
      <w:tr>
        <w:tc>
          <w:tcPr/>
          <w:p>
            <w:pPr>
              <w:pStyle w:val="Compact"/>
              <w:spacing w:after="20" w:before="20" w:line="240" w:lineRule="auto"/>
              <w:jc w:val="left"/>
            </w:pPr>
            <w:r>
              <w:rPr>
                <w:sz w:val="17"/>
              </w:rPr>
              <w:t xml:space="preserve">DISPUTED</w:t>
            </w:r>
          </w:p>
        </w:tc>
        <w:tc>
          <w:tcPr/>
          <w:p>
            <w:pPr>
              <w:pStyle w:val="Compact"/>
              <w:spacing w:after="20" w:before="20" w:line="240" w:lineRule="auto"/>
              <w:jc w:val="left"/>
            </w:pPr>
            <w:r>
              <w:rPr>
                <w:sz w:val="17"/>
              </w:rPr>
              <w:t xml:space="preserve">Contesté</w:t>
            </w:r>
          </w:p>
        </w:tc>
        <w:tc>
          <w:tcPr/>
          <w:p>
            <w:pPr>
              <w:pStyle w:val="Compact"/>
              <w:spacing w:after="20" w:before="20" w:line="240" w:lineRule="auto"/>
              <w:jc w:val="left"/>
            </w:pPr>
            <w:r>
              <w:rPr>
                <w:sz w:val="17"/>
              </w:rPr>
              <w:t xml:space="preserve">Litige en cours</w:t>
            </w:r>
          </w:p>
        </w:tc>
        <w:tc>
          <w:tcPr/>
          <w:p>
            <w:pPr>
              <w:pStyle w:val="Compact"/>
              <w:spacing w:after="20" w:before="20" w:line="240" w:lineRule="auto"/>
              <w:jc w:val="left"/>
            </w:pPr>
            <w:r>
              <w:rPr>
                <w:sz w:val="17"/>
              </w:rPr>
              <w:t xml:space="preserve">Quittance signalée selon les règles</w:t>
            </w:r>
          </w:p>
        </w:tc>
      </w:tr>
    </w:tbl>
    <w:p>
      <w:pPr>
        <w:pStyle w:val="BodyText"/>
      </w:pPr>
      <w:r>
        <w:t xml:space="preserve">Contrôles de chaque paiement : référence unique, idempotence, signature des rappels, anti-rejeu, contrôle du montant, de la devise et de l’obligation.</w:t>
      </w:r>
    </w:p>
    <w:bookmarkEnd w:id="188"/>
    <w:bookmarkStart w:id="189" w:name="Xafb9c348c869c287d308b7ddd40dce57d1d4d0a"/>
    <w:p>
      <w:pPr>
        <w:pStyle w:val="Heading2"/>
      </w:pPr>
      <w:r>
        <w:t xml:space="preserve">18.6 Politique de quittance provisoire et définitive</w:t>
      </w:r>
    </w:p>
    <w:p>
      <w:pPr>
        <w:pStyle w:val="FirstParagraph"/>
      </w:pPr>
      <w:r>
        <w:t xml:space="preserve">Deux exigences des documents sources devaient être conciliées : une quittance en moins d’une minute (objectif 5 et indicateurs du § 39) et une quittance « finale » seulement après rapprochement. La position retenue est la suivante. La quittance électronique est émise dès la confirmation serveur à serveur du prestataire agréé, jamais sur capture d’écran ou message non vérifié ; elle porte le statut « en attente de règlement », vérifiable par QR. Elle devient définitive automatiquement lorsque le paiement atteint l’état rapproché. Si le règlement n’intervient pas, la quittance passe au statut « annulée » ou « contrepassée », avec notification au contribuable. Le quitus fiscal (§ 8.1) n’est délivré que sur quittances définitives. La spécification KIN RECETTES rendait la quittance définitive dès l’état « réglé » (settled) ; le présent document retient l’état « rapproché », plus protecteur, le comité pouvant ramener la bascule à l’état réglé si le rapprochement est quasi instantané.</w:t>
      </w:r>
    </w:p>
    <w:p>
      <w:pPr>
        <w:pStyle w:val="BlockText"/>
      </w:pPr>
      <w:r>
        <w:rPr>
          <w:b/>
          <w:bCs/>
        </w:rPr>
        <w:t xml:space="preserve">Point d’arbitrage.</w:t>
      </w:r>
      <w:r>
        <w:t xml:space="preserve"> </w:t>
      </w:r>
      <w:r>
        <w:t xml:space="preserve">Le comité juridique et tarifaire confirme la valeur juridique de la quittance au statut « en attente de règlement » et le délai maximal avant bascule (Annexe B, point 9).</w:t>
      </w:r>
    </w:p>
    <w:bookmarkEnd w:id="189"/>
    <w:bookmarkEnd w:id="190"/>
    <w:bookmarkStart w:id="199" w:name="Xeee3cf4d8d8b474eddc582f17cf8581faf5d358"/>
    <w:p>
      <w:pPr>
        <w:pStyle w:val="Heading1"/>
      </w:pPr>
      <w:r>
        <w:t xml:space="preserve">18A. Parcours de paiement de bout en bout et preuve de paiement</w:t>
      </w:r>
    </w:p>
    <w:p>
      <w:pPr>
        <w:pStyle w:val="FirstParagraph"/>
      </w:pPr>
      <w:r>
        <w:rPr>
          <w:b/>
          <w:bCs/>
        </w:rPr>
        <w:t xml:space="preserve">Principe : l’argent peut circuler en espèces, mais uniquement dans des établissements financiers régulés dont les versements sont rapprochés chaque jour ; jamais dans la main d’un agent de l’administration ou d’un sous-traitant. Le montant est fixé par le système, jamais négocié ; la seule preuve qui vaut est l’enregistrement du système.</w:t>
      </w:r>
    </w:p>
    <w:bookmarkStart w:id="191" w:name="a.1-trois-modes-de-paiement"/>
    <w:p>
      <w:pPr>
        <w:pStyle w:val="Heading2"/>
      </w:pPr>
      <w:r>
        <w:t xml:space="preserve">18A.1 Trois modes de paiement</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584"/>
        <w:gridCol w:w="1584"/>
        <w:gridCol w:w="1584"/>
        <w:gridCol w:w="1584"/>
        <w:gridCol w:w="1584"/>
      </w:tblGrid>
      <w:tr>
        <w:trPr>
          <w:tblHeader w:val="true"/>
          <w:tblHeader/>
        </w:trPr>
        <w:tc>
          <w:tcPr>
            <w:shd w:val="clear" w:color="auto" w:fill="1BA996"/>
          </w:tcPr>
          <w:p>
            <w:pPr>
              <w:pStyle w:val="Compact"/>
              <w:spacing w:after="20" w:before="20" w:line="240" w:lineRule="auto"/>
              <w:jc w:val="left"/>
            </w:pPr>
            <w:r>
              <w:rPr>
                <w:b/>
                <w:color w:val="FFFFFF"/>
                <w:sz w:val="17"/>
              </w:rPr>
              <w:t xml:space="preserve">Mode</w:t>
            </w:r>
          </w:p>
        </w:tc>
        <w:tc>
          <w:tcPr>
            <w:shd w:val="clear" w:color="auto" w:fill="1BA996"/>
          </w:tcPr>
          <w:p>
            <w:pPr>
              <w:pStyle w:val="Compact"/>
              <w:spacing w:after="20" w:before="20" w:line="240" w:lineRule="auto"/>
              <w:jc w:val="left"/>
            </w:pPr>
            <w:r>
              <w:rPr>
                <w:b/>
                <w:color w:val="FFFFFF"/>
                <w:sz w:val="17"/>
              </w:rPr>
              <w:t xml:space="preserve">Qui initie</w:t>
            </w:r>
          </w:p>
        </w:tc>
        <w:tc>
          <w:tcPr>
            <w:shd w:val="clear" w:color="auto" w:fill="1BA996"/>
          </w:tcPr>
          <w:p>
            <w:pPr>
              <w:pStyle w:val="Compact"/>
              <w:spacing w:after="20" w:before="20" w:line="240" w:lineRule="auto"/>
              <w:jc w:val="left"/>
            </w:pPr>
            <w:r>
              <w:rPr>
                <w:b/>
                <w:color w:val="FFFFFF"/>
                <w:sz w:val="17"/>
              </w:rPr>
              <w:t xml:space="preserve">Qui paie</w:t>
            </w:r>
          </w:p>
        </w:tc>
        <w:tc>
          <w:tcPr>
            <w:shd w:val="clear" w:color="auto" w:fill="1BA996"/>
          </w:tcPr>
          <w:p>
            <w:pPr>
              <w:pStyle w:val="Compact"/>
              <w:spacing w:after="20" w:before="20" w:line="240" w:lineRule="auto"/>
              <w:jc w:val="left"/>
            </w:pPr>
            <w:r>
              <w:rPr>
                <w:b/>
                <w:color w:val="FFFFFF"/>
                <w:sz w:val="17"/>
              </w:rPr>
              <w:t xml:space="preserve">Où va l’argent</w:t>
            </w:r>
          </w:p>
        </w:tc>
        <w:tc>
          <w:tcPr>
            <w:shd w:val="clear" w:color="auto" w:fill="1BA996"/>
          </w:tcPr>
          <w:p>
            <w:pPr>
              <w:pStyle w:val="Compact"/>
              <w:spacing w:after="20" w:before="20" w:line="240" w:lineRule="auto"/>
              <w:jc w:val="left"/>
            </w:pPr>
            <w:r>
              <w:rPr>
                <w:b/>
                <w:color w:val="FFFFFF"/>
                <w:sz w:val="17"/>
              </w:rPr>
              <w:t xml:space="preserve">Rôle de l’agent public</w:t>
            </w:r>
          </w:p>
        </w:tc>
      </w:tr>
      <w:tr>
        <w:tc>
          <w:tcPr/>
          <w:p>
            <w:pPr>
              <w:pStyle w:val="Compact"/>
              <w:spacing w:after="20" w:before="20" w:line="240" w:lineRule="auto"/>
              <w:jc w:val="left"/>
            </w:pPr>
            <w:r>
              <w:rPr>
                <w:sz w:val="17"/>
              </w:rPr>
              <w:t xml:space="preserve">Autonome</w:t>
            </w:r>
          </w:p>
        </w:tc>
        <w:tc>
          <w:tcPr/>
          <w:p>
            <w:pPr>
              <w:pStyle w:val="Compact"/>
              <w:spacing w:after="20" w:before="20" w:line="240" w:lineRule="auto"/>
              <w:jc w:val="left"/>
            </w:pPr>
            <w:r>
              <w:rPr>
                <w:sz w:val="17"/>
              </w:rPr>
              <w:t xml:space="preserve">Le contribuable</w:t>
            </w:r>
          </w:p>
        </w:tc>
        <w:tc>
          <w:tcPr/>
          <w:p>
            <w:pPr>
              <w:pStyle w:val="Compact"/>
              <w:spacing w:after="20" w:before="20" w:line="240" w:lineRule="auto"/>
              <w:jc w:val="left"/>
            </w:pPr>
            <w:r>
              <w:rPr>
                <w:sz w:val="17"/>
              </w:rPr>
              <w:t xml:space="preserve">Le contribuable, depuis son téléphone (application, USSD) ou sa banque</w:t>
            </w:r>
          </w:p>
        </w:tc>
        <w:tc>
          <w:tcPr/>
          <w:p>
            <w:pPr>
              <w:pStyle w:val="Compact"/>
              <w:spacing w:after="20" w:before="20" w:line="240" w:lineRule="auto"/>
              <w:jc w:val="left"/>
            </w:pPr>
            <w:r>
              <w:rPr>
                <w:sz w:val="17"/>
              </w:rPr>
              <w:t xml:space="preserve">Directement au compte public désigné</w:t>
            </w:r>
          </w:p>
        </w:tc>
        <w:tc>
          <w:tcPr/>
          <w:p>
            <w:pPr>
              <w:pStyle w:val="Compact"/>
              <w:spacing w:after="20" w:before="20" w:line="240" w:lineRule="auto"/>
              <w:jc w:val="left"/>
            </w:pPr>
            <w:r>
              <w:rPr>
                <w:sz w:val="17"/>
              </w:rPr>
              <w:t xml:space="preserve">Aucun</w:t>
            </w:r>
          </w:p>
        </w:tc>
      </w:tr>
      <w:tr>
        <w:tc>
          <w:tcPr>
            <w:shd w:val="clear" w:color="auto" w:fill="F2F9F8"/>
          </w:tcPr>
          <w:p>
            <w:pPr>
              <w:pStyle w:val="Compact"/>
              <w:spacing w:after="20" w:before="20" w:line="240" w:lineRule="auto"/>
              <w:jc w:val="left"/>
            </w:pPr>
            <w:r>
              <w:rPr>
                <w:sz w:val="17"/>
              </w:rPr>
              <w:t xml:space="preserve">Assisté</w:t>
            </w:r>
          </w:p>
        </w:tc>
        <w:tc>
          <w:tcPr>
            <w:shd w:val="clear" w:color="auto" w:fill="F2F9F8"/>
          </w:tcPr>
          <w:p>
            <w:pPr>
              <w:pStyle w:val="Compact"/>
              <w:spacing w:after="20" w:before="20" w:line="240" w:lineRule="auto"/>
              <w:jc w:val="left"/>
            </w:pPr>
            <w:r>
              <w:rPr>
                <w:sz w:val="17"/>
              </w:rPr>
              <w:t xml:space="preserve">Un agent ou un guichetier génère la référence et explique</w:t>
            </w:r>
          </w:p>
        </w:tc>
        <w:tc>
          <w:tcPr>
            <w:shd w:val="clear" w:color="auto" w:fill="F2F9F8"/>
          </w:tcPr>
          <w:p>
            <w:pPr>
              <w:pStyle w:val="Compact"/>
              <w:spacing w:after="20" w:before="20" w:line="240" w:lineRule="auto"/>
              <w:jc w:val="left"/>
            </w:pPr>
            <w:r>
              <w:rPr>
                <w:sz w:val="17"/>
              </w:rPr>
              <w:t xml:space="preserve">Le contribuable, sur son propre téléphone ou auprès d’un point de paiement agréé</w:t>
            </w:r>
          </w:p>
        </w:tc>
        <w:tc>
          <w:tcPr>
            <w:shd w:val="clear" w:color="auto" w:fill="F2F9F8"/>
          </w:tcPr>
          <w:p>
            <w:pPr>
              <w:pStyle w:val="Compact"/>
              <w:spacing w:after="20" w:before="20" w:line="240" w:lineRule="auto"/>
              <w:jc w:val="left"/>
            </w:pPr>
            <w:r>
              <w:rPr>
                <w:sz w:val="17"/>
              </w:rPr>
              <w:t xml:space="preserve">Directement au compte public désigné</w:t>
            </w:r>
          </w:p>
        </w:tc>
        <w:tc>
          <w:tcPr>
            <w:shd w:val="clear" w:color="auto" w:fill="F2F9F8"/>
          </w:tcPr>
          <w:p>
            <w:pPr>
              <w:pStyle w:val="Compact"/>
              <w:spacing w:after="20" w:before="20" w:line="240" w:lineRule="auto"/>
              <w:jc w:val="left"/>
            </w:pPr>
            <w:r>
              <w:rPr>
                <w:sz w:val="17"/>
              </w:rPr>
              <w:t xml:space="preserve">Informer, générer la référence ; jamais recevoir de fonds</w:t>
            </w:r>
          </w:p>
        </w:tc>
      </w:tr>
      <w:tr>
        <w:tc>
          <w:tcPr/>
          <w:p>
            <w:pPr>
              <w:pStyle w:val="Compact"/>
              <w:spacing w:after="20" w:before="20" w:line="240" w:lineRule="auto"/>
              <w:jc w:val="left"/>
            </w:pPr>
            <w:r>
              <w:rPr>
                <w:sz w:val="17"/>
              </w:rPr>
              <w:t xml:space="preserve">Au guichet</w:t>
            </w:r>
          </w:p>
        </w:tc>
        <w:tc>
          <w:tcPr/>
          <w:p>
            <w:pPr>
              <w:pStyle w:val="Compact"/>
              <w:spacing w:after="20" w:before="20" w:line="240" w:lineRule="auto"/>
              <w:jc w:val="left"/>
            </w:pPr>
            <w:r>
              <w:rPr>
                <w:sz w:val="17"/>
              </w:rPr>
              <w:t xml:space="preserve">Le contribuable présente sa carte, son avis ou la plaque de l’objet</w:t>
            </w:r>
          </w:p>
        </w:tc>
        <w:tc>
          <w:tcPr/>
          <w:p>
            <w:pPr>
              <w:pStyle w:val="Compact"/>
              <w:spacing w:after="20" w:before="20" w:line="240" w:lineRule="auto"/>
              <w:jc w:val="left"/>
            </w:pPr>
            <w:r>
              <w:rPr>
                <w:sz w:val="17"/>
              </w:rPr>
              <w:t xml:space="preserve">Le contribuable, en espèces ou par carte, auprès d’un point de paiement agréé</w:t>
            </w:r>
          </w:p>
        </w:tc>
        <w:tc>
          <w:tcPr/>
          <w:p>
            <w:pPr>
              <w:pStyle w:val="Compact"/>
              <w:spacing w:after="20" w:before="20" w:line="240" w:lineRule="auto"/>
              <w:jc w:val="left"/>
            </w:pPr>
            <w:r>
              <w:rPr>
                <w:sz w:val="17"/>
              </w:rPr>
              <w:t xml:space="preserve">Du point de paiement au compte public, dans le délai contractuel</w:t>
            </w:r>
          </w:p>
        </w:tc>
        <w:tc>
          <w:tcPr/>
          <w:p>
            <w:pPr>
              <w:pStyle w:val="Compact"/>
              <w:spacing w:after="20" w:before="20" w:line="240" w:lineRule="auto"/>
              <w:jc w:val="left"/>
            </w:pPr>
            <w:r>
              <w:rPr>
                <w:sz w:val="17"/>
              </w:rPr>
              <w:t xml:space="preserve">Aucun</w:t>
            </w:r>
          </w:p>
        </w:tc>
      </w:tr>
    </w:tbl>
    <w:bookmarkEnd w:id="191"/>
    <w:bookmarkStart w:id="192" w:name="Xfb3161b99100196faac108343d0ad3063759e6c"/>
    <w:p>
      <w:pPr>
        <w:pStyle w:val="Heading2"/>
      </w:pPr>
      <w:r>
        <w:t xml:space="preserve">18A.2 Où payer : le réseau des points de paiement agréés</w:t>
      </w:r>
    </w:p>
    <w:p>
      <w:pPr>
        <w:pStyle w:val="Compact"/>
        <w:numPr>
          <w:ilvl w:val="0"/>
          <w:numId w:val="1051"/>
        </w:numPr>
      </w:pPr>
      <w:r>
        <w:t xml:space="preserve">Téléphone du contribuable : Mobile Money de tous les opérateurs agréés, par application ou USSD.</w:t>
      </w:r>
    </w:p>
    <w:p>
      <w:pPr>
        <w:pStyle w:val="Compact"/>
        <w:numPr>
          <w:ilvl w:val="0"/>
          <w:numId w:val="1051"/>
        </w:numPr>
      </w:pPr>
      <w:r>
        <w:t xml:space="preserve">Agents Mobile Money de quartier, agréés par leur opérateur et référencés dans MOSOLO.</w:t>
      </w:r>
    </w:p>
    <w:p>
      <w:pPr>
        <w:pStyle w:val="Compact"/>
        <w:numPr>
          <w:ilvl w:val="0"/>
          <w:numId w:val="1051"/>
        </w:numPr>
      </w:pPr>
      <w:r>
        <w:t xml:space="preserve">Agences bancaires partenaires.</w:t>
      </w:r>
    </w:p>
    <w:p>
      <w:pPr>
        <w:pStyle w:val="Compact"/>
        <w:numPr>
          <w:ilvl w:val="0"/>
          <w:numId w:val="1051"/>
        </w:numPr>
      </w:pPr>
      <w:r>
        <w:t xml:space="preserve">Guichets bancaires installés dans les guichets MOSOLO communaux.</w:t>
      </w:r>
    </w:p>
    <w:p>
      <w:pPr>
        <w:pStyle w:val="Compact"/>
        <w:numPr>
          <w:ilvl w:val="0"/>
          <w:numId w:val="1051"/>
        </w:numPr>
      </w:pPr>
      <w:r>
        <w:t xml:space="preserve">Terminaux de paiement opérés par des prestataires habilités par la Banque Centrale du Congo.</w:t>
      </w:r>
    </w:p>
    <w:p>
      <w:pPr>
        <w:pStyle w:val="Compact"/>
        <w:numPr>
          <w:ilvl w:val="0"/>
          <w:numId w:val="1051"/>
        </w:numPr>
      </w:pPr>
      <w:r>
        <w:t xml:space="preserve">Paiement par carte en ligne pour la diaspora.</w:t>
      </w:r>
    </w:p>
    <w:p>
      <w:pPr>
        <w:pStyle w:val="FirstParagraph"/>
      </w:pPr>
      <w:r>
        <w:t xml:space="preserve">Chaque point de paiement est référencé avec sa localisation, son opérateur, ses horaires et son statut ; la liste est consultable par SMS, au SVI, sur l’avis imprimé et sur le portail. Un point de paiement non référencé ne peut pas émettre de preuve valable.</w:t>
      </w:r>
    </w:p>
    <w:bookmarkEnd w:id="192"/>
    <w:bookmarkStart w:id="193" w:name="a.3-étapes-dun-paiement"/>
    <w:p>
      <w:pPr>
        <w:pStyle w:val="Heading2"/>
      </w:pPr>
      <w:r>
        <w:t xml:space="preserve">18A.3 Étapes d’un paiement</w:t>
      </w:r>
    </w:p>
    <w:p>
      <w:pPr>
        <w:pStyle w:val="Compact"/>
        <w:numPr>
          <w:ilvl w:val="0"/>
          <w:numId w:val="1052"/>
        </w:numPr>
      </w:pPr>
      <w:r>
        <w:rPr>
          <w:b/>
          <w:bCs/>
        </w:rPr>
        <w:t xml:space="preserve">Obligation</w:t>
      </w:r>
      <w:r>
        <w:t xml:space="preserve"> </w:t>
      </w:r>
      <w:r>
        <w:t xml:space="preserve">liquidée sur règle publiée ; montant et échéance fixés par le système.</w:t>
      </w:r>
    </w:p>
    <w:p>
      <w:pPr>
        <w:pStyle w:val="Compact"/>
        <w:numPr>
          <w:ilvl w:val="0"/>
          <w:numId w:val="1052"/>
        </w:numPr>
      </w:pPr>
      <w:r>
        <w:rPr>
          <w:b/>
          <w:bCs/>
        </w:rPr>
        <w:t xml:space="preserve">Référence de paiement</w:t>
      </w:r>
      <w:r>
        <w:t xml:space="preserve"> </w:t>
      </w:r>
      <w:r>
        <w:t xml:space="preserve">unique, liée à l’obligation, au montant, à la devise et à une date d’expiration, avec chiffre de contrôle ; imprimée sur l’avis, envoyée par SMS, lisible par QR.</w:t>
      </w:r>
    </w:p>
    <w:p>
      <w:pPr>
        <w:pStyle w:val="Compact"/>
        <w:numPr>
          <w:ilvl w:val="0"/>
          <w:numId w:val="1052"/>
        </w:numPr>
      </w:pPr>
      <w:r>
        <w:rPr>
          <w:b/>
          <w:bCs/>
        </w:rPr>
        <w:t xml:space="preserve">Paiement</w:t>
      </w:r>
      <w:r>
        <w:t xml:space="preserve"> </w:t>
      </w:r>
      <w:r>
        <w:t xml:space="preserve">par le canal choisi ; le point de paiement ne saisit que la référence : le montant s’affiche et ne peut pas être modifié.</w:t>
      </w:r>
    </w:p>
    <w:p>
      <w:pPr>
        <w:pStyle w:val="Compact"/>
        <w:numPr>
          <w:ilvl w:val="0"/>
          <w:numId w:val="1052"/>
        </w:numPr>
      </w:pPr>
      <w:r>
        <w:rPr>
          <w:b/>
          <w:bCs/>
        </w:rPr>
        <w:t xml:space="preserve">Confirmation</w:t>
      </w:r>
      <w:r>
        <w:t xml:space="preserve"> </w:t>
      </w:r>
      <w:r>
        <w:t xml:space="preserve">serveur à serveur signée par le prestataire ; rejet des rappels non signés, rejoués ou hors délai.</w:t>
      </w:r>
    </w:p>
    <w:p>
      <w:pPr>
        <w:pStyle w:val="Compact"/>
        <w:numPr>
          <w:ilvl w:val="0"/>
          <w:numId w:val="1052"/>
        </w:numPr>
      </w:pPr>
      <w:r>
        <w:rPr>
          <w:b/>
          <w:bCs/>
        </w:rPr>
        <w:t xml:space="preserve">Numéro de quittance</w:t>
      </w:r>
      <w:r>
        <w:t xml:space="preserve"> </w:t>
      </w:r>
      <w:r>
        <w:t xml:space="preserve">généré exclusivement par MOSOLO, jamais par le point de paiement ni par un agent.</w:t>
      </w:r>
    </w:p>
    <w:p>
      <w:pPr>
        <w:pStyle w:val="Compact"/>
        <w:numPr>
          <w:ilvl w:val="0"/>
          <w:numId w:val="1052"/>
        </w:numPr>
      </w:pPr>
      <w:r>
        <w:rPr>
          <w:b/>
          <w:bCs/>
        </w:rPr>
        <w:t xml:space="preserve">Remise de la preuve</w:t>
      </w:r>
      <w:r>
        <w:t xml:space="preserve"> </w:t>
      </w:r>
      <w:r>
        <w:t xml:space="preserve">sur tous les canaux disponibles (§ 18A.4).</w:t>
      </w:r>
    </w:p>
    <w:p>
      <w:pPr>
        <w:pStyle w:val="Compact"/>
        <w:numPr>
          <w:ilvl w:val="0"/>
          <w:numId w:val="1052"/>
        </w:numPr>
      </w:pPr>
      <w:r>
        <w:rPr>
          <w:b/>
          <w:bCs/>
        </w:rPr>
        <w:t xml:space="preserve">Règlement</w:t>
      </w:r>
      <w:r>
        <w:t xml:space="preserve"> </w:t>
      </w:r>
      <w:r>
        <w:t xml:space="preserve">des fonds au compte public,</w:t>
      </w:r>
      <w:r>
        <w:t xml:space="preserve"> </w:t>
      </w:r>
      <w:r>
        <w:rPr>
          <w:b/>
          <w:bCs/>
        </w:rPr>
        <w:t xml:space="preserve">rapprochement</w:t>
      </w:r>
      <w:r>
        <w:t xml:space="preserve"> </w:t>
      </w:r>
      <w:r>
        <w:t xml:space="preserve">quotidien, bascule de la quittance au statut définitif (§ 18.6).</w:t>
      </w:r>
    </w:p>
    <w:p>
      <w:pPr>
        <w:pStyle w:val="Compact"/>
        <w:numPr>
          <w:ilvl w:val="0"/>
          <w:numId w:val="1052"/>
        </w:numPr>
      </w:pPr>
      <w:r>
        <w:rPr>
          <w:b/>
          <w:bCs/>
        </w:rPr>
        <w:t xml:space="preserve">Mise à jour du statut</w:t>
      </w:r>
      <w:r>
        <w:t xml:space="preserve"> </w:t>
      </w:r>
      <w:r>
        <w:t xml:space="preserve">de l’objet : la plaque QR renvoie « payé pour la période ».</w:t>
      </w:r>
    </w:p>
    <w:bookmarkEnd w:id="193"/>
    <w:bookmarkStart w:id="194" w:name="a.4-la-preuve-de-paiement"/>
    <w:p>
      <w:pPr>
        <w:pStyle w:val="Heading2"/>
      </w:pPr>
      <w:r>
        <w:t xml:space="preserve">18A.4 La preuve de paiement</w:t>
      </w:r>
    </w:p>
    <w:p>
      <w:pPr>
        <w:pStyle w:val="FirstParagraph"/>
      </w:pPr>
      <w:r>
        <w:t xml:space="preserve">Chaque paiement produit, au minimum :</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Forme</w:t>
            </w:r>
          </w:p>
        </w:tc>
        <w:tc>
          <w:tcPr>
            <w:shd w:val="clear" w:color="auto" w:fill="1BA996"/>
          </w:tcPr>
          <w:p>
            <w:pPr>
              <w:pStyle w:val="Compact"/>
              <w:spacing w:after="20" w:before="20" w:line="240" w:lineRule="auto"/>
              <w:jc w:val="left"/>
            </w:pPr>
            <w:r>
              <w:rPr>
                <w:b/>
                <w:color w:val="FFFFFF"/>
                <w:sz w:val="17"/>
              </w:rPr>
              <w:t xml:space="preserve">Pour qui</w:t>
            </w:r>
          </w:p>
        </w:tc>
        <w:tc>
          <w:tcPr>
            <w:shd w:val="clear" w:color="auto" w:fill="1BA996"/>
          </w:tcPr>
          <w:p>
            <w:pPr>
              <w:pStyle w:val="Compact"/>
              <w:spacing w:after="20" w:before="20" w:line="240" w:lineRule="auto"/>
              <w:jc w:val="left"/>
            </w:pPr>
            <w:r>
              <w:rPr>
                <w:b/>
                <w:color w:val="FFFFFF"/>
                <w:sz w:val="17"/>
              </w:rPr>
              <w:t xml:space="preserve">Contenu</w:t>
            </w:r>
          </w:p>
        </w:tc>
      </w:tr>
      <w:tr>
        <w:tc>
          <w:tcPr/>
          <w:p>
            <w:pPr>
              <w:pStyle w:val="Compact"/>
              <w:spacing w:after="20" w:before="20" w:line="240" w:lineRule="auto"/>
              <w:jc w:val="left"/>
            </w:pPr>
            <w:r>
              <w:rPr>
                <w:sz w:val="17"/>
              </w:rPr>
              <w:t xml:space="preserve">SMS de quittance</w:t>
            </w:r>
          </w:p>
        </w:tc>
        <w:tc>
          <w:tcPr/>
          <w:p>
            <w:pPr>
              <w:pStyle w:val="Compact"/>
              <w:spacing w:after="20" w:before="20" w:line="240" w:lineRule="auto"/>
              <w:jc w:val="left"/>
            </w:pPr>
            <w:r>
              <w:rPr>
                <w:sz w:val="17"/>
              </w:rPr>
              <w:t xml:space="preserve">Tout téléphone</w:t>
            </w:r>
          </w:p>
        </w:tc>
        <w:tc>
          <w:tcPr/>
          <w:p>
            <w:pPr>
              <w:pStyle w:val="Compact"/>
              <w:spacing w:after="20" w:before="20" w:line="240" w:lineRule="auto"/>
              <w:jc w:val="left"/>
            </w:pPr>
            <w:r>
              <w:rPr>
                <w:sz w:val="17"/>
              </w:rPr>
              <w:t xml:space="preserve">Numéro de quittance, montant, objet, période, code de vérification court</w:t>
            </w:r>
          </w:p>
        </w:tc>
      </w:tr>
      <w:tr>
        <w:tc>
          <w:tcPr>
            <w:shd w:val="clear" w:color="auto" w:fill="F2F9F8"/>
          </w:tcPr>
          <w:p>
            <w:pPr>
              <w:pStyle w:val="Compact"/>
              <w:spacing w:after="20" w:before="20" w:line="240" w:lineRule="auto"/>
              <w:jc w:val="left"/>
            </w:pPr>
            <w:r>
              <w:rPr>
                <w:sz w:val="17"/>
              </w:rPr>
              <w:t xml:space="preserve">Quittance imprimée avec QR</w:t>
            </w:r>
          </w:p>
        </w:tc>
        <w:tc>
          <w:tcPr>
            <w:shd w:val="clear" w:color="auto" w:fill="F2F9F8"/>
          </w:tcPr>
          <w:p>
            <w:pPr>
              <w:pStyle w:val="Compact"/>
              <w:spacing w:after="20" w:before="20" w:line="240" w:lineRule="auto"/>
              <w:jc w:val="left"/>
            </w:pPr>
            <w:r>
              <w:rPr>
                <w:sz w:val="17"/>
              </w:rPr>
              <w:t xml:space="preserve">Paiement au guichet ou chez un point agréé</w:t>
            </w:r>
          </w:p>
        </w:tc>
        <w:tc>
          <w:tcPr>
            <w:shd w:val="clear" w:color="auto" w:fill="F2F9F8"/>
          </w:tcPr>
          <w:p>
            <w:pPr>
              <w:pStyle w:val="Compact"/>
              <w:spacing w:after="20" w:before="20" w:line="240" w:lineRule="auto"/>
              <w:jc w:val="left"/>
            </w:pPr>
            <w:r>
              <w:rPr>
                <w:sz w:val="17"/>
              </w:rPr>
              <w:t xml:space="preserve">Contenu complet du § 19, QR signé, pictogrammes</w:t>
            </w:r>
          </w:p>
        </w:tc>
      </w:tr>
      <w:tr>
        <w:tc>
          <w:tcPr/>
          <w:p>
            <w:pPr>
              <w:pStyle w:val="Compact"/>
              <w:spacing w:after="20" w:before="20" w:line="240" w:lineRule="auto"/>
              <w:jc w:val="left"/>
            </w:pPr>
            <w:r>
              <w:rPr>
                <w:sz w:val="17"/>
              </w:rPr>
              <w:t xml:space="preserve">Quittance électronique (PDF)</w:t>
            </w:r>
          </w:p>
        </w:tc>
        <w:tc>
          <w:tcPr/>
          <w:p>
            <w:pPr>
              <w:pStyle w:val="Compact"/>
              <w:spacing w:after="20" w:before="20" w:line="240" w:lineRule="auto"/>
              <w:jc w:val="left"/>
            </w:pPr>
            <w:r>
              <w:rPr>
                <w:sz w:val="17"/>
              </w:rPr>
              <w:t xml:space="preserve">Application, portail, courriel</w:t>
            </w:r>
          </w:p>
        </w:tc>
        <w:tc>
          <w:tcPr/>
          <w:p>
            <w:pPr>
              <w:pStyle w:val="Compact"/>
              <w:spacing w:after="20" w:before="20" w:line="240" w:lineRule="auto"/>
              <w:jc w:val="left"/>
            </w:pPr>
            <w:r>
              <w:rPr>
                <w:sz w:val="17"/>
              </w:rPr>
              <w:t xml:space="preserve">Contenu complet du § 19, signature électronique</w:t>
            </w:r>
          </w:p>
        </w:tc>
      </w:tr>
      <w:tr>
        <w:tc>
          <w:tcPr>
            <w:shd w:val="clear" w:color="auto" w:fill="F2F9F8"/>
          </w:tcPr>
          <w:p>
            <w:pPr>
              <w:pStyle w:val="Compact"/>
              <w:spacing w:after="20" w:before="20" w:line="240" w:lineRule="auto"/>
              <w:jc w:val="left"/>
            </w:pPr>
            <w:r>
              <w:rPr>
                <w:sz w:val="17"/>
              </w:rPr>
              <w:t xml:space="preserve">Confirmation vocale</w:t>
            </w:r>
          </w:p>
        </w:tc>
        <w:tc>
          <w:tcPr>
            <w:shd w:val="clear" w:color="auto" w:fill="F2F9F8"/>
          </w:tcPr>
          <w:p>
            <w:pPr>
              <w:pStyle w:val="Compact"/>
              <w:spacing w:after="20" w:before="20" w:line="240" w:lineRule="auto"/>
              <w:jc w:val="left"/>
            </w:pPr>
            <w:r>
              <w:rPr>
                <w:sz w:val="17"/>
              </w:rPr>
              <w:t xml:space="preserve">Utilisateurs du SVI</w:t>
            </w:r>
          </w:p>
        </w:tc>
        <w:tc>
          <w:tcPr>
            <w:shd w:val="clear" w:color="auto" w:fill="F2F9F8"/>
          </w:tcPr>
          <w:p>
            <w:pPr>
              <w:pStyle w:val="Compact"/>
              <w:spacing w:after="20" w:before="20" w:line="240" w:lineRule="auto"/>
              <w:jc w:val="left"/>
            </w:pPr>
            <w:r>
              <w:rPr>
                <w:sz w:val="17"/>
              </w:rPr>
              <w:t xml:space="preserve">Montant, objet, période, numéro de quittance lus à voix haute</w:t>
            </w:r>
          </w:p>
        </w:tc>
      </w:tr>
      <w:tr>
        <w:tc>
          <w:tcPr/>
          <w:p>
            <w:pPr>
              <w:pStyle w:val="Compact"/>
              <w:spacing w:after="20" w:before="20" w:line="240" w:lineRule="auto"/>
              <w:jc w:val="left"/>
            </w:pPr>
            <w:r>
              <w:rPr>
                <w:sz w:val="17"/>
              </w:rPr>
              <w:t xml:space="preserve">Statut de l’objet</w:t>
            </w:r>
          </w:p>
        </w:tc>
        <w:tc>
          <w:tcPr/>
          <w:p>
            <w:pPr>
              <w:pStyle w:val="Compact"/>
              <w:spacing w:after="20" w:before="20" w:line="240" w:lineRule="auto"/>
              <w:jc w:val="left"/>
            </w:pPr>
            <w:r>
              <w:rPr>
                <w:sz w:val="17"/>
              </w:rPr>
              <w:t xml:space="preserve">Tout contrôleur, tout citoyen</w:t>
            </w:r>
          </w:p>
        </w:tc>
        <w:tc>
          <w:tcPr/>
          <w:p>
            <w:pPr>
              <w:pStyle w:val="Compact"/>
              <w:spacing w:after="20" w:before="20" w:line="240" w:lineRule="auto"/>
              <w:jc w:val="left"/>
            </w:pPr>
            <w:r>
              <w:rPr>
                <w:sz w:val="17"/>
              </w:rPr>
              <w:t xml:space="preserve">Plaque QR de l’objet : « payé » ou « non payé » pour la période</w:t>
            </w:r>
          </w:p>
        </w:tc>
      </w:tr>
      <w:tr>
        <w:tc>
          <w:tcPr>
            <w:shd w:val="clear" w:color="auto" w:fill="F2F9F8"/>
          </w:tcPr>
          <w:p>
            <w:pPr>
              <w:pStyle w:val="Compact"/>
              <w:spacing w:after="20" w:before="20" w:line="240" w:lineRule="auto"/>
              <w:jc w:val="left"/>
            </w:pPr>
            <w:r>
              <w:rPr>
                <w:sz w:val="17"/>
              </w:rPr>
              <w:t xml:space="preserve">Historique du compte</w:t>
            </w:r>
          </w:p>
        </w:tc>
        <w:tc>
          <w:tcPr>
            <w:shd w:val="clear" w:color="auto" w:fill="F2F9F8"/>
          </w:tcPr>
          <w:p>
            <w:pPr>
              <w:pStyle w:val="Compact"/>
              <w:spacing w:after="20" w:before="20" w:line="240" w:lineRule="auto"/>
              <w:jc w:val="left"/>
            </w:pPr>
            <w:r>
              <w:rPr>
                <w:sz w:val="17"/>
              </w:rPr>
              <w:t xml:space="preserve">Contribuable, mandataire</w:t>
            </w:r>
          </w:p>
        </w:tc>
        <w:tc>
          <w:tcPr>
            <w:shd w:val="clear" w:color="auto" w:fill="F2F9F8"/>
          </w:tcPr>
          <w:p>
            <w:pPr>
              <w:pStyle w:val="Compact"/>
              <w:spacing w:after="20" w:before="20" w:line="240" w:lineRule="auto"/>
              <w:jc w:val="left"/>
            </w:pPr>
            <w:r>
              <w:rPr>
                <w:sz w:val="17"/>
              </w:rPr>
              <w:t xml:space="preserve">Toutes les quittances, téléchargeables à tout moment</w:t>
            </w:r>
          </w:p>
        </w:tc>
      </w:tr>
    </w:tbl>
    <w:bookmarkEnd w:id="194"/>
    <w:bookmarkStart w:id="195" w:name="Xa2ac975d72f535b0aa9c247106d3b61855b4eb1"/>
    <w:p>
      <w:pPr>
        <w:pStyle w:val="Heading2"/>
      </w:pPr>
      <w:r>
        <w:t xml:space="preserve">18A.5 Ce qui est vérifié, par qui et comment</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Vérificateur</w:t>
            </w:r>
          </w:p>
        </w:tc>
        <w:tc>
          <w:tcPr>
            <w:shd w:val="clear" w:color="auto" w:fill="1BA996"/>
          </w:tcPr>
          <w:p>
            <w:pPr>
              <w:pStyle w:val="Compact"/>
              <w:spacing w:after="20" w:before="20" w:line="240" w:lineRule="auto"/>
              <w:jc w:val="left"/>
            </w:pPr>
            <w:r>
              <w:rPr>
                <w:b/>
                <w:color w:val="FFFFFF"/>
                <w:sz w:val="17"/>
              </w:rPr>
              <w:t xml:space="preserve">Comment</w:t>
            </w:r>
          </w:p>
        </w:tc>
        <w:tc>
          <w:tcPr>
            <w:shd w:val="clear" w:color="auto" w:fill="1BA996"/>
          </w:tcPr>
          <w:p>
            <w:pPr>
              <w:pStyle w:val="Compact"/>
              <w:spacing w:after="20" w:before="20" w:line="240" w:lineRule="auto"/>
              <w:jc w:val="left"/>
            </w:pPr>
            <w:r>
              <w:rPr>
                <w:b/>
                <w:color w:val="FFFFFF"/>
                <w:sz w:val="17"/>
              </w:rPr>
              <w:t xml:space="preserve">Ce qui est vérifié</w:t>
            </w:r>
          </w:p>
        </w:tc>
      </w:tr>
      <w:tr>
        <w:tc>
          <w:tcPr/>
          <w:p>
            <w:pPr>
              <w:pStyle w:val="Compact"/>
              <w:spacing w:after="20" w:before="20" w:line="240" w:lineRule="auto"/>
              <w:jc w:val="left"/>
            </w:pPr>
            <w:r>
              <w:rPr>
                <w:sz w:val="17"/>
              </w:rPr>
              <w:t xml:space="preserve">Contribuable</w:t>
            </w:r>
          </w:p>
        </w:tc>
        <w:tc>
          <w:tcPr/>
          <w:p>
            <w:pPr>
              <w:pStyle w:val="Compact"/>
              <w:spacing w:after="20" w:before="20" w:line="240" w:lineRule="auto"/>
              <w:jc w:val="left"/>
            </w:pPr>
            <w:r>
              <w:rPr>
                <w:sz w:val="17"/>
              </w:rPr>
              <w:t xml:space="preserve">SMS du code au numéro court, USSD, SVI, scan du QR</w:t>
            </w:r>
          </w:p>
        </w:tc>
        <w:tc>
          <w:tcPr/>
          <w:p>
            <w:pPr>
              <w:pStyle w:val="Compact"/>
              <w:spacing w:after="20" w:before="20" w:line="240" w:lineRule="auto"/>
              <w:jc w:val="left"/>
            </w:pPr>
            <w:r>
              <w:rPr>
                <w:sz w:val="17"/>
              </w:rPr>
              <w:t xml:space="preserve">Existence de la quittance, montant, objet, période, statut</w:t>
            </w:r>
          </w:p>
        </w:tc>
      </w:tr>
      <w:tr>
        <w:tc>
          <w:tcPr>
            <w:shd w:val="clear" w:color="auto" w:fill="F2F9F8"/>
          </w:tcPr>
          <w:p>
            <w:pPr>
              <w:pStyle w:val="Compact"/>
              <w:spacing w:after="20" w:before="20" w:line="240" w:lineRule="auto"/>
              <w:jc w:val="left"/>
            </w:pPr>
            <w:r>
              <w:rPr>
                <w:sz w:val="17"/>
              </w:rPr>
              <w:t xml:space="preserve">Contrôleur terrain</w:t>
            </w:r>
          </w:p>
        </w:tc>
        <w:tc>
          <w:tcPr>
            <w:shd w:val="clear" w:color="auto" w:fill="F2F9F8"/>
          </w:tcPr>
          <w:p>
            <w:pPr>
              <w:pStyle w:val="Compact"/>
              <w:spacing w:after="20" w:before="20" w:line="240" w:lineRule="auto"/>
              <w:jc w:val="left"/>
            </w:pPr>
            <w:r>
              <w:rPr>
                <w:sz w:val="17"/>
              </w:rPr>
              <w:t xml:space="preserve">Scan de la plaque de l’objet, hors ligne avec statut minimal</w:t>
            </w:r>
          </w:p>
        </w:tc>
        <w:tc>
          <w:tcPr>
            <w:shd w:val="clear" w:color="auto" w:fill="F2F9F8"/>
          </w:tcPr>
          <w:p>
            <w:pPr>
              <w:pStyle w:val="Compact"/>
              <w:spacing w:after="20" w:before="20" w:line="240" w:lineRule="auto"/>
              <w:jc w:val="left"/>
            </w:pPr>
            <w:r>
              <w:rPr>
                <w:sz w:val="17"/>
              </w:rPr>
              <w:t xml:space="preserve">Statut de paiement de l’objet pour la période, sans se fier au papier</w:t>
            </w:r>
          </w:p>
        </w:tc>
      </w:tr>
      <w:tr>
        <w:tc>
          <w:tcPr/>
          <w:p>
            <w:pPr>
              <w:pStyle w:val="Compact"/>
              <w:spacing w:after="20" w:before="20" w:line="240" w:lineRule="auto"/>
              <w:jc w:val="left"/>
            </w:pPr>
            <w:r>
              <w:rPr>
                <w:sz w:val="17"/>
              </w:rPr>
              <w:t xml:space="preserve">Guichet, banque, administration délivrant un service</w:t>
            </w:r>
          </w:p>
        </w:tc>
        <w:tc>
          <w:tcPr/>
          <w:p>
            <w:pPr>
              <w:pStyle w:val="Compact"/>
              <w:spacing w:after="20" w:before="20" w:line="240" w:lineRule="auto"/>
              <w:jc w:val="left"/>
            </w:pPr>
            <w:r>
              <w:rPr>
                <w:sz w:val="17"/>
              </w:rPr>
              <w:t xml:space="preserve">Scan du QR ou saisie du code</w:t>
            </w:r>
          </w:p>
        </w:tc>
        <w:tc>
          <w:tcPr/>
          <w:p>
            <w:pPr>
              <w:pStyle w:val="Compact"/>
              <w:spacing w:after="20" w:before="20" w:line="240" w:lineRule="auto"/>
              <w:jc w:val="left"/>
            </w:pPr>
            <w:r>
              <w:rPr>
                <w:sz w:val="17"/>
              </w:rPr>
              <w:t xml:space="preserve">Validité de la quittance et du quitus fiscal</w:t>
            </w:r>
          </w:p>
        </w:tc>
      </w:tr>
      <w:tr>
        <w:tc>
          <w:tcPr>
            <w:shd w:val="clear" w:color="auto" w:fill="F2F9F8"/>
          </w:tcPr>
          <w:p>
            <w:pPr>
              <w:pStyle w:val="Compact"/>
              <w:spacing w:after="20" w:before="20" w:line="240" w:lineRule="auto"/>
              <w:jc w:val="left"/>
            </w:pPr>
            <w:r>
              <w:rPr>
                <w:sz w:val="17"/>
              </w:rPr>
              <w:t xml:space="preserve">Trésorerie</w:t>
            </w:r>
          </w:p>
        </w:tc>
        <w:tc>
          <w:tcPr>
            <w:shd w:val="clear" w:color="auto" w:fill="F2F9F8"/>
          </w:tcPr>
          <w:p>
            <w:pPr>
              <w:pStyle w:val="Compact"/>
              <w:spacing w:after="20" w:before="20" w:line="240" w:lineRule="auto"/>
              <w:jc w:val="left"/>
            </w:pPr>
            <w:r>
              <w:rPr>
                <w:sz w:val="17"/>
              </w:rPr>
              <w:t xml:space="preserve">Rapprochement quotidien</w:t>
            </w:r>
          </w:p>
        </w:tc>
        <w:tc>
          <w:tcPr>
            <w:shd w:val="clear" w:color="auto" w:fill="F2F9F8"/>
          </w:tcPr>
          <w:p>
            <w:pPr>
              <w:pStyle w:val="Compact"/>
              <w:spacing w:after="20" w:before="20" w:line="240" w:lineRule="auto"/>
              <w:jc w:val="left"/>
            </w:pPr>
            <w:r>
              <w:rPr>
                <w:sz w:val="17"/>
              </w:rPr>
              <w:t xml:space="preserve">Correspondance quittance ↔ paiement ↔ règlement ↔ écriture</w:t>
            </w:r>
          </w:p>
        </w:tc>
      </w:tr>
      <w:tr>
        <w:tc>
          <w:tcPr/>
          <w:p>
            <w:pPr>
              <w:pStyle w:val="Compact"/>
              <w:spacing w:after="20" w:before="20" w:line="240" w:lineRule="auto"/>
              <w:jc w:val="left"/>
            </w:pPr>
            <w:r>
              <w:rPr>
                <w:sz w:val="17"/>
              </w:rPr>
              <w:t xml:space="preserve">Auditeur</w:t>
            </w:r>
          </w:p>
        </w:tc>
        <w:tc>
          <w:tcPr/>
          <w:p>
            <w:pPr>
              <w:pStyle w:val="Compact"/>
              <w:spacing w:after="20" w:before="20" w:line="240" w:lineRule="auto"/>
              <w:jc w:val="left"/>
            </w:pPr>
            <w:r>
              <w:rPr>
                <w:sz w:val="17"/>
              </w:rPr>
              <w:t xml:space="preserve">Piste d’audit complète</w:t>
            </w:r>
          </w:p>
        </w:tc>
        <w:tc>
          <w:tcPr/>
          <w:p>
            <w:pPr>
              <w:pStyle w:val="Compact"/>
              <w:spacing w:after="20" w:before="20" w:line="240" w:lineRule="auto"/>
              <w:jc w:val="left"/>
            </w:pPr>
            <w:r>
              <w:rPr>
                <w:sz w:val="17"/>
              </w:rPr>
              <w:t xml:space="preserve">Chaîne intégrale, auteurs, horodatages, corrections</w:t>
            </w:r>
          </w:p>
        </w:tc>
      </w:tr>
    </w:tbl>
    <w:bookmarkEnd w:id="195"/>
    <w:bookmarkStart w:id="196" w:name="a.6-authenticité-de-la-preuve"/>
    <w:p>
      <w:pPr>
        <w:pStyle w:val="Heading2"/>
      </w:pPr>
      <w:r>
        <w:t xml:space="preserve">18A.6 Authenticité de la preuve</w:t>
      </w:r>
    </w:p>
    <w:p>
      <w:pPr>
        <w:pStyle w:val="Compact"/>
        <w:numPr>
          <w:ilvl w:val="0"/>
          <w:numId w:val="1053"/>
        </w:numPr>
      </w:pPr>
      <w:r>
        <w:rPr>
          <w:b/>
          <w:bCs/>
        </w:rPr>
        <w:t xml:space="preserve">Seul le système émet un numéro de quittance</w:t>
      </w:r>
      <w:r>
        <w:t xml:space="preserve">, et seulement après confirmation serveur à serveur ; aucun agent, point de paiement ou sous-traitant ne peut en créer.</w:t>
      </w:r>
    </w:p>
    <w:p>
      <w:pPr>
        <w:pStyle w:val="Compact"/>
        <w:numPr>
          <w:ilvl w:val="0"/>
          <w:numId w:val="1053"/>
        </w:numPr>
      </w:pPr>
      <w:r>
        <w:rPr>
          <w:b/>
          <w:bCs/>
        </w:rPr>
        <w:t xml:space="preserve">Le QR ne contient pas les données</w:t>
      </w:r>
      <w:r>
        <w:t xml:space="preserve"> </w:t>
      </w:r>
      <w:r>
        <w:t xml:space="preserve">de la quittance mais un jeton signé qui renvoie à la vérification en ligne ; le copier ou le modifier ne produit qu’un résultat « invalide ».</w:t>
      </w:r>
    </w:p>
    <w:p>
      <w:pPr>
        <w:pStyle w:val="Compact"/>
        <w:numPr>
          <w:ilvl w:val="0"/>
          <w:numId w:val="1053"/>
        </w:numPr>
      </w:pPr>
      <w:r>
        <w:rPr>
          <w:b/>
          <w:bCs/>
        </w:rPr>
        <w:t xml:space="preserve">Le code court</w:t>
      </w:r>
      <w:r>
        <w:t xml:space="preserve"> </w:t>
      </w:r>
      <w:r>
        <w:t xml:space="preserve">comporte un chiffre de contrôle ; les vérifications sont limitées en fréquence pour empêcher l’énumération.</w:t>
      </w:r>
    </w:p>
    <w:p>
      <w:pPr>
        <w:pStyle w:val="Compact"/>
        <w:numPr>
          <w:ilvl w:val="0"/>
          <w:numId w:val="1053"/>
        </w:numPr>
      </w:pPr>
      <w:r>
        <w:rPr>
          <w:b/>
          <w:bCs/>
        </w:rPr>
        <w:t xml:space="preserve">Une quittance par paiement</w:t>
      </w:r>
      <w:r>
        <w:t xml:space="preserve"> </w:t>
      </w:r>
      <w:r>
        <w:t xml:space="preserve">; toute réimpression porte la mention « duplicata » et la même référence.</w:t>
      </w:r>
    </w:p>
    <w:p>
      <w:pPr>
        <w:pStyle w:val="Compact"/>
        <w:numPr>
          <w:ilvl w:val="0"/>
          <w:numId w:val="1053"/>
        </w:numPr>
      </w:pPr>
      <w:r>
        <w:rPr>
          <w:b/>
          <w:bCs/>
        </w:rPr>
        <w:t xml:space="preserve">Le papier seul n’a aucune valeur</w:t>
      </w:r>
      <w:r>
        <w:t xml:space="preserve"> </w:t>
      </w:r>
      <w:r>
        <w:t xml:space="preserve">: une quittance qui ne correspond pas à un enregistrement du système est fausse, quelle que soit son apparence.</w:t>
      </w:r>
    </w:p>
    <w:bookmarkEnd w:id="196"/>
    <w:bookmarkStart w:id="197" w:name="a.7-verrouillage-des-fuites-dargent"/>
    <w:p>
      <w:pPr>
        <w:pStyle w:val="Heading2"/>
      </w:pPr>
      <w:r>
        <w:t xml:space="preserve">18A.7 Verrouillage des fuites d’argent</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Fuite</w:t>
            </w:r>
          </w:p>
        </w:tc>
        <w:tc>
          <w:tcPr>
            <w:shd w:val="clear" w:color="auto" w:fill="1BA996"/>
          </w:tcPr>
          <w:p>
            <w:pPr>
              <w:pStyle w:val="Compact"/>
              <w:spacing w:after="20" w:before="20" w:line="240" w:lineRule="auto"/>
              <w:jc w:val="left"/>
            </w:pPr>
            <w:r>
              <w:rPr>
                <w:b/>
                <w:color w:val="FFFFFF"/>
                <w:sz w:val="17"/>
              </w:rPr>
              <w:t xml:space="preserve">Verrou</w:t>
            </w:r>
          </w:p>
        </w:tc>
      </w:tr>
      <w:tr>
        <w:tc>
          <w:tcPr/>
          <w:p>
            <w:pPr>
              <w:pStyle w:val="Compact"/>
              <w:spacing w:after="20" w:before="20" w:line="240" w:lineRule="auto"/>
              <w:jc w:val="left"/>
            </w:pPr>
            <w:r>
              <w:rPr>
                <w:sz w:val="17"/>
              </w:rPr>
              <w:t xml:space="preserve">Agent ou sous-traitant qui encaisse</w:t>
            </w:r>
          </w:p>
        </w:tc>
        <w:tc>
          <w:tcPr/>
          <w:p>
            <w:pPr>
              <w:pStyle w:val="Compact"/>
              <w:spacing w:after="20" w:before="20" w:line="240" w:lineRule="auto"/>
              <w:jc w:val="left"/>
            </w:pPr>
            <w:r>
              <w:rPr>
                <w:sz w:val="17"/>
              </w:rPr>
              <w:t xml:space="preserve">Aucune fonction d’encaissement ; interdiction contractuelle ; signalement ; résiliation et poursuites</w:t>
            </w:r>
          </w:p>
        </w:tc>
      </w:tr>
      <w:tr>
        <w:tc>
          <w:tcPr>
            <w:shd w:val="clear" w:color="auto" w:fill="F2F9F8"/>
          </w:tcPr>
          <w:p>
            <w:pPr>
              <w:pStyle w:val="Compact"/>
              <w:spacing w:after="20" w:before="20" w:line="240" w:lineRule="auto"/>
              <w:jc w:val="left"/>
            </w:pPr>
            <w:r>
              <w:rPr>
                <w:sz w:val="17"/>
              </w:rPr>
              <w:t xml:space="preserve">Faux agent</w:t>
            </w:r>
          </w:p>
        </w:tc>
        <w:tc>
          <w:tcPr>
            <w:shd w:val="clear" w:color="auto" w:fill="F2F9F8"/>
          </w:tcPr>
          <w:p>
            <w:pPr>
              <w:pStyle w:val="Compact"/>
              <w:spacing w:after="20" w:before="20" w:line="240" w:lineRule="auto"/>
              <w:jc w:val="left"/>
            </w:pPr>
            <w:r>
              <w:rPr>
                <w:sz w:val="17"/>
              </w:rPr>
              <w:t xml:space="preserve">Badge vérifiable publiquement (§ 15A.6)</w:t>
            </w:r>
          </w:p>
        </w:tc>
      </w:tr>
      <w:tr>
        <w:tc>
          <w:tcPr/>
          <w:p>
            <w:pPr>
              <w:pStyle w:val="Compact"/>
              <w:spacing w:after="20" w:before="20" w:line="240" w:lineRule="auto"/>
              <w:jc w:val="left"/>
            </w:pPr>
            <w:r>
              <w:rPr>
                <w:sz w:val="17"/>
              </w:rPr>
              <w:t xml:space="preserve">Montant négocié ou « arrangement »</w:t>
            </w:r>
          </w:p>
        </w:tc>
        <w:tc>
          <w:tcPr/>
          <w:p>
            <w:pPr>
              <w:pStyle w:val="Compact"/>
              <w:spacing w:after="20" w:before="20" w:line="240" w:lineRule="auto"/>
              <w:jc w:val="left"/>
            </w:pPr>
            <w:r>
              <w:rPr>
                <w:sz w:val="17"/>
              </w:rPr>
              <w:t xml:space="preserve">Montant fixé par la règle, affiché au point de paiement, non modifiable</w:t>
            </w:r>
          </w:p>
        </w:tc>
      </w:tr>
      <w:tr>
        <w:tc>
          <w:tcPr>
            <w:shd w:val="clear" w:color="auto" w:fill="F2F9F8"/>
          </w:tcPr>
          <w:p>
            <w:pPr>
              <w:pStyle w:val="Compact"/>
              <w:spacing w:after="20" w:before="20" w:line="240" w:lineRule="auto"/>
              <w:jc w:val="left"/>
            </w:pPr>
            <w:r>
              <w:rPr>
                <w:sz w:val="17"/>
              </w:rPr>
              <w:t xml:space="preserve">Fausse quittance</w:t>
            </w:r>
          </w:p>
        </w:tc>
        <w:tc>
          <w:tcPr>
            <w:shd w:val="clear" w:color="auto" w:fill="F2F9F8"/>
          </w:tcPr>
          <w:p>
            <w:pPr>
              <w:pStyle w:val="Compact"/>
              <w:spacing w:after="20" w:before="20" w:line="240" w:lineRule="auto"/>
              <w:jc w:val="left"/>
            </w:pPr>
            <w:r>
              <w:rPr>
                <w:sz w:val="17"/>
              </w:rPr>
              <w:t xml:space="preserve">Numérotation exclusive du système, vérification publique instantanée</w:t>
            </w:r>
          </w:p>
        </w:tc>
      </w:tr>
      <w:tr>
        <w:tc>
          <w:tcPr/>
          <w:p>
            <w:pPr>
              <w:pStyle w:val="Compact"/>
              <w:spacing w:after="20" w:before="20" w:line="240" w:lineRule="auto"/>
              <w:jc w:val="left"/>
            </w:pPr>
            <w:r>
              <w:rPr>
                <w:sz w:val="17"/>
              </w:rPr>
              <w:t xml:space="preserve">Point de paiement qui conserve les fonds</w:t>
            </w:r>
          </w:p>
        </w:tc>
        <w:tc>
          <w:tcPr/>
          <w:p>
            <w:pPr>
              <w:pStyle w:val="Compact"/>
              <w:spacing w:after="20" w:before="20" w:line="240" w:lineRule="auto"/>
              <w:jc w:val="left"/>
            </w:pPr>
            <w:r>
              <w:rPr>
                <w:sz w:val="17"/>
              </w:rPr>
              <w:t xml:space="preserve">Délai contractuel de règlement, rapprochement quotidien, alerte sur tout retard, suspension du point</w:t>
            </w:r>
          </w:p>
        </w:tc>
      </w:tr>
      <w:tr>
        <w:tc>
          <w:tcPr>
            <w:shd w:val="clear" w:color="auto" w:fill="F2F9F8"/>
          </w:tcPr>
          <w:p>
            <w:pPr>
              <w:pStyle w:val="Compact"/>
              <w:spacing w:after="20" w:before="20" w:line="240" w:lineRule="auto"/>
              <w:jc w:val="left"/>
            </w:pPr>
            <w:r>
              <w:rPr>
                <w:sz w:val="17"/>
              </w:rPr>
              <w:t xml:space="preserve">Faux point de paiement</w:t>
            </w:r>
          </w:p>
        </w:tc>
        <w:tc>
          <w:tcPr>
            <w:shd w:val="clear" w:color="auto" w:fill="F2F9F8"/>
          </w:tcPr>
          <w:p>
            <w:pPr>
              <w:pStyle w:val="Compact"/>
              <w:spacing w:after="20" w:before="20" w:line="240" w:lineRule="auto"/>
              <w:jc w:val="left"/>
            </w:pPr>
            <w:r>
              <w:rPr>
                <w:sz w:val="17"/>
              </w:rPr>
              <w:t xml:space="preserve">Seuls les points référencés peuvent émettre une preuve valable</w:t>
            </w:r>
          </w:p>
        </w:tc>
      </w:tr>
      <w:tr>
        <w:tc>
          <w:tcPr/>
          <w:p>
            <w:pPr>
              <w:pStyle w:val="Compact"/>
              <w:spacing w:after="20" w:before="20" w:line="240" w:lineRule="auto"/>
              <w:jc w:val="left"/>
            </w:pPr>
            <w:r>
              <w:rPr>
                <w:sz w:val="17"/>
              </w:rPr>
              <w:t xml:space="preserve">Détournement vers un autre compte</w:t>
            </w:r>
          </w:p>
        </w:tc>
        <w:tc>
          <w:tcPr/>
          <w:p>
            <w:pPr>
              <w:pStyle w:val="Compact"/>
              <w:spacing w:after="20" w:before="20" w:line="240" w:lineRule="auto"/>
              <w:jc w:val="left"/>
            </w:pPr>
            <w:r>
              <w:rPr>
                <w:sz w:val="17"/>
              </w:rPr>
              <w:t xml:space="preserve">Comptes bénéficiaires verrouillés, changement sous quorum (§ 12.3)</w:t>
            </w:r>
          </w:p>
        </w:tc>
      </w:tr>
      <w:tr>
        <w:tc>
          <w:tcPr>
            <w:shd w:val="clear" w:color="auto" w:fill="F2F9F8"/>
          </w:tcPr>
          <w:p>
            <w:pPr>
              <w:pStyle w:val="Compact"/>
              <w:spacing w:after="20" w:before="20" w:line="240" w:lineRule="auto"/>
              <w:jc w:val="left"/>
            </w:pPr>
            <w:r>
              <w:rPr>
                <w:sz w:val="17"/>
              </w:rPr>
              <w:t xml:space="preserve">Paiement perdu avant le Trésor</w:t>
            </w:r>
          </w:p>
        </w:tc>
        <w:tc>
          <w:tcPr>
            <w:shd w:val="clear" w:color="auto" w:fill="F2F9F8"/>
          </w:tcPr>
          <w:p>
            <w:pPr>
              <w:pStyle w:val="Compact"/>
              <w:spacing w:after="20" w:before="20" w:line="240" w:lineRule="auto"/>
              <w:jc w:val="left"/>
            </w:pPr>
            <w:r>
              <w:rPr>
                <w:sz w:val="17"/>
              </w:rPr>
              <w:t xml:space="preserve">Rapprochement quotidien, files d’exception sous 48 heures (§ 20)</w:t>
            </w:r>
          </w:p>
        </w:tc>
      </w:tr>
      <w:tr>
        <w:tc>
          <w:tcPr/>
          <w:p>
            <w:pPr>
              <w:pStyle w:val="Compact"/>
              <w:spacing w:after="20" w:before="20" w:line="240" w:lineRule="auto"/>
              <w:jc w:val="left"/>
            </w:pPr>
            <w:r>
              <w:rPr>
                <w:sz w:val="17"/>
              </w:rPr>
              <w:t xml:space="preserve">Objets fictifs pour gonfler la rémunération</w:t>
            </w:r>
          </w:p>
        </w:tc>
        <w:tc>
          <w:tcPr/>
          <w:p>
            <w:pPr>
              <w:pStyle w:val="Compact"/>
              <w:spacing w:after="20" w:before="20" w:line="240" w:lineRule="auto"/>
              <w:jc w:val="left"/>
            </w:pPr>
            <w:r>
              <w:rPr>
                <w:sz w:val="17"/>
              </w:rPr>
              <w:t xml:space="preserve">Contrôle qualité indépendant, récupération des sommes (§ 15A.5, § 15A.7)</w:t>
            </w:r>
          </w:p>
        </w:tc>
      </w:tr>
      <w:tr>
        <w:tc>
          <w:tcPr>
            <w:shd w:val="clear" w:color="auto" w:fill="F2F9F8"/>
          </w:tcPr>
          <w:p>
            <w:pPr>
              <w:pStyle w:val="Compact"/>
              <w:spacing w:after="20" w:before="20" w:line="240" w:lineRule="auto"/>
              <w:jc w:val="left"/>
            </w:pPr>
            <w:r>
              <w:rPr>
                <w:sz w:val="17"/>
              </w:rPr>
              <w:t xml:space="preserve">Effacement ou modification de traces</w:t>
            </w:r>
          </w:p>
        </w:tc>
        <w:tc>
          <w:tcPr>
            <w:shd w:val="clear" w:color="auto" w:fill="F2F9F8"/>
          </w:tcPr>
          <w:p>
            <w:pPr>
              <w:pStyle w:val="Compact"/>
              <w:spacing w:after="20" w:before="20" w:line="240" w:lineRule="auto"/>
              <w:jc w:val="left"/>
            </w:pPr>
            <w:r>
              <w:rPr>
                <w:sz w:val="17"/>
              </w:rPr>
              <w:t xml:space="preserve">Journal en ajout seul, contre-écritures uniquement (§ 25.1)</w:t>
            </w:r>
          </w:p>
        </w:tc>
      </w:tr>
    </w:tbl>
    <w:bookmarkEnd w:id="197"/>
    <w:bookmarkStart w:id="198" w:name="X5ba5244bd4aa4ed243f66c5c4a7df997dd7be44"/>
    <w:p>
      <w:pPr>
        <w:pStyle w:val="Heading2"/>
      </w:pPr>
      <w:r>
        <w:t xml:space="preserve">18A.8 Ligne de signalement et contrôles mystère</w:t>
      </w:r>
    </w:p>
    <w:p>
      <w:pPr>
        <w:pStyle w:val="Compact"/>
        <w:numPr>
          <w:ilvl w:val="0"/>
          <w:numId w:val="1054"/>
        </w:numPr>
      </w:pPr>
      <w:r>
        <w:t xml:space="preserve">Numéro gratuit, SMS et SVI pour signaler toute demande d’espèces, tout faux agent, toute fausse quittance ou tout point de paiement irrégulier ; anonymat possible et protection du signalant.</w:t>
      </w:r>
    </w:p>
    <w:p>
      <w:pPr>
        <w:pStyle w:val="Compact"/>
        <w:numPr>
          <w:ilvl w:val="0"/>
          <w:numId w:val="1054"/>
        </w:numPr>
      </w:pPr>
      <w:r>
        <w:t xml:space="preserve">Chaque signalement est enregistré, qualifié et transmis à l’enquêteur anti-fraude, avec délai de traitement suivi au tableau de bord.</w:t>
      </w:r>
    </w:p>
    <w:p>
      <w:pPr>
        <w:pStyle w:val="Compact"/>
        <w:numPr>
          <w:ilvl w:val="0"/>
          <w:numId w:val="1054"/>
        </w:numPr>
      </w:pPr>
      <w:r>
        <w:t xml:space="preserve">Contrôles mystère périodiques auprès des agents, des sous-traitants et des points de paiement, avec résultats publiés de façon agrégée.</w:t>
      </w:r>
    </w:p>
    <w:p>
      <w:pPr>
        <w:pStyle w:val="BlockText"/>
      </w:pPr>
      <w:r>
        <w:rPr>
          <w:b/>
          <w:bCs/>
        </w:rPr>
        <w:t xml:space="preserve">Rappel.</w:t>
      </w:r>
      <w:r>
        <w:t xml:space="preserve"> </w:t>
      </w:r>
      <w:r>
        <w:t xml:space="preserve">Aucun système ne peut promettre l’élimination totale de la fraude. MOSOLO rend la fraude difficile à exécuter, coûteuse à dissimuler, rapide à détecter et impossible à effacer.</w:t>
      </w:r>
    </w:p>
    <w:p>
      <w:pPr>
        <w:pStyle w:val="FirstParagraph"/>
      </w:pPr>
      <w:r>
        <w:rPr>
          <w:b/>
          <w:bCs/>
        </w:rPr>
        <w:t xml:space="preserve">Critère d’acceptation.</w:t>
      </w:r>
      <w:r>
        <w:t xml:space="preserve"> </w:t>
      </w:r>
      <w:r>
        <w:rPr>
          <w:b/>
          <w:bCs/>
        </w:rPr>
        <w:t xml:space="preserve">Étant donné</w:t>
      </w:r>
      <w:r>
        <w:t xml:space="preserve"> </w:t>
      </w:r>
      <w:r>
        <w:t xml:space="preserve">un paiement en espèces chez un point de paiement agréé,</w:t>
      </w:r>
      <w:r>
        <w:t xml:space="preserve"> </w:t>
      </w:r>
      <w:r>
        <w:rPr>
          <w:b/>
          <w:bCs/>
        </w:rPr>
        <w:t xml:space="preserve">lorsque</w:t>
      </w:r>
      <w:r>
        <w:t xml:space="preserve"> </w:t>
      </w:r>
      <w:r>
        <w:t xml:space="preserve">le point saisit la référence,</w:t>
      </w:r>
      <w:r>
        <w:t xml:space="preserve"> </w:t>
      </w:r>
      <w:r>
        <w:rPr>
          <w:b/>
          <w:bCs/>
        </w:rPr>
        <w:t xml:space="preserve">alors</w:t>
      </w:r>
      <w:r>
        <w:t xml:space="preserve"> </w:t>
      </w:r>
      <w:r>
        <w:t xml:space="preserve">le montant affiché n’est pas modifiable, la quittance n’est émise qu’après confirmation serveur à serveur, le contribuable reçoit une preuve imprimée et, s’il a un téléphone, un SMS, et le statut de l’objet devient « payé ».</w:t>
      </w:r>
    </w:p>
    <w:bookmarkEnd w:id="198"/>
    <w:bookmarkEnd w:id="199"/>
    <w:bookmarkStart w:id="200" w:name="quittance-électronique"/>
    <w:p>
      <w:pPr>
        <w:pStyle w:val="Heading1"/>
      </w:pPr>
      <w:r>
        <w:t xml:space="preserve">19. Quittance électronique</w:t>
      </w:r>
    </w:p>
    <w:p>
      <w:pPr>
        <w:pStyle w:val="FirstParagraph"/>
      </w:pPr>
      <w:r>
        <w:t xml:space="preserve">La quittance porte : référence du contribuable ; référence de paiement ;</w:t>
      </w:r>
      <w:r>
        <w:t xml:space="preserve"> </w:t>
      </w:r>
      <w:r>
        <w:t xml:space="preserve">nature de la recette ; montant ; devise ; date ; statut de règlement ;</w:t>
      </w:r>
      <w:r>
        <w:t xml:space="preserve"> </w:t>
      </w:r>
      <w:r>
        <w:t xml:space="preserve">administration bénéficiaire ; identifiant de transaction ; code QR</w:t>
      </w:r>
      <w:r>
        <w:t xml:space="preserve"> </w:t>
      </w:r>
      <w:r>
        <w:t xml:space="preserve">sécurisé ; signature électronique ; statut de la quittance ; mécanisme</w:t>
      </w:r>
      <w:r>
        <w:t xml:space="preserve"> </w:t>
      </w:r>
      <w:r>
        <w:t xml:space="preserve">de vérification.</w:t>
      </w:r>
    </w:p>
    <w:p>
      <w:pPr>
        <w:pStyle w:val="BodyText"/>
      </w:pPr>
      <w:r>
        <w:t xml:space="preserve">Le scan du QR renvoie un statut public minimal : valide, en attente,</w:t>
      </w:r>
      <w:r>
        <w:t xml:space="preserve"> </w:t>
      </w:r>
      <w:r>
        <w:t xml:space="preserve">annulée, contrepassée, remplacée, ou signalée comme suspecte. La page</w:t>
      </w:r>
      <w:r>
        <w:t xml:space="preserve"> </w:t>
      </w:r>
      <w:r>
        <w:t xml:space="preserve">publique ne divulgue aucune information personnelle au-delà de ce qui</w:t>
      </w:r>
      <w:r>
        <w:t xml:space="preserve"> </w:t>
      </w:r>
      <w:r>
        <w:t xml:space="preserve">est strictement nécessaire à l'authentification du document. Les</w:t>
      </w:r>
      <w:r>
        <w:t xml:space="preserve"> </w:t>
      </w:r>
      <w:r>
        <w:t xml:space="preserve">fausses quittances papier cessent de fonctionner dès que la vérification</w:t>
      </w:r>
      <w:r>
        <w:t xml:space="preserve"> </w:t>
      </w:r>
      <w:r>
        <w:t xml:space="preserve">devient publique et instantanée.</w:t>
      </w:r>
    </w:p>
    <w:p>
      <w:pPr>
        <w:pStyle w:val="BodyText"/>
      </w:pPr>
      <w:r>
        <w:t xml:space="preserve">Statuts publics de vérification : valide, en attente, annulée, contrepassée (inversée), remplacée ou signalée comme suspecte. Aucune quittance n’est générée avant un état de paiement autorisé par la politique du § 18.6.</w:t>
      </w:r>
    </w:p>
    <w:p>
      <w:pPr>
        <w:pStyle w:val="BodyText"/>
      </w:pPr>
      <w:r>
        <w:t xml:space="preserve">Pour les contribuables sans smartphone, la vérification se fait par SMS du code de quittance au numéro court, par USSD ou au SVI, et la preuve est fournie sous forme imprimée et par SMS (§ 18A.4 à 18A.6).</w:t>
      </w:r>
    </w:p>
    <w:bookmarkEnd w:id="200"/>
    <w:bookmarkStart w:id="208" w:name="X1d5e198da1f64fe3ffc0cdab99dfa5fe9372293"/>
    <w:p>
      <w:pPr>
        <w:pStyle w:val="Heading1"/>
      </w:pPr>
      <w:r>
        <w:t xml:space="preserve">19A. Titres, preuves et laissez-passer à durée de validité</w:t>
      </w:r>
    </w:p>
    <w:p>
      <w:pPr>
        <w:pStyle w:val="FirstParagraph"/>
      </w:pPr>
      <w:r>
        <w:t xml:space="preserve">Tous les modules ne produisent pas la même preuve. Un impôt annuel produit une quittance ; un stationnement produit un ticket valable quelques heures ; un marché produit un droit d’occuper un étal pour une journée ou un mois ; un embarquement produit un titre à usage unique. MOSOLO distingue donc deux notions et fournit un moteur commun, configurable par module.</w:t>
      </w:r>
    </w:p>
    <w:bookmarkStart w:id="201" w:name="X1015e2517110ab006bb74851ce228557f273efe"/>
    <w:p>
      <w:pPr>
        <w:pStyle w:val="Heading2"/>
      </w:pPr>
      <w:r>
        <w:t xml:space="preserve">19A.1 Quittance et titre : deux choses différentes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blHeader/>
        </w:trPr>
        <w:tc>
          <w:tcPr>
            <w:shd w:val="clear" w:color="auto" w:fill="1BA996"/>
          </w:tcPr>
          <w:p>
            <w:pPr>
              <w:pStyle w:val="Compact"/>
              <w:spacing w:after="20" w:before="20" w:line="240" w:lineRule="auto"/>
              <w:jc w:val="left"/>
            </w:pPr>
            <w:r>
              <w:rPr>
                <w:b/>
                <w:color w:val="FFFFFF"/>
                <w:sz w:val="17"/>
              </w:rPr>
              <w:t xml:space="preserve">Notion</w:t>
            </w:r>
          </w:p>
        </w:tc>
        <w:tc>
          <w:tcPr>
            <w:shd w:val="clear" w:color="auto" w:fill="1BA996"/>
          </w:tcPr>
          <w:p>
            <w:pPr>
              <w:pStyle w:val="Compact"/>
              <w:spacing w:after="20" w:before="20" w:line="240" w:lineRule="auto"/>
              <w:jc w:val="left"/>
            </w:pPr>
            <w:r>
              <w:rPr>
                <w:b/>
                <w:color w:val="FFFFFF"/>
                <w:sz w:val="17"/>
              </w:rPr>
              <w:t xml:space="preserve">Ce qu’elle prouve</w:t>
            </w:r>
          </w:p>
        </w:tc>
        <w:tc>
          <w:tcPr>
            <w:shd w:val="clear" w:color="auto" w:fill="1BA996"/>
          </w:tcPr>
          <w:p>
            <w:pPr>
              <w:pStyle w:val="Compact"/>
              <w:spacing w:after="20" w:before="20" w:line="240" w:lineRule="auto"/>
              <w:jc w:val="left"/>
            </w:pPr>
            <w:r>
              <w:rPr>
                <w:b/>
                <w:color w:val="FFFFFF"/>
                <w:sz w:val="17"/>
              </w:rPr>
              <w:t xml:space="preserve">Durée</w:t>
            </w:r>
          </w:p>
        </w:tc>
        <w:tc>
          <w:tcPr>
            <w:shd w:val="clear" w:color="auto" w:fill="1BA996"/>
          </w:tcPr>
          <w:p>
            <w:pPr>
              <w:pStyle w:val="Compact"/>
              <w:spacing w:after="20" w:before="20" w:line="240" w:lineRule="auto"/>
              <w:jc w:val="left"/>
            </w:pPr>
            <w:r>
              <w:rPr>
                <w:b/>
                <w:color w:val="FFFFFF"/>
                <w:sz w:val="17"/>
              </w:rPr>
              <w:t xml:space="preserve">Exemple</w:t>
            </w:r>
          </w:p>
        </w:tc>
      </w:tr>
      <w:tr>
        <w:tc>
          <w:tcPr/>
          <w:p>
            <w:pPr>
              <w:pStyle w:val="Compact"/>
              <w:spacing w:after="20" w:before="20" w:line="240" w:lineRule="auto"/>
              <w:jc w:val="left"/>
            </w:pPr>
            <w:r>
              <w:rPr>
                <w:sz w:val="17"/>
              </w:rPr>
              <w:t xml:space="preserve">Quittance (§ 19)</w:t>
            </w:r>
          </w:p>
        </w:tc>
        <w:tc>
          <w:tcPr/>
          <w:p>
            <w:pPr>
              <w:pStyle w:val="Compact"/>
              <w:spacing w:after="20" w:before="20" w:line="240" w:lineRule="auto"/>
              <w:jc w:val="left"/>
            </w:pPr>
            <w:r>
              <w:rPr>
                <w:sz w:val="17"/>
              </w:rPr>
              <w:t xml:space="preserve">Qu’un paiement a été fait et rapproché</w:t>
            </w:r>
          </w:p>
        </w:tc>
        <w:tc>
          <w:tcPr/>
          <w:p>
            <w:pPr>
              <w:pStyle w:val="Compact"/>
              <w:spacing w:after="20" w:before="20" w:line="240" w:lineRule="auto"/>
              <w:jc w:val="left"/>
            </w:pPr>
            <w:r>
              <w:rPr>
                <w:sz w:val="17"/>
              </w:rPr>
              <w:t xml:space="preserve">Permanente, jamais « expirée » ; peut être annulée ou contrepassée</w:t>
            </w:r>
          </w:p>
        </w:tc>
        <w:tc>
          <w:tcPr/>
          <w:p>
            <w:pPr>
              <w:pStyle w:val="Compact"/>
              <w:spacing w:after="20" w:before="20" w:line="240" w:lineRule="auto"/>
              <w:jc w:val="left"/>
            </w:pPr>
            <w:r>
              <w:rPr>
                <w:sz w:val="17"/>
              </w:rPr>
              <w:t xml:space="preserve">Quittance d’impôt foncier 2027</w:t>
            </w:r>
          </w:p>
        </w:tc>
      </w:tr>
      <w:tr>
        <w:tc>
          <w:tcPr>
            <w:shd w:val="clear" w:color="auto" w:fill="F2F9F8"/>
          </w:tcPr>
          <w:p>
            <w:pPr>
              <w:pStyle w:val="Compact"/>
              <w:spacing w:after="20" w:before="20" w:line="240" w:lineRule="auto"/>
              <w:jc w:val="left"/>
            </w:pPr>
            <w:r>
              <w:rPr>
                <w:sz w:val="17"/>
              </w:rPr>
              <w:t xml:space="preserve">Titre (droit ou laissez-passer)</w:t>
            </w:r>
          </w:p>
        </w:tc>
        <w:tc>
          <w:tcPr>
            <w:shd w:val="clear" w:color="auto" w:fill="F2F9F8"/>
          </w:tcPr>
          <w:p>
            <w:pPr>
              <w:pStyle w:val="Compact"/>
              <w:spacing w:after="20" w:before="20" w:line="240" w:lineRule="auto"/>
              <w:jc w:val="left"/>
            </w:pPr>
            <w:r>
              <w:rPr>
                <w:sz w:val="17"/>
              </w:rPr>
              <w:t xml:space="preserve">Qu’un droit est ouvert : stationner, occuper, circuler, embarquer, exploiter, afficher</w:t>
            </w:r>
          </w:p>
        </w:tc>
        <w:tc>
          <w:tcPr>
            <w:shd w:val="clear" w:color="auto" w:fill="F2F9F8"/>
          </w:tcPr>
          <w:p>
            <w:pPr>
              <w:pStyle w:val="Compact"/>
              <w:spacing w:after="20" w:before="20" w:line="240" w:lineRule="auto"/>
              <w:jc w:val="left"/>
            </w:pPr>
            <w:r>
              <w:rPr>
                <w:sz w:val="17"/>
              </w:rPr>
              <w:t xml:space="preserve">Limitée dans le temps et parfois dans l’usage</w:t>
            </w:r>
          </w:p>
        </w:tc>
        <w:tc>
          <w:tcPr>
            <w:shd w:val="clear" w:color="auto" w:fill="F2F9F8"/>
          </w:tcPr>
          <w:p>
            <w:pPr>
              <w:pStyle w:val="Compact"/>
              <w:spacing w:after="20" w:before="20" w:line="240" w:lineRule="auto"/>
              <w:jc w:val="left"/>
            </w:pPr>
            <w:r>
              <w:rPr>
                <w:sz w:val="17"/>
              </w:rPr>
              <w:t xml:space="preserve">Ticket de stationnement journalier, vignette annuelle, droit d’étal hebdomadaire, quitus fiscal</w:t>
            </w:r>
          </w:p>
        </w:tc>
      </w:tr>
    </w:tbl>
    <w:p>
      <w:pPr>
        <w:pStyle w:val="BodyText"/>
      </w:pPr>
      <w:r>
        <w:t xml:space="preserve">Un titre est toujours adossé à une ou plusieurs quittances, ou à une exonération validée. La quittance reste la preuve du paiement ; le titre porte la validité.</w:t>
      </w:r>
    </w:p>
    <w:bookmarkEnd w:id="201"/>
    <w:bookmarkStart w:id="202" w:name="a.2-statuts-et-code-couleur"/>
    <w:p>
      <w:pPr>
        <w:pStyle w:val="Heading2"/>
      </w:pPr>
      <w:r>
        <w:t xml:space="preserve">19A.2 Statuts et code couleur</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blHeader/>
        </w:trPr>
        <w:tc>
          <w:tcPr>
            <w:shd w:val="clear" w:color="auto" w:fill="1BA996"/>
          </w:tcPr>
          <w:p>
            <w:pPr>
              <w:pStyle w:val="Compact"/>
              <w:spacing w:after="20" w:before="20" w:line="240" w:lineRule="auto"/>
              <w:jc w:val="left"/>
            </w:pPr>
            <w:r>
              <w:rPr>
                <w:b/>
                <w:color w:val="FFFFFF"/>
                <w:sz w:val="17"/>
              </w:rPr>
              <w:t xml:space="preserve">Couleur</w:t>
            </w:r>
          </w:p>
        </w:tc>
        <w:tc>
          <w:tcPr>
            <w:shd w:val="clear" w:color="auto" w:fill="1BA996"/>
          </w:tcPr>
          <w:p>
            <w:pPr>
              <w:pStyle w:val="Compact"/>
              <w:spacing w:after="20" w:before="20" w:line="240" w:lineRule="auto"/>
              <w:jc w:val="left"/>
            </w:pPr>
            <w:r>
              <w:rPr>
                <w:b/>
                <w:color w:val="FFFFFF"/>
                <w:sz w:val="17"/>
              </w:rPr>
              <w:t xml:space="preserve">Statut</w:t>
            </w:r>
          </w:p>
        </w:tc>
        <w:tc>
          <w:tcPr>
            <w:shd w:val="clear" w:color="auto" w:fill="1BA996"/>
          </w:tcPr>
          <w:p>
            <w:pPr>
              <w:pStyle w:val="Compact"/>
              <w:spacing w:after="20" w:before="20" w:line="240" w:lineRule="auto"/>
              <w:jc w:val="left"/>
            </w:pPr>
            <w:r>
              <w:rPr>
                <w:b/>
                <w:color w:val="FFFFFF"/>
                <w:sz w:val="17"/>
              </w:rPr>
              <w:t xml:space="preserve">Signification</w:t>
            </w:r>
          </w:p>
        </w:tc>
        <w:tc>
          <w:tcPr>
            <w:shd w:val="clear" w:color="auto" w:fill="1BA996"/>
          </w:tcPr>
          <w:p>
            <w:pPr>
              <w:pStyle w:val="Compact"/>
              <w:spacing w:after="20" w:before="20" w:line="240" w:lineRule="auto"/>
              <w:jc w:val="left"/>
            </w:pPr>
            <w:r>
              <w:rPr>
                <w:b/>
                <w:color w:val="FFFFFF"/>
                <w:sz w:val="17"/>
              </w:rPr>
              <w:t xml:space="preserve">Doublé par</w:t>
            </w:r>
          </w:p>
        </w:tc>
      </w:tr>
      <w:tr>
        <w:tc>
          <w:tcPr>
            <w:shd w:val="clear" w:color="auto" w:fill="2E9E4F"/>
          </w:tcPr>
          <w:p>
            <w:pPr>
              <w:pStyle w:val="Compact"/>
              <w:spacing w:after="20" w:before="20" w:line="240" w:lineRule="auto"/>
              <w:jc w:val="left"/>
            </w:pPr>
            <w:r>
              <w:rPr>
                <w:b/>
                <w:color w:val="FFFFFF"/>
                <w:sz w:val="17"/>
              </w:rPr>
              <w:t xml:space="preserve">Vert</w:t>
            </w:r>
          </w:p>
        </w:tc>
        <w:tc>
          <w:tcPr/>
          <w:p>
            <w:pPr>
              <w:pStyle w:val="Compact"/>
              <w:spacing w:after="20" w:before="20" w:line="240" w:lineRule="auto"/>
              <w:jc w:val="left"/>
            </w:pPr>
            <w:r>
              <w:rPr>
                <w:sz w:val="17"/>
              </w:rPr>
              <w:t xml:space="preserve">Valide</w:t>
            </w:r>
          </w:p>
        </w:tc>
        <w:tc>
          <w:tcPr/>
          <w:p>
            <w:pPr>
              <w:pStyle w:val="Compact"/>
              <w:spacing w:after="20" w:before="20" w:line="240" w:lineRule="auto"/>
              <w:jc w:val="left"/>
            </w:pPr>
            <w:r>
              <w:rPr>
                <w:sz w:val="17"/>
              </w:rPr>
              <w:t xml:space="preserve">Le titre est actif et loin de son expiration</w:t>
            </w:r>
          </w:p>
        </w:tc>
        <w:tc>
          <w:tcPr/>
          <w:p>
            <w:pPr>
              <w:pStyle w:val="Compact"/>
              <w:spacing w:after="20" w:before="20" w:line="240" w:lineRule="auto"/>
              <w:jc w:val="left"/>
            </w:pPr>
            <w:r>
              <w:rPr>
                <w:sz w:val="17"/>
              </w:rPr>
              <w:t xml:space="preserve">Icône ✓, texte « VALIDE », compte à rebours, signal sonore court</w:t>
            </w:r>
          </w:p>
        </w:tc>
      </w:tr>
      <w:tr>
        <w:tc>
          <w:tcPr>
            <w:shd w:val="clear" w:color="auto" w:fill="F2A900"/>
          </w:tcPr>
          <w:p>
            <w:pPr>
              <w:pStyle w:val="Compact"/>
              <w:spacing w:after="20" w:before="20" w:line="240" w:lineRule="auto"/>
              <w:jc w:val="left"/>
            </w:pPr>
            <w:r>
              <w:rPr>
                <w:b/>
                <w:color w:val="222222"/>
                <w:sz w:val="17"/>
              </w:rPr>
              <w:t xml:space="preserve">Ambre</w:t>
            </w:r>
          </w:p>
        </w:tc>
        <w:tc>
          <w:tcPr>
            <w:shd w:val="clear" w:color="auto" w:fill="F2F9F8"/>
          </w:tcPr>
          <w:p>
            <w:pPr>
              <w:pStyle w:val="Compact"/>
              <w:spacing w:after="20" w:before="20" w:line="240" w:lineRule="auto"/>
              <w:jc w:val="left"/>
            </w:pPr>
            <w:r>
              <w:rPr>
                <w:sz w:val="17"/>
              </w:rPr>
              <w:t xml:space="preserve">Bientôt expiré</w:t>
            </w:r>
          </w:p>
        </w:tc>
        <w:tc>
          <w:tcPr>
            <w:shd w:val="clear" w:color="auto" w:fill="F2F9F8"/>
          </w:tcPr>
          <w:p>
            <w:pPr>
              <w:pStyle w:val="Compact"/>
              <w:spacing w:after="20" w:before="20" w:line="240" w:lineRule="auto"/>
              <w:jc w:val="left"/>
            </w:pPr>
            <w:r>
              <w:rPr>
                <w:sz w:val="17"/>
              </w:rPr>
              <w:t xml:space="preserve">Le titre expire dans le délai d’alerte fixé pour son type</w:t>
            </w:r>
          </w:p>
        </w:tc>
        <w:tc>
          <w:tcPr>
            <w:shd w:val="clear" w:color="auto" w:fill="F2F9F8"/>
          </w:tcPr>
          <w:p>
            <w:pPr>
              <w:pStyle w:val="Compact"/>
              <w:spacing w:after="20" w:before="20" w:line="240" w:lineRule="auto"/>
              <w:jc w:val="left"/>
            </w:pPr>
            <w:r>
              <w:rPr>
                <w:sz w:val="17"/>
              </w:rPr>
              <w:t xml:space="preserve">Icône ⚠, texte « EXPIRE DANS … », compte à rebours</w:t>
            </w:r>
          </w:p>
        </w:tc>
      </w:tr>
      <w:tr>
        <w:tc>
          <w:tcPr>
            <w:shd w:val="clear" w:color="auto" w:fill="D32F2F"/>
          </w:tcPr>
          <w:p>
            <w:pPr>
              <w:pStyle w:val="Compact"/>
              <w:spacing w:after="20" w:before="20" w:line="240" w:lineRule="auto"/>
              <w:jc w:val="left"/>
            </w:pPr>
            <w:r>
              <w:rPr>
                <w:b/>
                <w:color w:val="FFFFFF"/>
                <w:sz w:val="17"/>
              </w:rPr>
              <w:t xml:space="preserve">Rouge</w:t>
            </w:r>
          </w:p>
        </w:tc>
        <w:tc>
          <w:tcPr/>
          <w:p>
            <w:pPr>
              <w:pStyle w:val="Compact"/>
              <w:spacing w:after="20" w:before="20" w:line="240" w:lineRule="auto"/>
              <w:jc w:val="left"/>
            </w:pPr>
            <w:r>
              <w:rPr>
                <w:sz w:val="17"/>
              </w:rPr>
              <w:t xml:space="preserve">Expiré</w:t>
            </w:r>
          </w:p>
        </w:tc>
        <w:tc>
          <w:tcPr/>
          <w:p>
            <w:pPr>
              <w:pStyle w:val="Compact"/>
              <w:spacing w:after="20" w:before="20" w:line="240" w:lineRule="auto"/>
              <w:jc w:val="left"/>
            </w:pPr>
            <w:r>
              <w:rPr>
                <w:sz w:val="17"/>
              </w:rPr>
              <w:t xml:space="preserve">La période de validité est dépassée (après tolérance éventuelle)</w:t>
            </w:r>
          </w:p>
        </w:tc>
        <w:tc>
          <w:tcPr/>
          <w:p>
            <w:pPr>
              <w:pStyle w:val="Compact"/>
              <w:spacing w:after="20" w:before="20" w:line="240" w:lineRule="auto"/>
              <w:jc w:val="left"/>
            </w:pPr>
            <w:r>
              <w:rPr>
                <w:sz w:val="17"/>
              </w:rPr>
              <w:t xml:space="preserve">Icône ✗, texte « EXPIRÉ DEPUIS … », signal sonore distinct</w:t>
            </w:r>
          </w:p>
        </w:tc>
      </w:tr>
      <w:tr>
        <w:tc>
          <w:tcPr>
            <w:shd w:val="clear" w:color="auto" w:fill="9E9E9E"/>
          </w:tcPr>
          <w:p>
            <w:pPr>
              <w:pStyle w:val="Compact"/>
              <w:spacing w:after="20" w:before="20" w:line="240" w:lineRule="auto"/>
              <w:jc w:val="left"/>
            </w:pPr>
            <w:r>
              <w:rPr>
                <w:b/>
                <w:color w:val="FFFFFF"/>
                <w:sz w:val="17"/>
              </w:rPr>
              <w:t xml:space="preserve">Gris</w:t>
            </w:r>
          </w:p>
        </w:tc>
        <w:tc>
          <w:tcPr>
            <w:shd w:val="clear" w:color="auto" w:fill="F2F9F8"/>
          </w:tcPr>
          <w:p>
            <w:pPr>
              <w:pStyle w:val="Compact"/>
              <w:spacing w:after="20" w:before="20" w:line="240" w:lineRule="auto"/>
              <w:jc w:val="left"/>
            </w:pPr>
            <w:r>
              <w:rPr>
                <w:sz w:val="17"/>
              </w:rPr>
              <w:t xml:space="preserve">Pas encore actif</w:t>
            </w:r>
          </w:p>
        </w:tc>
        <w:tc>
          <w:tcPr>
            <w:shd w:val="clear" w:color="auto" w:fill="F2F9F8"/>
          </w:tcPr>
          <w:p>
            <w:pPr>
              <w:pStyle w:val="Compact"/>
              <w:spacing w:after="20" w:before="20" w:line="240" w:lineRule="auto"/>
              <w:jc w:val="left"/>
            </w:pPr>
            <w:r>
              <w:rPr>
                <w:sz w:val="17"/>
              </w:rPr>
              <w:t xml:space="preserve">Titre acheté pour une période future</w:t>
            </w:r>
          </w:p>
        </w:tc>
        <w:tc>
          <w:tcPr>
            <w:shd w:val="clear" w:color="auto" w:fill="F2F9F8"/>
          </w:tcPr>
          <w:p>
            <w:pPr>
              <w:pStyle w:val="Compact"/>
              <w:spacing w:after="20" w:before="20" w:line="240" w:lineRule="auto"/>
              <w:jc w:val="left"/>
            </w:pPr>
            <w:r>
              <w:rPr>
                <w:sz w:val="17"/>
              </w:rPr>
              <w:t xml:space="preserve">Texte « VALIDE À PARTIR DE … »</w:t>
            </w:r>
          </w:p>
        </w:tc>
      </w:tr>
      <w:tr>
        <w:tc>
          <w:tcPr>
            <w:shd w:val="clear" w:color="auto" w:fill="1E6FD9"/>
          </w:tcPr>
          <w:p>
            <w:pPr>
              <w:pStyle w:val="Compact"/>
              <w:spacing w:after="20" w:before="20" w:line="240" w:lineRule="auto"/>
              <w:jc w:val="left"/>
            </w:pPr>
            <w:r>
              <w:rPr>
                <w:b/>
                <w:color w:val="FFFFFF"/>
                <w:sz w:val="17"/>
              </w:rPr>
              <w:t xml:space="preserve">Bleu</w:t>
            </w:r>
          </w:p>
        </w:tc>
        <w:tc>
          <w:tcPr/>
          <w:p>
            <w:pPr>
              <w:pStyle w:val="Compact"/>
              <w:spacing w:after="20" w:before="20" w:line="240" w:lineRule="auto"/>
              <w:jc w:val="left"/>
            </w:pPr>
            <w:r>
              <w:rPr>
                <w:sz w:val="17"/>
              </w:rPr>
              <w:t xml:space="preserve">Suspendu ou contesté</w:t>
            </w:r>
          </w:p>
        </w:tc>
        <w:tc>
          <w:tcPr/>
          <w:p>
            <w:pPr>
              <w:pStyle w:val="Compact"/>
              <w:spacing w:after="20" w:before="20" w:line="240" w:lineRule="auto"/>
              <w:jc w:val="left"/>
            </w:pPr>
            <w:r>
              <w:rPr>
                <w:sz w:val="17"/>
              </w:rPr>
              <w:t xml:space="preserve">Titre suspendu par décision motivée ou en litige</w:t>
            </w:r>
          </w:p>
        </w:tc>
        <w:tc>
          <w:tcPr/>
          <w:p>
            <w:pPr>
              <w:pStyle w:val="Compact"/>
              <w:spacing w:after="20" w:before="20" w:line="240" w:lineRule="auto"/>
              <w:jc w:val="left"/>
            </w:pPr>
            <w:r>
              <w:rPr>
                <w:sz w:val="17"/>
              </w:rPr>
              <w:t xml:space="preserve">Texte et motif</w:t>
            </w:r>
          </w:p>
        </w:tc>
      </w:tr>
      <w:tr>
        <w:tc>
          <w:tcPr>
            <w:shd w:val="clear" w:color="auto" w:fill="222222"/>
          </w:tcPr>
          <w:p>
            <w:pPr>
              <w:pStyle w:val="Compact"/>
              <w:spacing w:after="20" w:before="20" w:line="240" w:lineRule="auto"/>
              <w:jc w:val="left"/>
            </w:pPr>
            <w:r>
              <w:rPr>
                <w:b/>
                <w:color w:val="FFFFFF"/>
                <w:sz w:val="17"/>
              </w:rPr>
              <w:t xml:space="preserve">Noir</w:t>
            </w:r>
          </w:p>
        </w:tc>
        <w:tc>
          <w:tcPr>
            <w:shd w:val="clear" w:color="auto" w:fill="F2F9F8"/>
          </w:tcPr>
          <w:p>
            <w:pPr>
              <w:pStyle w:val="Compact"/>
              <w:spacing w:after="20" w:before="20" w:line="240" w:lineRule="auto"/>
              <w:jc w:val="left"/>
            </w:pPr>
            <w:r>
              <w:rPr>
                <w:sz w:val="17"/>
              </w:rPr>
              <w:t xml:space="preserve">Révoqué, déjà utilisé ou invalide</w:t>
            </w:r>
          </w:p>
        </w:tc>
        <w:tc>
          <w:tcPr>
            <w:shd w:val="clear" w:color="auto" w:fill="F2F9F8"/>
          </w:tcPr>
          <w:p>
            <w:pPr>
              <w:pStyle w:val="Compact"/>
              <w:spacing w:after="20" w:before="20" w:line="240" w:lineRule="auto"/>
              <w:jc w:val="left"/>
            </w:pPr>
            <w:r>
              <w:rPr>
                <w:sz w:val="17"/>
              </w:rPr>
              <w:t xml:space="preserve">Titre annulé, consommé (usage unique), falsifié ou inconnu</w:t>
            </w:r>
          </w:p>
        </w:tc>
        <w:tc>
          <w:tcPr>
            <w:shd w:val="clear" w:color="auto" w:fill="F2F9F8"/>
          </w:tcPr>
          <w:p>
            <w:pPr>
              <w:pStyle w:val="Compact"/>
              <w:spacing w:after="20" w:before="20" w:line="240" w:lineRule="auto"/>
              <w:jc w:val="left"/>
            </w:pPr>
            <w:r>
              <w:rPr>
                <w:sz w:val="17"/>
              </w:rPr>
              <w:t xml:space="preserve">Texte « INVALIDE » ou « DÉJÀ UTILISÉ »</w:t>
            </w:r>
          </w:p>
        </w:tc>
      </w:tr>
    </w:tbl>
    <w:p>
      <w:pPr>
        <w:pStyle w:val="BodyText"/>
      </w:pPr>
      <w:r>
        <w:t xml:space="preserve">La couleur n’est jamais le seul porteur d’information : chaque statut est doublé d’une icône, d’un texte et, sur les terminaux de contrôle, d’un son, pour les personnes daltoniennes ou non alphabétisées et en plein soleil. Le seuil « ambre » est paramétré par type de titre (§ 19A.4).</w:t>
      </w:r>
    </w:p>
    <w:bookmarkEnd w:id="202"/>
    <w:bookmarkStart w:id="203" w:name="a.3-modèles-de-validité"/>
    <w:p>
      <w:pPr>
        <w:pStyle w:val="Heading2"/>
      </w:pPr>
      <w:r>
        <w:t xml:space="preserve">19A.3 Modèles de validité</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Modèle</w:t>
            </w:r>
          </w:p>
        </w:tc>
        <w:tc>
          <w:tcPr>
            <w:shd w:val="clear" w:color="auto" w:fill="1BA996"/>
          </w:tcPr>
          <w:p>
            <w:pPr>
              <w:pStyle w:val="Compact"/>
              <w:spacing w:after="20" w:before="20" w:line="240" w:lineRule="auto"/>
              <w:jc w:val="left"/>
            </w:pPr>
            <w:r>
              <w:rPr>
                <w:b/>
                <w:color w:val="FFFFFF"/>
                <w:sz w:val="17"/>
              </w:rPr>
              <w:t xml:space="preserve">Exemples</w:t>
            </w:r>
          </w:p>
        </w:tc>
        <w:tc>
          <w:tcPr>
            <w:shd w:val="clear" w:color="auto" w:fill="1BA996"/>
          </w:tcPr>
          <w:p>
            <w:pPr>
              <w:pStyle w:val="Compact"/>
              <w:spacing w:after="20" w:before="20" w:line="240" w:lineRule="auto"/>
              <w:jc w:val="left"/>
            </w:pPr>
            <w:r>
              <w:rPr>
                <w:b/>
                <w:color w:val="FFFFFF"/>
                <w:sz w:val="17"/>
              </w:rPr>
              <w:t xml:space="preserve">Règles configurables</w:t>
            </w:r>
          </w:p>
        </w:tc>
      </w:tr>
      <w:tr>
        <w:tc>
          <w:tcPr/>
          <w:p>
            <w:pPr>
              <w:pStyle w:val="Compact"/>
              <w:spacing w:after="20" w:before="20" w:line="240" w:lineRule="auto"/>
              <w:jc w:val="left"/>
            </w:pPr>
            <w:r>
              <w:rPr>
                <w:sz w:val="17"/>
              </w:rPr>
              <w:t xml:space="preserve">Durée courte (minutes, heures)</w:t>
            </w:r>
          </w:p>
        </w:tc>
        <w:tc>
          <w:tcPr/>
          <w:p>
            <w:pPr>
              <w:pStyle w:val="Compact"/>
              <w:spacing w:after="20" w:before="20" w:line="240" w:lineRule="auto"/>
              <w:jc w:val="left"/>
            </w:pPr>
            <w:r>
              <w:rPr>
                <w:sz w:val="17"/>
              </w:rPr>
              <w:t xml:space="preserve">Stationnement horaire</w:t>
            </w:r>
          </w:p>
        </w:tc>
        <w:tc>
          <w:tcPr/>
          <w:p>
            <w:pPr>
              <w:pStyle w:val="Compact"/>
              <w:spacing w:after="20" w:before="20" w:line="240" w:lineRule="auto"/>
              <w:jc w:val="left"/>
            </w:pPr>
            <w:r>
              <w:rPr>
                <w:sz w:val="17"/>
              </w:rPr>
              <w:t xml:space="preserve">Début au paiement ou à une heure choisie, prolongation depuis le téléphone, plafond de durée</w:t>
            </w:r>
          </w:p>
        </w:tc>
      </w:tr>
      <w:tr>
        <w:tc>
          <w:tcPr>
            <w:shd w:val="clear" w:color="auto" w:fill="F2F9F8"/>
          </w:tcPr>
          <w:p>
            <w:pPr>
              <w:pStyle w:val="Compact"/>
              <w:spacing w:after="20" w:before="20" w:line="240" w:lineRule="auto"/>
              <w:jc w:val="left"/>
            </w:pPr>
            <w:r>
              <w:rPr>
                <w:sz w:val="17"/>
              </w:rPr>
              <w:t xml:space="preserve">Journalier</w:t>
            </w:r>
          </w:p>
        </w:tc>
        <w:tc>
          <w:tcPr>
            <w:shd w:val="clear" w:color="auto" w:fill="F2F9F8"/>
          </w:tcPr>
          <w:p>
            <w:pPr>
              <w:pStyle w:val="Compact"/>
              <w:spacing w:after="20" w:before="20" w:line="240" w:lineRule="auto"/>
              <w:jc w:val="left"/>
            </w:pPr>
            <w:r>
              <w:rPr>
                <w:sz w:val="17"/>
              </w:rPr>
              <w:t xml:space="preserve">Stationnement journalier, droit d’étal, occupation temporaire</w:t>
            </w:r>
          </w:p>
        </w:tc>
        <w:tc>
          <w:tcPr>
            <w:shd w:val="clear" w:color="auto" w:fill="F2F9F8"/>
          </w:tcPr>
          <w:p>
            <w:pPr>
              <w:pStyle w:val="Compact"/>
              <w:spacing w:after="20" w:before="20" w:line="240" w:lineRule="auto"/>
              <w:jc w:val="left"/>
            </w:pPr>
            <w:r>
              <w:rPr>
                <w:sz w:val="17"/>
              </w:rPr>
              <w:t xml:space="preserve">Journée calendaire ou 24 heures glissantes</w:t>
            </w:r>
          </w:p>
        </w:tc>
      </w:tr>
      <w:tr>
        <w:tc>
          <w:tcPr/>
          <w:p>
            <w:pPr>
              <w:pStyle w:val="Compact"/>
              <w:spacing w:after="20" w:before="20" w:line="240" w:lineRule="auto"/>
              <w:jc w:val="left"/>
            </w:pPr>
            <w:r>
              <w:rPr>
                <w:sz w:val="17"/>
              </w:rPr>
              <w:t xml:space="preserve">Hebdomadaire, mensuel</w:t>
            </w:r>
          </w:p>
        </w:tc>
        <w:tc>
          <w:tcPr/>
          <w:p>
            <w:pPr>
              <w:pStyle w:val="Compact"/>
              <w:spacing w:after="20" w:before="20" w:line="240" w:lineRule="auto"/>
              <w:jc w:val="left"/>
            </w:pPr>
            <w:r>
              <w:rPr>
                <w:sz w:val="17"/>
              </w:rPr>
              <w:t xml:space="preserve">Stationnement, étal, autorisation de transport</w:t>
            </w:r>
          </w:p>
        </w:tc>
        <w:tc>
          <w:tcPr/>
          <w:p>
            <w:pPr>
              <w:pStyle w:val="Compact"/>
              <w:spacing w:after="20" w:before="20" w:line="240" w:lineRule="auto"/>
              <w:jc w:val="left"/>
            </w:pPr>
            <w:r>
              <w:rPr>
                <w:sz w:val="17"/>
              </w:rPr>
              <w:t xml:space="preserve">Date de début, renouvellement, rappel avant échéance</w:t>
            </w:r>
          </w:p>
        </w:tc>
      </w:tr>
      <w:tr>
        <w:tc>
          <w:tcPr>
            <w:shd w:val="clear" w:color="auto" w:fill="F2F9F8"/>
          </w:tcPr>
          <w:p>
            <w:pPr>
              <w:pStyle w:val="Compact"/>
              <w:spacing w:after="20" w:before="20" w:line="240" w:lineRule="auto"/>
              <w:jc w:val="left"/>
            </w:pPr>
            <w:r>
              <w:rPr>
                <w:sz w:val="17"/>
              </w:rPr>
              <w:t xml:space="preserve">Annuel ou par exercice</w:t>
            </w:r>
          </w:p>
        </w:tc>
        <w:tc>
          <w:tcPr>
            <w:shd w:val="clear" w:color="auto" w:fill="F2F9F8"/>
          </w:tcPr>
          <w:p>
            <w:pPr>
              <w:pStyle w:val="Compact"/>
              <w:spacing w:after="20" w:before="20" w:line="240" w:lineRule="auto"/>
              <w:jc w:val="left"/>
            </w:pPr>
            <w:r>
              <w:rPr>
                <w:sz w:val="17"/>
              </w:rPr>
              <w:t xml:space="preserve">Vignette, patente, publicité, antenne, impôt foncier</w:t>
            </w:r>
          </w:p>
        </w:tc>
        <w:tc>
          <w:tcPr>
            <w:shd w:val="clear" w:color="auto" w:fill="F2F9F8"/>
          </w:tcPr>
          <w:p>
            <w:pPr>
              <w:pStyle w:val="Compact"/>
              <w:spacing w:after="20" w:before="20" w:line="240" w:lineRule="auto"/>
              <w:jc w:val="left"/>
            </w:pPr>
            <w:r>
              <w:rPr>
                <w:sz w:val="17"/>
              </w:rPr>
              <w:t xml:space="preserve">Exercice fiscal, échéance légale, tolérance</w:t>
            </w:r>
          </w:p>
        </w:tc>
      </w:tr>
      <w:tr>
        <w:tc>
          <w:tcPr/>
          <w:p>
            <w:pPr>
              <w:pStyle w:val="Compact"/>
              <w:spacing w:after="20" w:before="20" w:line="240" w:lineRule="auto"/>
              <w:jc w:val="left"/>
            </w:pPr>
            <w:r>
              <w:rPr>
                <w:sz w:val="17"/>
              </w:rPr>
              <w:t xml:space="preserve">Par événement</w:t>
            </w:r>
          </w:p>
        </w:tc>
        <w:tc>
          <w:tcPr/>
          <w:p>
            <w:pPr>
              <w:pStyle w:val="Compact"/>
              <w:spacing w:after="20" w:before="20" w:line="240" w:lineRule="auto"/>
              <w:jc w:val="left"/>
            </w:pPr>
            <w:r>
              <w:rPr>
                <w:sz w:val="17"/>
              </w:rPr>
              <w:t xml:space="preserve">Autorisation de spectacle, occupation pour chantier</w:t>
            </w:r>
          </w:p>
        </w:tc>
        <w:tc>
          <w:tcPr/>
          <w:p>
            <w:pPr>
              <w:pStyle w:val="Compact"/>
              <w:spacing w:after="20" w:before="20" w:line="240" w:lineRule="auto"/>
              <w:jc w:val="left"/>
            </w:pPr>
            <w:r>
              <w:rPr>
                <w:sz w:val="17"/>
              </w:rPr>
              <w:t xml:space="preserve">Dates et lieu de l’événement</w:t>
            </w:r>
          </w:p>
        </w:tc>
      </w:tr>
      <w:tr>
        <w:tc>
          <w:tcPr>
            <w:shd w:val="clear" w:color="auto" w:fill="F2F9F8"/>
          </w:tcPr>
          <w:p>
            <w:pPr>
              <w:pStyle w:val="Compact"/>
              <w:spacing w:after="20" w:before="20" w:line="240" w:lineRule="auto"/>
              <w:jc w:val="left"/>
            </w:pPr>
            <w:r>
              <w:rPr>
                <w:sz w:val="17"/>
              </w:rPr>
              <w:t xml:space="preserve">Usage unique</w:t>
            </w:r>
          </w:p>
        </w:tc>
        <w:tc>
          <w:tcPr>
            <w:shd w:val="clear" w:color="auto" w:fill="F2F9F8"/>
          </w:tcPr>
          <w:p>
            <w:pPr>
              <w:pStyle w:val="Compact"/>
              <w:spacing w:after="20" w:before="20" w:line="240" w:lineRule="auto"/>
              <w:jc w:val="left"/>
            </w:pPr>
            <w:r>
              <w:rPr>
                <w:sz w:val="17"/>
              </w:rPr>
              <w:t xml:space="preserve">Embarquement, sortie de camion de carrière, passage de péage</w:t>
            </w:r>
          </w:p>
        </w:tc>
        <w:tc>
          <w:tcPr>
            <w:shd w:val="clear" w:color="auto" w:fill="F2F9F8"/>
          </w:tcPr>
          <w:p>
            <w:pPr>
              <w:pStyle w:val="Compact"/>
              <w:spacing w:after="20" w:before="20" w:line="240" w:lineRule="auto"/>
              <w:jc w:val="left"/>
            </w:pPr>
            <w:r>
              <w:rPr>
                <w:sz w:val="17"/>
              </w:rPr>
              <w:t xml:space="preserve">Consommé au premier contrôle valide</w:t>
            </w:r>
          </w:p>
        </w:tc>
      </w:tr>
      <w:tr>
        <w:tc>
          <w:tcPr/>
          <w:p>
            <w:pPr>
              <w:pStyle w:val="Compact"/>
              <w:spacing w:after="20" w:before="20" w:line="240" w:lineRule="auto"/>
              <w:jc w:val="left"/>
            </w:pPr>
            <w:r>
              <w:rPr>
                <w:sz w:val="17"/>
              </w:rPr>
              <w:t xml:space="preserve">Carnet d’usages</w:t>
            </w:r>
          </w:p>
        </w:tc>
        <w:tc>
          <w:tcPr/>
          <w:p>
            <w:pPr>
              <w:pStyle w:val="Compact"/>
              <w:spacing w:after="20" w:before="20" w:line="240" w:lineRule="auto"/>
              <w:jc w:val="left"/>
            </w:pPr>
            <w:r>
              <w:rPr>
                <w:sz w:val="17"/>
              </w:rPr>
              <w:t xml:space="preserve">Carnet de passages, forfait de sorties</w:t>
            </w:r>
          </w:p>
        </w:tc>
        <w:tc>
          <w:tcPr/>
          <w:p>
            <w:pPr>
              <w:pStyle w:val="Compact"/>
              <w:spacing w:after="20" w:before="20" w:line="240" w:lineRule="auto"/>
              <w:jc w:val="left"/>
            </w:pPr>
            <w:r>
              <w:rPr>
                <w:sz w:val="17"/>
              </w:rPr>
              <w:t xml:space="preserve">Nombre d’usages restant</w:t>
            </w:r>
          </w:p>
        </w:tc>
      </w:tr>
      <w:tr>
        <w:tc>
          <w:tcPr>
            <w:shd w:val="clear" w:color="auto" w:fill="F2F9F8"/>
          </w:tcPr>
          <w:p>
            <w:pPr>
              <w:pStyle w:val="Compact"/>
              <w:spacing w:after="20" w:before="20" w:line="240" w:lineRule="auto"/>
              <w:jc w:val="left"/>
            </w:pPr>
            <w:r>
              <w:rPr>
                <w:sz w:val="17"/>
              </w:rPr>
              <w:t xml:space="preserve">Abonnement</w:t>
            </w:r>
          </w:p>
        </w:tc>
        <w:tc>
          <w:tcPr>
            <w:shd w:val="clear" w:color="auto" w:fill="F2F9F8"/>
          </w:tcPr>
          <w:p>
            <w:pPr>
              <w:pStyle w:val="Compact"/>
              <w:spacing w:after="20" w:before="20" w:line="240" w:lineRule="auto"/>
              <w:jc w:val="left"/>
            </w:pPr>
            <w:r>
              <w:rPr>
                <w:sz w:val="17"/>
              </w:rPr>
              <w:t xml:space="preserve">Stationnement résidentiel, étal permanent</w:t>
            </w:r>
          </w:p>
        </w:tc>
        <w:tc>
          <w:tcPr>
            <w:shd w:val="clear" w:color="auto" w:fill="F2F9F8"/>
          </w:tcPr>
          <w:p>
            <w:pPr>
              <w:pStyle w:val="Compact"/>
              <w:spacing w:after="20" w:before="20" w:line="240" w:lineRule="auto"/>
              <w:jc w:val="left"/>
            </w:pPr>
            <w:r>
              <w:rPr>
                <w:sz w:val="17"/>
              </w:rPr>
              <w:t xml:space="preserve">Renouvellement automatique avec consentement, résiliation</w:t>
            </w:r>
          </w:p>
        </w:tc>
      </w:tr>
      <w:tr>
        <w:tc>
          <w:tcPr/>
          <w:p>
            <w:pPr>
              <w:pStyle w:val="Compact"/>
              <w:spacing w:after="20" w:before="20" w:line="240" w:lineRule="auto"/>
              <w:jc w:val="left"/>
            </w:pPr>
            <w:r>
              <w:rPr>
                <w:sz w:val="17"/>
              </w:rPr>
              <w:t xml:space="preserve">Glissant conditionnel</w:t>
            </w:r>
          </w:p>
        </w:tc>
        <w:tc>
          <w:tcPr/>
          <w:p>
            <w:pPr>
              <w:pStyle w:val="Compact"/>
              <w:spacing w:after="20" w:before="20" w:line="240" w:lineRule="auto"/>
              <w:jc w:val="left"/>
            </w:pPr>
            <w:r>
              <w:rPr>
                <w:sz w:val="17"/>
              </w:rPr>
              <w:t xml:space="preserve">Quitus fiscal</w:t>
            </w:r>
          </w:p>
        </w:tc>
        <w:tc>
          <w:tcPr/>
          <w:p>
            <w:pPr>
              <w:pStyle w:val="Compact"/>
              <w:spacing w:after="20" w:before="20" w:line="240" w:lineRule="auto"/>
              <w:jc w:val="left"/>
            </w:pPr>
            <w:r>
              <w:rPr>
                <w:sz w:val="17"/>
              </w:rPr>
              <w:t xml:space="preserve">Valide tant que les conditions restent remplies, avec date limite</w:t>
            </w:r>
          </w:p>
        </w:tc>
      </w:tr>
    </w:tbl>
    <w:p>
      <w:pPr>
        <w:pStyle w:val="BodyText"/>
      </w:pPr>
      <w:r>
        <w:t xml:space="preserve">Paramètres communs : date et heure de début et de fin, fuseau horaire de Kinshasa, délai de tolérance, délai d’alerte ambre, zone ou lieu de validité, objet ou plaque associé, titulaire, transférabilité (par défaut : non transférable), remboursement ou prolongation autorisés.</w:t>
      </w:r>
    </w:p>
    <w:bookmarkEnd w:id="203"/>
    <w:bookmarkStart w:id="204" w:name="Xccf30489f09a09b2052629c2ba7485b58908f42"/>
    <w:p>
      <w:pPr>
        <w:pStyle w:val="Heading2"/>
      </w:pPr>
      <w:r>
        <w:t xml:space="preserve">19A.4 Catalogue des titres et mécanismes par module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320"/>
        <w:gridCol w:w="1320"/>
        <w:gridCol w:w="1320"/>
        <w:gridCol w:w="1320"/>
        <w:gridCol w:w="1320"/>
        <w:gridCol w:w="1320"/>
      </w:tblGrid>
      <w:tr>
        <w:trPr>
          <w:tblHeader w:val="true"/>
          <w:tblHeader/>
        </w:trPr>
        <w:tc>
          <w:tcPr>
            <w:shd w:val="clear" w:color="auto" w:fill="1BA996"/>
          </w:tcPr>
          <w:p>
            <w:pPr>
              <w:pStyle w:val="Compact"/>
              <w:spacing w:after="20" w:before="20" w:line="240" w:lineRule="auto"/>
              <w:jc w:val="left"/>
            </w:pPr>
            <w:r>
              <w:rPr>
                <w:b/>
                <w:color w:val="FFFFFF"/>
                <w:sz w:val="17"/>
              </w:rPr>
              <w:t xml:space="preserve">Module</w:t>
            </w:r>
          </w:p>
        </w:tc>
        <w:tc>
          <w:tcPr>
            <w:shd w:val="clear" w:color="auto" w:fill="1BA996"/>
          </w:tcPr>
          <w:p>
            <w:pPr>
              <w:pStyle w:val="Compact"/>
              <w:spacing w:after="20" w:before="20" w:line="240" w:lineRule="auto"/>
              <w:jc w:val="left"/>
            </w:pPr>
            <w:r>
              <w:rPr>
                <w:b/>
                <w:color w:val="FFFFFF"/>
                <w:sz w:val="17"/>
              </w:rPr>
              <w:t xml:space="preserve">Titre</w:t>
            </w:r>
          </w:p>
        </w:tc>
        <w:tc>
          <w:tcPr>
            <w:shd w:val="clear" w:color="auto" w:fill="1BA996"/>
          </w:tcPr>
          <w:p>
            <w:pPr>
              <w:pStyle w:val="Compact"/>
              <w:spacing w:after="20" w:before="20" w:line="240" w:lineRule="auto"/>
              <w:jc w:val="left"/>
            </w:pPr>
            <w:r>
              <w:rPr>
                <w:b/>
                <w:color w:val="FFFFFF"/>
                <w:sz w:val="17"/>
              </w:rPr>
              <w:t xml:space="preserve">Validité type</w:t>
            </w:r>
          </w:p>
        </w:tc>
        <w:tc>
          <w:tcPr>
            <w:shd w:val="clear" w:color="auto" w:fill="1BA996"/>
          </w:tcPr>
          <w:p>
            <w:pPr>
              <w:pStyle w:val="Compact"/>
              <w:spacing w:after="20" w:before="20" w:line="240" w:lineRule="auto"/>
              <w:jc w:val="left"/>
            </w:pPr>
            <w:r>
              <w:rPr>
                <w:b/>
                <w:color w:val="FFFFFF"/>
                <w:sz w:val="17"/>
              </w:rPr>
              <w:t xml:space="preserve">Seuil ambre indicatif</w:t>
            </w:r>
          </w:p>
        </w:tc>
        <w:tc>
          <w:tcPr>
            <w:shd w:val="clear" w:color="auto" w:fill="1BA996"/>
          </w:tcPr>
          <w:p>
            <w:pPr>
              <w:pStyle w:val="Compact"/>
              <w:spacing w:after="20" w:before="20" w:line="240" w:lineRule="auto"/>
              <w:jc w:val="left"/>
            </w:pPr>
            <w:r>
              <w:rPr>
                <w:b/>
                <w:color w:val="FFFFFF"/>
                <w:sz w:val="17"/>
              </w:rPr>
              <w:t xml:space="preserve">Mécanisme principal</w:t>
            </w:r>
          </w:p>
        </w:tc>
        <w:tc>
          <w:tcPr>
            <w:shd w:val="clear" w:color="auto" w:fill="1BA996"/>
          </w:tcPr>
          <w:p>
            <w:pPr>
              <w:pStyle w:val="Compact"/>
              <w:spacing w:after="20" w:before="20" w:line="240" w:lineRule="auto"/>
              <w:jc w:val="left"/>
            </w:pPr>
            <w:r>
              <w:rPr>
                <w:b/>
                <w:color w:val="FFFFFF"/>
                <w:sz w:val="17"/>
              </w:rPr>
              <w:t xml:space="preserve">Mécanismes de secours</w:t>
            </w:r>
          </w:p>
        </w:tc>
      </w:tr>
      <w:tr>
        <w:tc>
          <w:tcPr/>
          <w:p>
            <w:pPr>
              <w:pStyle w:val="Compact"/>
              <w:spacing w:after="20" w:before="20" w:line="240" w:lineRule="auto"/>
              <w:jc w:val="left"/>
            </w:pPr>
            <w:r>
              <w:rPr>
                <w:sz w:val="17"/>
              </w:rPr>
              <w:t xml:space="preserve">Stationnement</w:t>
            </w:r>
          </w:p>
        </w:tc>
        <w:tc>
          <w:tcPr/>
          <w:p>
            <w:pPr>
              <w:pStyle w:val="Compact"/>
              <w:spacing w:after="20" w:before="20" w:line="240" w:lineRule="auto"/>
              <w:jc w:val="left"/>
            </w:pPr>
            <w:r>
              <w:rPr>
                <w:sz w:val="17"/>
              </w:rPr>
              <w:t xml:space="preserve">Ticket horaire, journalier, hebdomadaire, mensuel ; abonnement</w:t>
            </w:r>
          </w:p>
        </w:tc>
        <w:tc>
          <w:tcPr/>
          <w:p>
            <w:pPr>
              <w:pStyle w:val="Compact"/>
              <w:spacing w:after="20" w:before="20" w:line="240" w:lineRule="auto"/>
              <w:jc w:val="left"/>
            </w:pPr>
            <w:r>
              <w:rPr>
                <w:sz w:val="17"/>
              </w:rPr>
              <w:t xml:space="preserve">Heures à mois</w:t>
            </w:r>
          </w:p>
        </w:tc>
        <w:tc>
          <w:tcPr/>
          <w:p>
            <w:pPr>
              <w:pStyle w:val="Compact"/>
              <w:spacing w:after="20" w:before="20" w:line="240" w:lineRule="auto"/>
              <w:jc w:val="left"/>
            </w:pPr>
            <w:r>
              <w:rPr>
                <w:sz w:val="17"/>
              </w:rPr>
              <w:t xml:space="preserve">15 min (horaire) ; 2 h (journalier) ; 1 jour (hebdomadaire) ; 3 jours (mensuel)</w:t>
            </w:r>
          </w:p>
        </w:tc>
        <w:tc>
          <w:tcPr/>
          <w:p>
            <w:pPr>
              <w:pStyle w:val="Compact"/>
              <w:spacing w:after="20" w:before="20" w:line="240" w:lineRule="auto"/>
              <w:jc w:val="left"/>
            </w:pPr>
            <w:r>
              <w:rPr>
                <w:sz w:val="17"/>
              </w:rPr>
              <w:t xml:space="preserve">Titre lié à la plaque d’immatriculation : le contrôleur saisit ou lit la plaque, aucun papier nécessaire</w:t>
            </w:r>
          </w:p>
        </w:tc>
        <w:tc>
          <w:tcPr/>
          <w:p>
            <w:pPr>
              <w:pStyle w:val="Compact"/>
              <w:spacing w:after="20" w:before="20" w:line="240" w:lineRule="auto"/>
              <w:jc w:val="left"/>
            </w:pPr>
            <w:r>
              <w:rPr>
                <w:sz w:val="17"/>
              </w:rPr>
              <w:t xml:space="preserve">QR dynamique dans l’application avec compte à rebours ; SMS de ticket ; ticket imprimé au point de paiement</w:t>
            </w:r>
          </w:p>
        </w:tc>
      </w:tr>
      <w:tr>
        <w:tc>
          <w:tcPr>
            <w:shd w:val="clear" w:color="auto" w:fill="F2F9F8"/>
          </w:tcPr>
          <w:p>
            <w:pPr>
              <w:pStyle w:val="Compact"/>
              <w:spacing w:after="20" w:before="20" w:line="240" w:lineRule="auto"/>
              <w:jc w:val="left"/>
            </w:pPr>
            <w:r>
              <w:rPr>
                <w:sz w:val="17"/>
              </w:rPr>
              <w:t xml:space="preserve">Véhicules et circulation</w:t>
            </w:r>
          </w:p>
        </w:tc>
        <w:tc>
          <w:tcPr>
            <w:shd w:val="clear" w:color="auto" w:fill="F2F9F8"/>
          </w:tcPr>
          <w:p>
            <w:pPr>
              <w:pStyle w:val="Compact"/>
              <w:spacing w:after="20" w:before="20" w:line="240" w:lineRule="auto"/>
              <w:jc w:val="left"/>
            </w:pPr>
            <w:r>
              <w:rPr>
                <w:sz w:val="17"/>
              </w:rPr>
              <w:t xml:space="preserve">Vignette ; taxe de circulation</w:t>
            </w:r>
          </w:p>
        </w:tc>
        <w:tc>
          <w:tcPr>
            <w:shd w:val="clear" w:color="auto" w:fill="F2F9F8"/>
          </w:tcPr>
          <w:p>
            <w:pPr>
              <w:pStyle w:val="Compact"/>
              <w:spacing w:after="20" w:before="20" w:line="240" w:lineRule="auto"/>
              <w:jc w:val="left"/>
            </w:pPr>
            <w:r>
              <w:rPr>
                <w:sz w:val="17"/>
              </w:rPr>
              <w:t xml:space="preserve">Exercice</w:t>
            </w:r>
          </w:p>
        </w:tc>
        <w:tc>
          <w:tcPr>
            <w:shd w:val="clear" w:color="auto" w:fill="F2F9F8"/>
          </w:tcPr>
          <w:p>
            <w:pPr>
              <w:pStyle w:val="Compact"/>
              <w:spacing w:after="20" w:before="20" w:line="240" w:lineRule="auto"/>
              <w:jc w:val="left"/>
            </w:pPr>
            <w:r>
              <w:rPr>
                <w:sz w:val="17"/>
              </w:rPr>
              <w:t xml:space="preserve">30 jours</w:t>
            </w:r>
          </w:p>
        </w:tc>
        <w:tc>
          <w:tcPr>
            <w:shd w:val="clear" w:color="auto" w:fill="F2F9F8"/>
          </w:tcPr>
          <w:p>
            <w:pPr>
              <w:pStyle w:val="Compact"/>
              <w:spacing w:after="20" w:before="20" w:line="240" w:lineRule="auto"/>
              <w:jc w:val="left"/>
            </w:pPr>
            <w:r>
              <w:rPr>
                <w:sz w:val="17"/>
              </w:rPr>
              <w:t xml:space="preserve">Vignette autocollante à QR et contrôle par plaque</w:t>
            </w:r>
          </w:p>
        </w:tc>
        <w:tc>
          <w:tcPr>
            <w:shd w:val="clear" w:color="auto" w:fill="F2F9F8"/>
          </w:tcPr>
          <w:p>
            <w:pPr>
              <w:pStyle w:val="Compact"/>
              <w:spacing w:after="20" w:before="20" w:line="240" w:lineRule="auto"/>
              <w:jc w:val="left"/>
            </w:pPr>
            <w:r>
              <w:rPr>
                <w:sz w:val="17"/>
              </w:rPr>
              <w:t xml:space="preserve">SMS, quittance imprimée</w:t>
            </w:r>
          </w:p>
        </w:tc>
      </w:tr>
      <w:tr>
        <w:tc>
          <w:tcPr/>
          <w:p>
            <w:pPr>
              <w:pStyle w:val="Compact"/>
              <w:spacing w:after="20" w:before="20" w:line="240" w:lineRule="auto"/>
              <w:jc w:val="left"/>
            </w:pPr>
            <w:r>
              <w:rPr>
                <w:sz w:val="17"/>
              </w:rPr>
              <w:t xml:space="preserve">Autorisations de transport</w:t>
            </w:r>
          </w:p>
        </w:tc>
        <w:tc>
          <w:tcPr/>
          <w:p>
            <w:pPr>
              <w:pStyle w:val="Compact"/>
              <w:spacing w:after="20" w:before="20" w:line="240" w:lineRule="auto"/>
              <w:jc w:val="left"/>
            </w:pPr>
            <w:r>
              <w:rPr>
                <w:sz w:val="17"/>
              </w:rPr>
              <w:t xml:space="preserve">Licence de taxi, bus, moto-taxi</w:t>
            </w:r>
          </w:p>
        </w:tc>
        <w:tc>
          <w:tcPr/>
          <w:p>
            <w:pPr>
              <w:pStyle w:val="Compact"/>
              <w:spacing w:after="20" w:before="20" w:line="240" w:lineRule="auto"/>
              <w:jc w:val="left"/>
            </w:pPr>
            <w:r>
              <w:rPr>
                <w:sz w:val="17"/>
              </w:rPr>
              <w:t xml:space="preserve">Mois ou année</w:t>
            </w:r>
          </w:p>
        </w:tc>
        <w:tc>
          <w:tcPr/>
          <w:p>
            <w:pPr>
              <w:pStyle w:val="Compact"/>
              <w:spacing w:after="20" w:before="20" w:line="240" w:lineRule="auto"/>
              <w:jc w:val="left"/>
            </w:pPr>
            <w:r>
              <w:rPr>
                <w:sz w:val="17"/>
              </w:rPr>
              <w:t xml:space="preserve">7 jours</w:t>
            </w:r>
          </w:p>
        </w:tc>
        <w:tc>
          <w:tcPr/>
          <w:p>
            <w:pPr>
              <w:pStyle w:val="Compact"/>
              <w:spacing w:after="20" w:before="20" w:line="240" w:lineRule="auto"/>
              <w:jc w:val="left"/>
            </w:pPr>
            <w:r>
              <w:rPr>
                <w:sz w:val="17"/>
              </w:rPr>
              <w:t xml:space="preserve">Autocollant QR sur le véhicule + carte du conducteur</w:t>
            </w:r>
          </w:p>
        </w:tc>
        <w:tc>
          <w:tcPr/>
          <w:p>
            <w:pPr>
              <w:pStyle w:val="Compact"/>
              <w:spacing w:after="20" w:before="20" w:line="240" w:lineRule="auto"/>
              <w:jc w:val="left"/>
            </w:pPr>
            <w:r>
              <w:rPr>
                <w:sz w:val="17"/>
              </w:rPr>
              <w:t xml:space="preserve">Contrôle par plaque</w:t>
            </w:r>
          </w:p>
        </w:tc>
      </w:tr>
      <w:tr>
        <w:tc>
          <w:tcPr>
            <w:shd w:val="clear" w:color="auto" w:fill="F2F9F8"/>
          </w:tcPr>
          <w:p>
            <w:pPr>
              <w:pStyle w:val="Compact"/>
              <w:spacing w:after="20" w:before="20" w:line="240" w:lineRule="auto"/>
              <w:jc w:val="left"/>
            </w:pPr>
            <w:r>
              <w:rPr>
                <w:sz w:val="17"/>
              </w:rPr>
              <w:t xml:space="preserve">Moto-taxis (wewa)</w:t>
            </w:r>
          </w:p>
        </w:tc>
        <w:tc>
          <w:tcPr>
            <w:shd w:val="clear" w:color="auto" w:fill="F2F9F8"/>
          </w:tcPr>
          <w:p>
            <w:pPr>
              <w:pStyle w:val="Compact"/>
              <w:spacing w:after="20" w:before="20" w:line="240" w:lineRule="auto"/>
              <w:jc w:val="left"/>
            </w:pPr>
            <w:r>
              <w:rPr>
                <w:sz w:val="17"/>
              </w:rPr>
              <w:t xml:space="preserve">Pass de circulation professionnelle</w:t>
            </w:r>
          </w:p>
        </w:tc>
        <w:tc>
          <w:tcPr>
            <w:shd w:val="clear" w:color="auto" w:fill="F2F9F8"/>
          </w:tcPr>
          <w:p>
            <w:pPr>
              <w:pStyle w:val="Compact"/>
              <w:spacing w:after="20" w:before="20" w:line="240" w:lineRule="auto"/>
              <w:jc w:val="left"/>
            </w:pPr>
            <w:r>
              <w:rPr>
                <w:sz w:val="17"/>
              </w:rPr>
              <w:t xml:space="preserve">Jour, semaine, mois</w:t>
            </w:r>
          </w:p>
        </w:tc>
        <w:tc>
          <w:tcPr>
            <w:shd w:val="clear" w:color="auto" w:fill="F2F9F8"/>
          </w:tcPr>
          <w:p>
            <w:pPr>
              <w:pStyle w:val="Compact"/>
              <w:spacing w:after="20" w:before="20" w:line="240" w:lineRule="auto"/>
              <w:jc w:val="left"/>
            </w:pPr>
            <w:r>
              <w:rPr>
                <w:sz w:val="17"/>
              </w:rPr>
              <w:t xml:space="preserve">2 h (jour) ; 1 jour (semaine) ; 3 jours (mois)</w:t>
            </w:r>
          </w:p>
        </w:tc>
        <w:tc>
          <w:tcPr>
            <w:shd w:val="clear" w:color="auto" w:fill="F2F9F8"/>
          </w:tcPr>
          <w:p>
            <w:pPr>
              <w:pStyle w:val="Compact"/>
              <w:spacing w:after="20" w:before="20" w:line="240" w:lineRule="auto"/>
              <w:jc w:val="left"/>
            </w:pPr>
            <w:r>
              <w:rPr>
                <w:sz w:val="17"/>
              </w:rPr>
              <w:t xml:space="preserve">Gilet numéroté QR + autocollant QR, lié à la plaque et au conducteur</w:t>
            </w:r>
          </w:p>
        </w:tc>
        <w:tc>
          <w:tcPr>
            <w:shd w:val="clear" w:color="auto" w:fill="F2F9F8"/>
          </w:tcPr>
          <w:p>
            <w:pPr>
              <w:pStyle w:val="Compact"/>
              <w:spacing w:after="20" w:before="20" w:line="240" w:lineRule="auto"/>
              <w:jc w:val="left"/>
            </w:pPr>
            <w:r>
              <w:rPr>
                <w:sz w:val="17"/>
              </w:rPr>
              <w:t xml:space="preserve">USSD, SMS, carte conducteur</w:t>
            </w:r>
          </w:p>
        </w:tc>
      </w:tr>
      <w:tr>
        <w:tc>
          <w:tcPr/>
          <w:p>
            <w:pPr>
              <w:pStyle w:val="Compact"/>
              <w:spacing w:after="20" w:before="20" w:line="240" w:lineRule="auto"/>
              <w:jc w:val="left"/>
            </w:pPr>
            <w:r>
              <w:rPr>
                <w:sz w:val="17"/>
              </w:rPr>
              <w:t xml:space="preserve">Marchés et domaine public</w:t>
            </w:r>
          </w:p>
        </w:tc>
        <w:tc>
          <w:tcPr/>
          <w:p>
            <w:pPr>
              <w:pStyle w:val="Compact"/>
              <w:spacing w:after="20" w:before="20" w:line="240" w:lineRule="auto"/>
              <w:jc w:val="left"/>
            </w:pPr>
            <w:r>
              <w:rPr>
                <w:sz w:val="17"/>
              </w:rPr>
              <w:t xml:space="preserve">Droit d’étal ou d’occupation</w:t>
            </w:r>
          </w:p>
        </w:tc>
        <w:tc>
          <w:tcPr/>
          <w:p>
            <w:pPr>
              <w:pStyle w:val="Compact"/>
              <w:spacing w:after="20" w:before="20" w:line="240" w:lineRule="auto"/>
              <w:jc w:val="left"/>
            </w:pPr>
            <w:r>
              <w:rPr>
                <w:sz w:val="17"/>
              </w:rPr>
              <w:t xml:space="preserve">Jour, semaine, mois</w:t>
            </w:r>
          </w:p>
        </w:tc>
        <w:tc>
          <w:tcPr/>
          <w:p>
            <w:pPr>
              <w:pStyle w:val="Compact"/>
              <w:spacing w:after="20" w:before="20" w:line="240" w:lineRule="auto"/>
              <w:jc w:val="left"/>
            </w:pPr>
            <w:r>
              <w:rPr>
                <w:sz w:val="17"/>
              </w:rPr>
              <w:t xml:space="preserve">Fin de journée ; 1 jour ; 3 jours</w:t>
            </w:r>
          </w:p>
        </w:tc>
        <w:tc>
          <w:tcPr/>
          <w:p>
            <w:pPr>
              <w:pStyle w:val="Compact"/>
              <w:spacing w:after="20" w:before="20" w:line="240" w:lineRule="auto"/>
              <w:jc w:val="left"/>
            </w:pPr>
            <w:r>
              <w:rPr>
                <w:sz w:val="17"/>
              </w:rPr>
              <w:t xml:space="preserve">Plaque QR de l’étal + carte du commerçant</w:t>
            </w:r>
          </w:p>
        </w:tc>
        <w:tc>
          <w:tcPr/>
          <w:p>
            <w:pPr>
              <w:pStyle w:val="Compact"/>
              <w:spacing w:after="20" w:before="20" w:line="240" w:lineRule="auto"/>
              <w:jc w:val="left"/>
            </w:pPr>
            <w:r>
              <w:rPr>
                <w:sz w:val="17"/>
              </w:rPr>
              <w:t xml:space="preserve">SMS, reçu imprimé</w:t>
            </w:r>
          </w:p>
        </w:tc>
      </w:tr>
      <w:tr>
        <w:tc>
          <w:tcPr>
            <w:shd w:val="clear" w:color="auto" w:fill="F2F9F8"/>
          </w:tcPr>
          <w:p>
            <w:pPr>
              <w:pStyle w:val="Compact"/>
              <w:spacing w:after="20" w:before="20" w:line="240" w:lineRule="auto"/>
              <w:jc w:val="left"/>
            </w:pPr>
            <w:r>
              <w:rPr>
                <w:sz w:val="17"/>
              </w:rPr>
              <w:t xml:space="preserve">Patente, débits de boissons</w:t>
            </w:r>
          </w:p>
        </w:tc>
        <w:tc>
          <w:tcPr>
            <w:shd w:val="clear" w:color="auto" w:fill="F2F9F8"/>
          </w:tcPr>
          <w:p>
            <w:pPr>
              <w:pStyle w:val="Compact"/>
              <w:spacing w:after="20" w:before="20" w:line="240" w:lineRule="auto"/>
              <w:jc w:val="left"/>
            </w:pPr>
            <w:r>
              <w:rPr>
                <w:sz w:val="17"/>
              </w:rPr>
              <w:t xml:space="preserve">Certificat d’exploitation</w:t>
            </w:r>
          </w:p>
        </w:tc>
        <w:tc>
          <w:tcPr>
            <w:shd w:val="clear" w:color="auto" w:fill="F2F9F8"/>
          </w:tcPr>
          <w:p>
            <w:pPr>
              <w:pStyle w:val="Compact"/>
              <w:spacing w:after="20" w:before="20" w:line="240" w:lineRule="auto"/>
              <w:jc w:val="left"/>
            </w:pPr>
            <w:r>
              <w:rPr>
                <w:sz w:val="17"/>
              </w:rPr>
              <w:t xml:space="preserve">Exercice</w:t>
            </w:r>
          </w:p>
        </w:tc>
        <w:tc>
          <w:tcPr>
            <w:shd w:val="clear" w:color="auto" w:fill="F2F9F8"/>
          </w:tcPr>
          <w:p>
            <w:pPr>
              <w:pStyle w:val="Compact"/>
              <w:spacing w:after="20" w:before="20" w:line="240" w:lineRule="auto"/>
              <w:jc w:val="left"/>
            </w:pPr>
            <w:r>
              <w:rPr>
                <w:sz w:val="17"/>
              </w:rPr>
              <w:t xml:space="preserve">30 jours</w:t>
            </w:r>
          </w:p>
        </w:tc>
        <w:tc>
          <w:tcPr>
            <w:shd w:val="clear" w:color="auto" w:fill="F2F9F8"/>
          </w:tcPr>
          <w:p>
            <w:pPr>
              <w:pStyle w:val="Compact"/>
              <w:spacing w:after="20" w:before="20" w:line="240" w:lineRule="auto"/>
              <w:jc w:val="left"/>
            </w:pPr>
            <w:r>
              <w:rPr>
                <w:sz w:val="17"/>
              </w:rPr>
              <w:t xml:space="preserve">QR apposé sur la devanture</w:t>
            </w:r>
          </w:p>
        </w:tc>
        <w:tc>
          <w:tcPr>
            <w:shd w:val="clear" w:color="auto" w:fill="F2F9F8"/>
          </w:tcPr>
          <w:p>
            <w:pPr>
              <w:pStyle w:val="Compact"/>
              <w:spacing w:after="20" w:before="20" w:line="240" w:lineRule="auto"/>
              <w:jc w:val="left"/>
            </w:pPr>
            <w:r>
              <w:rPr>
                <w:sz w:val="17"/>
              </w:rPr>
              <w:t xml:space="preserve">Contrôle par identifiant de l’établissement</w:t>
            </w:r>
          </w:p>
        </w:tc>
      </w:tr>
      <w:tr>
        <w:tc>
          <w:tcPr/>
          <w:p>
            <w:pPr>
              <w:pStyle w:val="Compact"/>
              <w:spacing w:after="20" w:before="20" w:line="240" w:lineRule="auto"/>
              <w:jc w:val="left"/>
            </w:pPr>
            <w:r>
              <w:rPr>
                <w:sz w:val="17"/>
              </w:rPr>
              <w:t xml:space="preserve">Publicité, antennes</w:t>
            </w:r>
          </w:p>
        </w:tc>
        <w:tc>
          <w:tcPr/>
          <w:p>
            <w:pPr>
              <w:pStyle w:val="Compact"/>
              <w:spacing w:after="20" w:before="20" w:line="240" w:lineRule="auto"/>
              <w:jc w:val="left"/>
            </w:pPr>
            <w:r>
              <w:rPr>
                <w:sz w:val="17"/>
              </w:rPr>
              <w:t xml:space="preserve">Autorisation d’affichage ou d’implantation</w:t>
            </w:r>
          </w:p>
        </w:tc>
        <w:tc>
          <w:tcPr/>
          <w:p>
            <w:pPr>
              <w:pStyle w:val="Compact"/>
              <w:spacing w:after="20" w:before="20" w:line="240" w:lineRule="auto"/>
              <w:jc w:val="left"/>
            </w:pPr>
            <w:r>
              <w:rPr>
                <w:sz w:val="17"/>
              </w:rPr>
              <w:t xml:space="preserve">Exercice</w:t>
            </w:r>
          </w:p>
        </w:tc>
        <w:tc>
          <w:tcPr/>
          <w:p>
            <w:pPr>
              <w:pStyle w:val="Compact"/>
              <w:spacing w:after="20" w:before="20" w:line="240" w:lineRule="auto"/>
              <w:jc w:val="left"/>
            </w:pPr>
            <w:r>
              <w:rPr>
                <w:sz w:val="17"/>
              </w:rPr>
              <w:t xml:space="preserve">30 jours</w:t>
            </w:r>
          </w:p>
        </w:tc>
        <w:tc>
          <w:tcPr/>
          <w:p>
            <w:pPr>
              <w:pStyle w:val="Compact"/>
              <w:spacing w:after="20" w:before="20" w:line="240" w:lineRule="auto"/>
              <w:jc w:val="left"/>
            </w:pPr>
            <w:r>
              <w:rPr>
                <w:sz w:val="17"/>
              </w:rPr>
              <w:t xml:space="preserve">Plaque QR sur le panneau ou le site</w:t>
            </w:r>
          </w:p>
        </w:tc>
        <w:tc>
          <w:tcPr/>
          <w:p>
            <w:pPr>
              <w:pStyle w:val="Compact"/>
              <w:spacing w:after="20" w:before="20" w:line="240" w:lineRule="auto"/>
              <w:jc w:val="left"/>
            </w:pPr>
            <w:r>
              <w:rPr>
                <w:sz w:val="17"/>
              </w:rPr>
              <w:t xml:space="preserve">Contrôle par identifiant géographique</w:t>
            </w:r>
          </w:p>
        </w:tc>
      </w:tr>
      <w:tr>
        <w:tc>
          <w:tcPr>
            <w:shd w:val="clear" w:color="auto" w:fill="F2F9F8"/>
          </w:tcPr>
          <w:p>
            <w:pPr>
              <w:pStyle w:val="Compact"/>
              <w:spacing w:after="20" w:before="20" w:line="240" w:lineRule="auto"/>
              <w:jc w:val="left"/>
            </w:pPr>
            <w:r>
              <w:rPr>
                <w:sz w:val="17"/>
              </w:rPr>
              <w:t xml:space="preserve">Embarquement, ports</w:t>
            </w:r>
          </w:p>
        </w:tc>
        <w:tc>
          <w:tcPr>
            <w:shd w:val="clear" w:color="auto" w:fill="F2F9F8"/>
          </w:tcPr>
          <w:p>
            <w:pPr>
              <w:pStyle w:val="Compact"/>
              <w:spacing w:after="20" w:before="20" w:line="240" w:lineRule="auto"/>
              <w:jc w:val="left"/>
            </w:pPr>
            <w:r>
              <w:rPr>
                <w:sz w:val="17"/>
              </w:rPr>
              <w:t xml:space="preserve">Titre d’embarquement ou d’accostage</w:t>
            </w:r>
          </w:p>
        </w:tc>
        <w:tc>
          <w:tcPr>
            <w:shd w:val="clear" w:color="auto" w:fill="F2F9F8"/>
          </w:tcPr>
          <w:p>
            <w:pPr>
              <w:pStyle w:val="Compact"/>
              <w:spacing w:after="20" w:before="20" w:line="240" w:lineRule="auto"/>
              <w:jc w:val="left"/>
            </w:pPr>
            <w:r>
              <w:rPr>
                <w:sz w:val="17"/>
              </w:rPr>
              <w:t xml:space="preserve">Usage unique ou journalier</w:t>
            </w:r>
          </w:p>
        </w:tc>
        <w:tc>
          <w:tcPr>
            <w:shd w:val="clear" w:color="auto" w:fill="F2F9F8"/>
          </w:tcPr>
          <w:p>
            <w:pPr>
              <w:pStyle w:val="Compact"/>
              <w:spacing w:after="20" w:before="20" w:line="240" w:lineRule="auto"/>
              <w:jc w:val="left"/>
            </w:pPr>
            <w:r>
              <w:rPr>
                <w:sz w:val="17"/>
              </w:rPr>
              <w:t xml:space="preserve">Avant départ</w:t>
            </w:r>
          </w:p>
        </w:tc>
        <w:tc>
          <w:tcPr>
            <w:shd w:val="clear" w:color="auto" w:fill="F2F9F8"/>
          </w:tcPr>
          <w:p>
            <w:pPr>
              <w:pStyle w:val="Compact"/>
              <w:spacing w:after="20" w:before="20" w:line="240" w:lineRule="auto"/>
              <w:jc w:val="left"/>
            </w:pPr>
            <w:r>
              <w:rPr>
                <w:sz w:val="17"/>
              </w:rPr>
              <w:t xml:space="preserve">QR à usage unique, consommé au scan</w:t>
            </w:r>
          </w:p>
        </w:tc>
        <w:tc>
          <w:tcPr>
            <w:shd w:val="clear" w:color="auto" w:fill="F2F9F8"/>
          </w:tcPr>
          <w:p>
            <w:pPr>
              <w:pStyle w:val="Compact"/>
              <w:spacing w:after="20" w:before="20" w:line="240" w:lineRule="auto"/>
              <w:jc w:val="left"/>
            </w:pPr>
            <w:r>
              <w:rPr>
                <w:sz w:val="17"/>
              </w:rPr>
              <w:t xml:space="preserve">Code court par SMS</w:t>
            </w:r>
          </w:p>
        </w:tc>
      </w:tr>
      <w:tr>
        <w:tc>
          <w:tcPr/>
          <w:p>
            <w:pPr>
              <w:pStyle w:val="Compact"/>
              <w:spacing w:after="20" w:before="20" w:line="240" w:lineRule="auto"/>
              <w:jc w:val="left"/>
            </w:pPr>
            <w:r>
              <w:rPr>
                <w:sz w:val="17"/>
              </w:rPr>
              <w:t xml:space="preserve">Péage</w:t>
            </w:r>
          </w:p>
        </w:tc>
        <w:tc>
          <w:tcPr/>
          <w:p>
            <w:pPr>
              <w:pStyle w:val="Compact"/>
              <w:spacing w:after="20" w:before="20" w:line="240" w:lineRule="auto"/>
              <w:jc w:val="left"/>
            </w:pPr>
            <w:r>
              <w:rPr>
                <w:sz w:val="17"/>
              </w:rPr>
              <w:t xml:space="preserve">Passage ou forfait</w:t>
            </w:r>
          </w:p>
        </w:tc>
        <w:tc>
          <w:tcPr/>
          <w:p>
            <w:pPr>
              <w:pStyle w:val="Compact"/>
              <w:spacing w:after="20" w:before="20" w:line="240" w:lineRule="auto"/>
              <w:jc w:val="left"/>
            </w:pPr>
            <w:r>
              <w:rPr>
                <w:sz w:val="17"/>
              </w:rPr>
              <w:t xml:space="preserve">Usage unique, carnet ou abonnement</w:t>
            </w:r>
          </w:p>
        </w:tc>
        <w:tc>
          <w:tcPr/>
          <w:p>
            <w:pPr>
              <w:pStyle w:val="Compact"/>
              <w:spacing w:after="20" w:before="20" w:line="240" w:lineRule="auto"/>
              <w:jc w:val="left"/>
            </w:pPr>
            <w:r>
              <w:rPr>
                <w:sz w:val="17"/>
              </w:rPr>
              <w:t xml:space="preserve">Selon forfait</w:t>
            </w:r>
          </w:p>
        </w:tc>
        <w:tc>
          <w:tcPr/>
          <w:p>
            <w:pPr>
              <w:pStyle w:val="Compact"/>
              <w:spacing w:after="20" w:before="20" w:line="240" w:lineRule="auto"/>
              <w:jc w:val="left"/>
            </w:pPr>
            <w:r>
              <w:rPr>
                <w:sz w:val="17"/>
              </w:rPr>
              <w:t xml:space="preserve">Titre lié à la plaque</w:t>
            </w:r>
          </w:p>
        </w:tc>
        <w:tc>
          <w:tcPr/>
          <w:p>
            <w:pPr>
              <w:pStyle w:val="Compact"/>
              <w:spacing w:after="20" w:before="20" w:line="240" w:lineRule="auto"/>
              <w:jc w:val="left"/>
            </w:pPr>
            <w:r>
              <w:rPr>
                <w:sz w:val="17"/>
              </w:rPr>
              <w:t xml:space="preserve">Reçu à QR</w:t>
            </w:r>
          </w:p>
        </w:tc>
      </w:tr>
      <w:tr>
        <w:tc>
          <w:tcPr>
            <w:shd w:val="clear" w:color="auto" w:fill="F2F9F8"/>
          </w:tcPr>
          <w:p>
            <w:pPr>
              <w:pStyle w:val="Compact"/>
              <w:spacing w:after="20" w:before="20" w:line="240" w:lineRule="auto"/>
              <w:jc w:val="left"/>
            </w:pPr>
            <w:r>
              <w:rPr>
                <w:sz w:val="17"/>
              </w:rPr>
              <w:t xml:space="preserve">Carrières</w:t>
            </w:r>
          </w:p>
        </w:tc>
        <w:tc>
          <w:tcPr>
            <w:shd w:val="clear" w:color="auto" w:fill="F2F9F8"/>
          </w:tcPr>
          <w:p>
            <w:pPr>
              <w:pStyle w:val="Compact"/>
              <w:spacing w:after="20" w:before="20" w:line="240" w:lineRule="auto"/>
              <w:jc w:val="left"/>
            </w:pPr>
            <w:r>
              <w:rPr>
                <w:sz w:val="17"/>
              </w:rPr>
              <w:t xml:space="preserve">Bon de sortie de camion</w:t>
            </w:r>
          </w:p>
        </w:tc>
        <w:tc>
          <w:tcPr>
            <w:shd w:val="clear" w:color="auto" w:fill="F2F9F8"/>
          </w:tcPr>
          <w:p>
            <w:pPr>
              <w:pStyle w:val="Compact"/>
              <w:spacing w:after="20" w:before="20" w:line="240" w:lineRule="auto"/>
              <w:jc w:val="left"/>
            </w:pPr>
            <w:r>
              <w:rPr>
                <w:sz w:val="17"/>
              </w:rPr>
              <w:t xml:space="preserve">Usage unique</w:t>
            </w:r>
          </w:p>
        </w:tc>
        <w:tc>
          <w:tcPr>
            <w:shd w:val="clear" w:color="auto" w:fill="F2F9F8"/>
          </w:tcPr>
          <w:p>
            <w:pPr>
              <w:pStyle w:val="Compact"/>
              <w:spacing w:after="20" w:before="20" w:line="240" w:lineRule="auto"/>
              <w:jc w:val="left"/>
            </w:pPr>
            <w:r>
              <w:rPr>
                <w:sz w:val="17"/>
              </w:rPr>
              <w:t xml:space="preserve">—</w:t>
            </w:r>
          </w:p>
        </w:tc>
        <w:tc>
          <w:tcPr>
            <w:shd w:val="clear" w:color="auto" w:fill="F2F9F8"/>
          </w:tcPr>
          <w:p>
            <w:pPr>
              <w:pStyle w:val="Compact"/>
              <w:spacing w:after="20" w:before="20" w:line="240" w:lineRule="auto"/>
              <w:jc w:val="left"/>
            </w:pPr>
            <w:r>
              <w:rPr>
                <w:sz w:val="17"/>
              </w:rPr>
              <w:t xml:space="preserve">QR à usage unique lié au camion et au chargement</w:t>
            </w:r>
          </w:p>
        </w:tc>
        <w:tc>
          <w:tcPr>
            <w:shd w:val="clear" w:color="auto" w:fill="F2F9F8"/>
          </w:tcPr>
          <w:p>
            <w:pPr>
              <w:pStyle w:val="Compact"/>
              <w:spacing w:after="20" w:before="20" w:line="240" w:lineRule="auto"/>
              <w:jc w:val="left"/>
            </w:pPr>
            <w:r>
              <w:rPr>
                <w:sz w:val="17"/>
              </w:rPr>
              <w:t xml:space="preserve">Code court</w:t>
            </w:r>
          </w:p>
        </w:tc>
      </w:tr>
      <w:tr>
        <w:tc>
          <w:tcPr/>
          <w:p>
            <w:pPr>
              <w:pStyle w:val="Compact"/>
              <w:spacing w:after="20" w:before="20" w:line="240" w:lineRule="auto"/>
              <w:jc w:val="left"/>
            </w:pPr>
            <w:r>
              <w:rPr>
                <w:sz w:val="17"/>
              </w:rPr>
              <w:t xml:space="preserve">Spectacles et événements</w:t>
            </w:r>
          </w:p>
        </w:tc>
        <w:tc>
          <w:tcPr/>
          <w:p>
            <w:pPr>
              <w:pStyle w:val="Compact"/>
              <w:spacing w:after="20" w:before="20" w:line="240" w:lineRule="auto"/>
              <w:jc w:val="left"/>
            </w:pPr>
            <w:r>
              <w:rPr>
                <w:sz w:val="17"/>
              </w:rPr>
              <w:t xml:space="preserve">Autorisation d’événement</w:t>
            </w:r>
          </w:p>
        </w:tc>
        <w:tc>
          <w:tcPr/>
          <w:p>
            <w:pPr>
              <w:pStyle w:val="Compact"/>
              <w:spacing w:after="20" w:before="20" w:line="240" w:lineRule="auto"/>
              <w:jc w:val="left"/>
            </w:pPr>
            <w:r>
              <w:rPr>
                <w:sz w:val="17"/>
              </w:rPr>
              <w:t xml:space="preserve">Dates de l’événement</w:t>
            </w:r>
          </w:p>
        </w:tc>
        <w:tc>
          <w:tcPr/>
          <w:p>
            <w:pPr>
              <w:pStyle w:val="Compact"/>
              <w:spacing w:after="20" w:before="20" w:line="240" w:lineRule="auto"/>
              <w:jc w:val="left"/>
            </w:pPr>
            <w:r>
              <w:rPr>
                <w:sz w:val="17"/>
              </w:rPr>
              <w:t xml:space="preserve">2 jours</w:t>
            </w:r>
          </w:p>
        </w:tc>
        <w:tc>
          <w:tcPr/>
          <w:p>
            <w:pPr>
              <w:pStyle w:val="Compact"/>
              <w:spacing w:after="20" w:before="20" w:line="240" w:lineRule="auto"/>
              <w:jc w:val="left"/>
            </w:pPr>
            <w:r>
              <w:rPr>
                <w:sz w:val="17"/>
              </w:rPr>
              <w:t xml:space="preserve">Certificat QR affiché sur le lieu</w:t>
            </w:r>
          </w:p>
        </w:tc>
        <w:tc>
          <w:tcPr/>
          <w:p>
            <w:pPr>
              <w:pStyle w:val="Compact"/>
              <w:spacing w:after="20" w:before="20" w:line="240" w:lineRule="auto"/>
              <w:jc w:val="left"/>
            </w:pPr>
            <w:r>
              <w:rPr>
                <w:sz w:val="17"/>
              </w:rPr>
              <w:t xml:space="preserve">Contrôle par identifiant</w:t>
            </w:r>
          </w:p>
        </w:tc>
      </w:tr>
      <w:tr>
        <w:tc>
          <w:tcPr>
            <w:shd w:val="clear" w:color="auto" w:fill="F2F9F8"/>
          </w:tcPr>
          <w:p>
            <w:pPr>
              <w:pStyle w:val="Compact"/>
              <w:spacing w:after="20" w:before="20" w:line="240" w:lineRule="auto"/>
              <w:jc w:val="left"/>
            </w:pPr>
            <w:r>
              <w:rPr>
                <w:sz w:val="17"/>
              </w:rPr>
              <w:t xml:space="preserve">Chantiers et voirie</w:t>
            </w:r>
          </w:p>
        </w:tc>
        <w:tc>
          <w:tcPr>
            <w:shd w:val="clear" w:color="auto" w:fill="F2F9F8"/>
          </w:tcPr>
          <w:p>
            <w:pPr>
              <w:pStyle w:val="Compact"/>
              <w:spacing w:after="20" w:before="20" w:line="240" w:lineRule="auto"/>
              <w:jc w:val="left"/>
            </w:pPr>
            <w:r>
              <w:rPr>
                <w:sz w:val="17"/>
              </w:rPr>
              <w:t xml:space="preserve">Permis d’occuper la voie</w:t>
            </w:r>
          </w:p>
        </w:tc>
        <w:tc>
          <w:tcPr>
            <w:shd w:val="clear" w:color="auto" w:fill="F2F9F8"/>
          </w:tcPr>
          <w:p>
            <w:pPr>
              <w:pStyle w:val="Compact"/>
              <w:spacing w:after="20" w:before="20" w:line="240" w:lineRule="auto"/>
              <w:jc w:val="left"/>
            </w:pPr>
            <w:r>
              <w:rPr>
                <w:sz w:val="17"/>
              </w:rPr>
              <w:t xml:space="preserve">Durée du chantier</w:t>
            </w:r>
          </w:p>
        </w:tc>
        <w:tc>
          <w:tcPr>
            <w:shd w:val="clear" w:color="auto" w:fill="F2F9F8"/>
          </w:tcPr>
          <w:p>
            <w:pPr>
              <w:pStyle w:val="Compact"/>
              <w:spacing w:after="20" w:before="20" w:line="240" w:lineRule="auto"/>
              <w:jc w:val="left"/>
            </w:pPr>
            <w:r>
              <w:rPr>
                <w:sz w:val="17"/>
              </w:rPr>
              <w:t xml:space="preserve">3 jours</w:t>
            </w:r>
          </w:p>
        </w:tc>
        <w:tc>
          <w:tcPr>
            <w:shd w:val="clear" w:color="auto" w:fill="F2F9F8"/>
          </w:tcPr>
          <w:p>
            <w:pPr>
              <w:pStyle w:val="Compact"/>
              <w:spacing w:after="20" w:before="20" w:line="240" w:lineRule="auto"/>
              <w:jc w:val="left"/>
            </w:pPr>
            <w:r>
              <w:rPr>
                <w:sz w:val="17"/>
              </w:rPr>
              <w:t xml:space="preserve">Panneau de chantier à QR</w:t>
            </w:r>
          </w:p>
        </w:tc>
        <w:tc>
          <w:tcPr>
            <w:shd w:val="clear" w:color="auto" w:fill="F2F9F8"/>
          </w:tcPr>
          <w:p>
            <w:pPr>
              <w:pStyle w:val="Compact"/>
              <w:spacing w:after="20" w:before="20" w:line="240" w:lineRule="auto"/>
              <w:jc w:val="left"/>
            </w:pPr>
            <w:r>
              <w:rPr>
                <w:sz w:val="17"/>
              </w:rPr>
              <w:t xml:space="preserve">Contrôle par adresse</w:t>
            </w:r>
          </w:p>
        </w:tc>
      </w:tr>
      <w:tr>
        <w:tc>
          <w:tcPr/>
          <w:p>
            <w:pPr>
              <w:pStyle w:val="Compact"/>
              <w:spacing w:after="20" w:before="20" w:line="240" w:lineRule="auto"/>
              <w:jc w:val="left"/>
            </w:pPr>
            <w:r>
              <w:rPr>
                <w:sz w:val="17"/>
              </w:rPr>
              <w:t xml:space="preserve">Impôt foncier et IRL</w:t>
            </w:r>
          </w:p>
        </w:tc>
        <w:tc>
          <w:tcPr/>
          <w:p>
            <w:pPr>
              <w:pStyle w:val="Compact"/>
              <w:spacing w:after="20" w:before="20" w:line="240" w:lineRule="auto"/>
              <w:jc w:val="left"/>
            </w:pPr>
            <w:r>
              <w:rPr>
                <w:sz w:val="17"/>
              </w:rPr>
              <w:t xml:space="preserve">Quittance annuelle et statut de l’objet</w:t>
            </w:r>
          </w:p>
        </w:tc>
        <w:tc>
          <w:tcPr/>
          <w:p>
            <w:pPr>
              <w:pStyle w:val="Compact"/>
              <w:spacing w:after="20" w:before="20" w:line="240" w:lineRule="auto"/>
              <w:jc w:val="left"/>
            </w:pPr>
            <w:r>
              <w:rPr>
                <w:sz w:val="17"/>
              </w:rPr>
              <w:t xml:space="preserve">Exercice</w:t>
            </w:r>
          </w:p>
        </w:tc>
        <w:tc>
          <w:tcPr/>
          <w:p>
            <w:pPr>
              <w:pStyle w:val="Compact"/>
              <w:spacing w:after="20" w:before="20" w:line="240" w:lineRule="auto"/>
              <w:jc w:val="left"/>
            </w:pPr>
            <w:r>
              <w:rPr>
                <w:sz w:val="17"/>
              </w:rPr>
              <w:t xml:space="preserve">Échéance légale</w:t>
            </w:r>
          </w:p>
        </w:tc>
        <w:tc>
          <w:tcPr/>
          <w:p>
            <w:pPr>
              <w:pStyle w:val="Compact"/>
              <w:spacing w:after="20" w:before="20" w:line="240" w:lineRule="auto"/>
              <w:jc w:val="left"/>
            </w:pPr>
            <w:r>
              <w:rPr>
                <w:sz w:val="17"/>
              </w:rPr>
              <w:t xml:space="preserve">Plaque QR de la parcelle ou de l’unité</w:t>
            </w:r>
          </w:p>
        </w:tc>
        <w:tc>
          <w:tcPr/>
          <w:p>
            <w:pPr>
              <w:pStyle w:val="Compact"/>
              <w:spacing w:after="20" w:before="20" w:line="240" w:lineRule="auto"/>
              <w:jc w:val="left"/>
            </w:pPr>
            <w:r>
              <w:rPr>
                <w:sz w:val="17"/>
              </w:rPr>
              <w:t xml:space="preserve">Quittance, SMS</w:t>
            </w:r>
          </w:p>
        </w:tc>
      </w:tr>
      <w:tr>
        <w:tc>
          <w:tcPr>
            <w:shd w:val="clear" w:color="auto" w:fill="F2F9F8"/>
          </w:tcPr>
          <w:p>
            <w:pPr>
              <w:pStyle w:val="Compact"/>
              <w:spacing w:after="20" w:before="20" w:line="240" w:lineRule="auto"/>
              <w:jc w:val="left"/>
            </w:pPr>
            <w:r>
              <w:rPr>
                <w:sz w:val="17"/>
              </w:rPr>
              <w:t xml:space="preserve">Quitus fiscal</w:t>
            </w:r>
          </w:p>
        </w:tc>
        <w:tc>
          <w:tcPr>
            <w:shd w:val="clear" w:color="auto" w:fill="F2F9F8"/>
          </w:tcPr>
          <w:p>
            <w:pPr>
              <w:pStyle w:val="Compact"/>
              <w:spacing w:after="20" w:before="20" w:line="240" w:lineRule="auto"/>
              <w:jc w:val="left"/>
            </w:pPr>
            <w:r>
              <w:rPr>
                <w:sz w:val="17"/>
              </w:rPr>
              <w:t xml:space="preserve">Attestation de conformité</w:t>
            </w:r>
          </w:p>
        </w:tc>
        <w:tc>
          <w:tcPr>
            <w:shd w:val="clear" w:color="auto" w:fill="F2F9F8"/>
          </w:tcPr>
          <w:p>
            <w:pPr>
              <w:pStyle w:val="Compact"/>
              <w:spacing w:after="20" w:before="20" w:line="240" w:lineRule="auto"/>
              <w:jc w:val="left"/>
            </w:pPr>
            <w:r>
              <w:rPr>
                <w:sz w:val="17"/>
              </w:rPr>
              <w:t xml:space="preserve">Période fixée par règle</w:t>
            </w:r>
          </w:p>
        </w:tc>
        <w:tc>
          <w:tcPr>
            <w:shd w:val="clear" w:color="auto" w:fill="F2F9F8"/>
          </w:tcPr>
          <w:p>
            <w:pPr>
              <w:pStyle w:val="Compact"/>
              <w:spacing w:after="20" w:before="20" w:line="240" w:lineRule="auto"/>
              <w:jc w:val="left"/>
            </w:pPr>
            <w:r>
              <w:rPr>
                <w:sz w:val="17"/>
              </w:rPr>
              <w:t xml:space="preserve">15 jours</w:t>
            </w:r>
          </w:p>
        </w:tc>
        <w:tc>
          <w:tcPr>
            <w:shd w:val="clear" w:color="auto" w:fill="F2F9F8"/>
          </w:tcPr>
          <w:p>
            <w:pPr>
              <w:pStyle w:val="Compact"/>
              <w:spacing w:after="20" w:before="20" w:line="240" w:lineRule="auto"/>
              <w:jc w:val="left"/>
            </w:pPr>
            <w:r>
              <w:rPr>
                <w:sz w:val="17"/>
              </w:rPr>
              <w:t xml:space="preserve">Document QR vérifiable par les administrations</w:t>
            </w:r>
          </w:p>
        </w:tc>
        <w:tc>
          <w:tcPr>
            <w:shd w:val="clear" w:color="auto" w:fill="F2F9F8"/>
          </w:tcPr>
          <w:p>
            <w:pPr>
              <w:pStyle w:val="Compact"/>
              <w:spacing w:after="20" w:before="20" w:line="240" w:lineRule="auto"/>
              <w:jc w:val="left"/>
            </w:pPr>
            <w:r>
              <w:rPr>
                <w:sz w:val="17"/>
              </w:rPr>
              <w:t xml:space="preserve">Code court</w:t>
            </w:r>
          </w:p>
        </w:tc>
      </w:tr>
    </w:tbl>
    <w:p>
      <w:pPr>
        <w:pStyle w:val="BodyText"/>
      </w:pPr>
      <w:r>
        <w:t xml:space="preserve">Les valeurs de seuil sont indicatives et fixées par la fiche de configuration de chaque module (§ 10A.4).</w:t>
      </w:r>
    </w:p>
    <w:bookmarkEnd w:id="204"/>
    <w:bookmarkStart w:id="205" w:name="a.5-le-qr-et-les-autres-supports"/>
    <w:p>
      <w:pPr>
        <w:pStyle w:val="Heading2"/>
      </w:pPr>
      <w:r>
        <w:t xml:space="preserve">19A.5 Le QR et les autres supports</w:t>
      </w:r>
    </w:p>
    <w:p>
      <w:pPr>
        <w:pStyle w:val="Compact"/>
        <w:numPr>
          <w:ilvl w:val="0"/>
          <w:numId w:val="1055"/>
        </w:numPr>
      </w:pPr>
      <w:r>
        <w:rPr>
          <w:b/>
          <w:bCs/>
        </w:rPr>
        <w:t xml:space="preserve">QR dynamique (application)</w:t>
      </w:r>
      <w:r>
        <w:t xml:space="preserve"> </w:t>
      </w:r>
      <w:r>
        <w:t xml:space="preserve">: le code change automatiquement toutes les 30 secondes et s’affiche avec un compte à rebours animé, la date et l’heure de fin, la couleur du statut et un élément animé. Une capture d’écran se reconnaît donc immédiatement, et un code copié devient invalide.</w:t>
      </w:r>
    </w:p>
    <w:p>
      <w:pPr>
        <w:pStyle w:val="Compact"/>
        <w:numPr>
          <w:ilvl w:val="0"/>
          <w:numId w:val="1055"/>
        </w:numPr>
      </w:pPr>
      <w:r>
        <w:rPr>
          <w:b/>
          <w:bCs/>
        </w:rPr>
        <w:t xml:space="preserve">QR statique (papier, autocollant, plaque)</w:t>
      </w:r>
      <w:r>
        <w:t xml:space="preserve"> </w:t>
      </w:r>
      <w:r>
        <w:t xml:space="preserve">: il contient un jeton signé comportant le type de titre, l’identifiant, et les dates de début et de fin. Le support imprimé affiche aussi, en gros caractères, la date et l’heure de début et de fin, les pictogrammes du module et un code court.</w:t>
      </w:r>
    </w:p>
    <w:p>
      <w:pPr>
        <w:pStyle w:val="Compact"/>
        <w:numPr>
          <w:ilvl w:val="0"/>
          <w:numId w:val="1055"/>
        </w:numPr>
      </w:pPr>
      <w:r>
        <w:rPr>
          <w:b/>
          <w:bCs/>
        </w:rPr>
        <w:t xml:space="preserve">Titre sans support</w:t>
      </w:r>
      <w:r>
        <w:t xml:space="preserve"> </w:t>
      </w:r>
      <w:r>
        <w:t xml:space="preserve">: pour le stationnement, les péages ou la circulation, le titre est lié à la plaque d’immatriculation ; le contrôle se fait sur la plaque, sans rien à montrer.</w:t>
      </w:r>
    </w:p>
    <w:p>
      <w:pPr>
        <w:pStyle w:val="Compact"/>
        <w:numPr>
          <w:ilvl w:val="0"/>
          <w:numId w:val="1055"/>
        </w:numPr>
      </w:pPr>
      <w:r>
        <w:rPr>
          <w:b/>
          <w:bCs/>
        </w:rPr>
        <w:t xml:space="preserve">SMS et code court</w:t>
      </w:r>
      <w:r>
        <w:t xml:space="preserve"> </w:t>
      </w:r>
      <w:r>
        <w:t xml:space="preserve">: pour les téléphones basiques, avec vérification par numéro court, USSD ou SVI.</w:t>
      </w:r>
    </w:p>
    <w:p>
      <w:pPr>
        <w:pStyle w:val="Compact"/>
        <w:numPr>
          <w:ilvl w:val="0"/>
          <w:numId w:val="1055"/>
        </w:numPr>
      </w:pPr>
      <w:r>
        <w:rPr>
          <w:b/>
          <w:bCs/>
        </w:rPr>
        <w:t xml:space="preserve">Carte MOSOLO</w:t>
      </w:r>
      <w:r>
        <w:t xml:space="preserve"> </w:t>
      </w:r>
      <w:r>
        <w:t xml:space="preserve">: lorsqu’un titre est rattaché au titulaire plutôt qu’à un objet (§ 13A.2).</w:t>
      </w:r>
    </w:p>
    <w:p>
      <w:pPr>
        <w:pStyle w:val="Compact"/>
        <w:numPr>
          <w:ilvl w:val="0"/>
          <w:numId w:val="1055"/>
        </w:numPr>
      </w:pPr>
      <w:r>
        <w:rPr>
          <w:b/>
          <w:bCs/>
        </w:rPr>
        <w:t xml:space="preserve">Visuels distincts par module</w:t>
      </w:r>
      <w:r>
        <w:t xml:space="preserve"> </w:t>
      </w:r>
      <w:r>
        <w:t xml:space="preserve">: chaque type de titre a sa couleur de cadre, son pictogramme et son préfixe de code (par exemple STA pour stationnement, MAR pour marché, VIG pour vignette), afin qu’un titre ne puisse pas être présenté pour un autre service.</w:t>
      </w:r>
    </w:p>
    <w:bookmarkEnd w:id="205"/>
    <w:bookmarkStart w:id="206" w:name="a.6-temps-contrôle-et-hors-ligne"/>
    <w:p>
      <w:pPr>
        <w:pStyle w:val="Heading2"/>
      </w:pPr>
      <w:r>
        <w:t xml:space="preserve">19A.6 Temps, contrôle et hors-ligne</w:t>
      </w:r>
    </w:p>
    <w:p>
      <w:pPr>
        <w:pStyle w:val="Compact"/>
        <w:numPr>
          <w:ilvl w:val="0"/>
          <w:numId w:val="1056"/>
        </w:numPr>
      </w:pPr>
      <w:r>
        <w:rPr>
          <w:b/>
          <w:bCs/>
        </w:rPr>
        <w:t xml:space="preserve">L’heure de référence est celle du serveur</w:t>
      </w:r>
      <w:r>
        <w:t xml:space="preserve">, synchronisée sur une source de temps de confiance, dans le fuseau de Kinshasa ; l’heure du téléphone du citoyen ou du terminal de l’agent n’est jamais prise en compte pour décider de la validité.</w:t>
      </w:r>
    </w:p>
    <w:p>
      <w:pPr>
        <w:pStyle w:val="Compact"/>
        <w:numPr>
          <w:ilvl w:val="0"/>
          <w:numId w:val="1056"/>
        </w:numPr>
      </w:pPr>
      <w:r>
        <w:rPr>
          <w:b/>
          <w:bCs/>
        </w:rPr>
        <w:t xml:space="preserve">Contrôle en ligne</w:t>
      </w:r>
      <w:r>
        <w:t xml:space="preserve"> </w:t>
      </w:r>
      <w:r>
        <w:t xml:space="preserve">: le terminal du contrôleur interroge le serveur et affiche le statut, la couleur, le temps restant ou écoulé, le module, l’objet et la zone.</w:t>
      </w:r>
    </w:p>
    <w:p>
      <w:pPr>
        <w:pStyle w:val="Compact"/>
        <w:numPr>
          <w:ilvl w:val="0"/>
          <w:numId w:val="1056"/>
        </w:numPr>
      </w:pPr>
      <w:r>
        <w:rPr>
          <w:b/>
          <w:bCs/>
        </w:rPr>
        <w:t xml:space="preserve">Contrôle hors ligne</w:t>
      </w:r>
      <w:r>
        <w:t xml:space="preserve"> </w:t>
      </w:r>
      <w:r>
        <w:t xml:space="preserve">: le terminal vérifie la signature du jeton à l’aide de la clé publique, compare les dates à son horloge synchronisée à la dernière connexion, et consulte une liste de révocation mise en cache ; le résultat est marqué « vérifié hors ligne » et reconfirmé à la synchronisation.</w:t>
      </w:r>
    </w:p>
    <w:p>
      <w:pPr>
        <w:pStyle w:val="Compact"/>
        <w:numPr>
          <w:ilvl w:val="0"/>
          <w:numId w:val="1056"/>
        </w:numPr>
      </w:pPr>
      <w:r>
        <w:rPr>
          <w:b/>
          <w:bCs/>
        </w:rPr>
        <w:t xml:space="preserve">Chaque contrôle est journalisé</w:t>
      </w:r>
      <w:r>
        <w:t xml:space="preserve"> </w:t>
      </w:r>
      <w:r>
        <w:t xml:space="preserve">(qui, où, quand, résultat), ce qui prouve que le contrôle a eu lieu et permet de détecter un titre à usage unique présenté deux fois.</w:t>
      </w:r>
    </w:p>
    <w:p>
      <w:pPr>
        <w:pStyle w:val="Compact"/>
        <w:numPr>
          <w:ilvl w:val="0"/>
          <w:numId w:val="1056"/>
        </w:numPr>
      </w:pPr>
      <w:r>
        <w:rPr>
          <w:b/>
          <w:bCs/>
        </w:rPr>
        <w:t xml:space="preserve">Usage unique</w:t>
      </w:r>
      <w:r>
        <w:t xml:space="preserve"> </w:t>
      </w:r>
      <w:r>
        <w:t xml:space="preserve">: le premier scan valide consomme le titre ; tout scan suivant affiche « DÉJÀ UTILISÉ », avec l’heure et le lieu du premier usage.</w:t>
      </w:r>
    </w:p>
    <w:bookmarkEnd w:id="206"/>
    <w:bookmarkStart w:id="207" w:name="a.7-cycle-de-vie-dun-titre"/>
    <w:p>
      <w:pPr>
        <w:pStyle w:val="Heading2"/>
      </w:pPr>
      <w:r>
        <w:t xml:space="preserve">19A.7 Cycle de vie d’un titre</w:t>
      </w:r>
    </w:p>
    <w:p>
      <w:pPr>
        <w:pStyle w:val="FirstParagraph"/>
      </w:pPr>
      <w:r>
        <w:t xml:space="preserve">Émis → pas encore actif (gris) → valide (vert) → bientôt expiré (ambre) → expiré (rouge) ; à tout moment, suspendu (bleu), révoqué ou consommé (noir). Autour de ce cycle :</w:t>
      </w:r>
    </w:p>
    <w:p>
      <w:pPr>
        <w:pStyle w:val="Compact"/>
        <w:numPr>
          <w:ilvl w:val="0"/>
          <w:numId w:val="1057"/>
        </w:numPr>
      </w:pPr>
      <w:r>
        <w:rPr>
          <w:b/>
          <w:bCs/>
        </w:rPr>
        <w:t xml:space="preserve">Rappels</w:t>
      </w:r>
      <w:r>
        <w:t xml:space="preserve"> </w:t>
      </w:r>
      <w:r>
        <w:t xml:space="preserve">avant expiration, par le canal que le titulaire peut recevoir : notification, SMS ou appel vocal.</w:t>
      </w:r>
    </w:p>
    <w:p>
      <w:pPr>
        <w:pStyle w:val="Compact"/>
        <w:numPr>
          <w:ilvl w:val="0"/>
          <w:numId w:val="1057"/>
        </w:numPr>
      </w:pPr>
      <w:r>
        <w:rPr>
          <w:b/>
          <w:bCs/>
        </w:rPr>
        <w:t xml:space="preserve">Prolongation ou renouvellement</w:t>
      </w:r>
      <w:r>
        <w:t xml:space="preserve"> </w:t>
      </w:r>
      <w:r>
        <w:t xml:space="preserve">depuis le téléphone, au guichet ou chez un point de paiement agréé.</w:t>
      </w:r>
    </w:p>
    <w:p>
      <w:pPr>
        <w:pStyle w:val="Compact"/>
        <w:numPr>
          <w:ilvl w:val="0"/>
          <w:numId w:val="1057"/>
        </w:numPr>
      </w:pPr>
      <w:r>
        <w:rPr>
          <w:b/>
          <w:bCs/>
        </w:rPr>
        <w:t xml:space="preserve">À l’expiration</w:t>
      </w:r>
      <w:r>
        <w:t xml:space="preserve">, aucune pénalité automatique : l’agent constate selon la règle légale et le contribuable garde son droit de recours (§ 21, § 22).</w:t>
      </w:r>
    </w:p>
    <w:p>
      <w:pPr>
        <w:pStyle w:val="Compact"/>
        <w:numPr>
          <w:ilvl w:val="0"/>
          <w:numId w:val="1057"/>
        </w:numPr>
      </w:pPr>
      <w:r>
        <w:rPr>
          <w:b/>
          <w:bCs/>
        </w:rPr>
        <w:t xml:space="preserve">Remboursement</w:t>
      </w:r>
      <w:r>
        <w:t xml:space="preserve"> </w:t>
      </w:r>
      <w:r>
        <w:t xml:space="preserve">d’un titre non utilisé seulement si la règle du module le permet, avec contre-écriture.</w:t>
      </w:r>
    </w:p>
    <w:p>
      <w:pPr>
        <w:pStyle w:val="FirstParagraph"/>
      </w:pPr>
      <w:r>
        <w:rPr>
          <w:b/>
          <w:bCs/>
        </w:rPr>
        <w:t xml:space="preserve">Critères d’acceptation.</w:t>
      </w:r>
    </w:p>
    <w:p>
      <w:pPr>
        <w:pStyle w:val="Compact"/>
        <w:numPr>
          <w:ilvl w:val="0"/>
          <w:numId w:val="1058"/>
        </w:numPr>
      </w:pPr>
      <w:r>
        <w:rPr>
          <w:b/>
          <w:bCs/>
        </w:rPr>
        <w:t xml:space="preserve">Titre temporaire.</w:t>
      </w:r>
      <w:r>
        <w:t xml:space="preserve"> </w:t>
      </w:r>
      <w:r>
        <w:rPr>
          <w:b/>
          <w:bCs/>
        </w:rPr>
        <w:t xml:space="preserve">Étant donné</w:t>
      </w:r>
      <w:r>
        <w:t xml:space="preserve"> </w:t>
      </w:r>
      <w:r>
        <w:t xml:space="preserve">un ticket de stationnement journalier,</w:t>
      </w:r>
      <w:r>
        <w:t xml:space="preserve"> </w:t>
      </w:r>
      <w:r>
        <w:rPr>
          <w:b/>
          <w:bCs/>
        </w:rPr>
        <w:t xml:space="preserve">lorsqu’</w:t>
      </w:r>
      <w:r>
        <w:t xml:space="preserve">un contrôleur lit la plaque à moins de deux heures de l’expiration,</w:t>
      </w:r>
      <w:r>
        <w:t xml:space="preserve"> </w:t>
      </w:r>
      <w:r>
        <w:rPr>
          <w:b/>
          <w:bCs/>
        </w:rPr>
        <w:t xml:space="preserve">alors</w:t>
      </w:r>
      <w:r>
        <w:t xml:space="preserve"> </w:t>
      </w:r>
      <w:r>
        <w:t xml:space="preserve">l’écran affiche le statut ambre, l’icône d’alerte et le temps restant calculés sur l’heure du serveur.</w:t>
      </w:r>
    </w:p>
    <w:p>
      <w:pPr>
        <w:pStyle w:val="Compact"/>
        <w:numPr>
          <w:ilvl w:val="0"/>
          <w:numId w:val="1058"/>
        </w:numPr>
      </w:pPr>
      <w:r>
        <w:rPr>
          <w:b/>
          <w:bCs/>
        </w:rPr>
        <w:t xml:space="preserve">Titre à usage unique.</w:t>
      </w:r>
      <w:r>
        <w:t xml:space="preserve"> </w:t>
      </w:r>
      <w:r>
        <w:rPr>
          <w:b/>
          <w:bCs/>
        </w:rPr>
        <w:t xml:space="preserve">Étant donné</w:t>
      </w:r>
      <w:r>
        <w:t xml:space="preserve"> </w:t>
      </w:r>
      <w:r>
        <w:t xml:space="preserve">un titre d’embarquement à usage unique déjà scanné,</w:t>
      </w:r>
      <w:r>
        <w:t xml:space="preserve"> </w:t>
      </w:r>
      <w:r>
        <w:rPr>
          <w:b/>
          <w:bCs/>
        </w:rPr>
        <w:t xml:space="preserve">lorsqu’</w:t>
      </w:r>
      <w:r>
        <w:t xml:space="preserve">il est présenté à nouveau,</w:t>
      </w:r>
      <w:r>
        <w:t xml:space="preserve"> </w:t>
      </w:r>
      <w:r>
        <w:rPr>
          <w:b/>
          <w:bCs/>
        </w:rPr>
        <w:t xml:space="preserve">alors</w:t>
      </w:r>
      <w:r>
        <w:t xml:space="preserve"> </w:t>
      </w:r>
      <w:r>
        <w:t xml:space="preserve">le statut « DÉJÀ UTILISÉ » s’affiche avec l’heure et le lieu du premier usage.</w:t>
      </w:r>
    </w:p>
    <w:bookmarkEnd w:id="207"/>
    <w:bookmarkEnd w:id="208"/>
    <w:bookmarkStart w:id="210" w:name="rapprochement"/>
    <w:p>
      <w:pPr>
        <w:pStyle w:val="Heading1"/>
      </w:pPr>
      <w:r>
        <w:t xml:space="preserve">20. Rapprochement</w:t>
      </w:r>
    </w:p>
    <w:p>
      <w:pPr>
        <w:pStyle w:val="FirstParagraph"/>
      </w:pPr>
      <w:r>
        <w:t xml:space="preserve">Le rapprochement est la fonction qui transforme une déclaration</w:t>
      </w:r>
      <w:r>
        <w:t xml:space="preserve"> </w:t>
      </w:r>
      <w:r>
        <w:t xml:space="preserve">d'encaissement en recette prouvée. Il s'exécute en continu et produit</w:t>
      </w:r>
      <w:r>
        <w:t xml:space="preserve"> </w:t>
      </w:r>
      <w:r>
        <w:t xml:space="preserve">quatre files d'exception : paiement sans obligation ; obligation payée</w:t>
      </w:r>
      <w:r>
        <w:t xml:space="preserve"> </w:t>
      </w:r>
      <w:r>
        <w:t xml:space="preserve">sans règlement bancaire ; règlement sans paiement identifié ; écart de</w:t>
      </w:r>
      <w:r>
        <w:t xml:space="preserve"> </w:t>
      </w:r>
      <w:r>
        <w:t xml:space="preserve">montant ou de devise.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233"/>
        <w:gridCol w:w="1624"/>
        <w:gridCol w:w="2233"/>
        <w:gridCol w:w="1624"/>
      </w:tblGrid>
      <w:tr>
        <w:trPr>
          <w:tblHeader w:val="true"/>
          <w:tblHeader/>
        </w:trPr>
        <w:tc>
          <w:tcPr>
            <w:shd w:val="clear" w:color="auto" w:fill="1BA996"/>
          </w:tcPr>
          <w:p>
            <w:pPr>
              <w:pStyle w:val="Compact"/>
              <w:spacing w:after="20" w:before="20" w:line="240" w:lineRule="auto"/>
              <w:jc w:val="left"/>
            </w:pPr>
            <w:r>
              <w:rPr>
                <w:b/>
                <w:bCs/>
                <w:color w:val="FFFFFF"/>
                <w:sz w:val="17"/>
              </w:rPr>
              <w:t xml:space="preserve">Contrôle</w:t>
            </w:r>
          </w:p>
        </w:tc>
        <w:tc>
          <w:tcPr>
            <w:shd w:val="clear" w:color="auto" w:fill="1BA996"/>
          </w:tcPr>
          <w:p>
            <w:pPr>
              <w:pStyle w:val="Compact"/>
              <w:spacing w:after="20" w:before="20" w:line="240" w:lineRule="auto"/>
              <w:jc w:val="left"/>
            </w:pPr>
            <w:r>
              <w:rPr>
                <w:b/>
                <w:bCs/>
                <w:color w:val="FFFFFF"/>
                <w:sz w:val="17"/>
              </w:rPr>
              <w:t xml:space="preserve">Fréquence</w:t>
            </w:r>
          </w:p>
        </w:tc>
        <w:tc>
          <w:tcPr>
            <w:shd w:val="clear" w:color="auto" w:fill="1BA996"/>
          </w:tcPr>
          <w:p>
            <w:pPr>
              <w:pStyle w:val="Compact"/>
              <w:spacing w:after="20" w:before="20" w:line="240" w:lineRule="auto"/>
              <w:jc w:val="left"/>
            </w:pPr>
            <w:r>
              <w:rPr>
                <w:b/>
                <w:bCs/>
                <w:color w:val="FFFFFF"/>
                <w:sz w:val="17"/>
              </w:rPr>
              <w:t xml:space="preserve">Responsable</w:t>
            </w:r>
          </w:p>
        </w:tc>
        <w:tc>
          <w:tcPr>
            <w:shd w:val="clear" w:color="auto" w:fill="1BA996"/>
          </w:tcPr>
          <w:p>
            <w:pPr>
              <w:pStyle w:val="Compact"/>
              <w:spacing w:after="20" w:before="20" w:line="240" w:lineRule="auto"/>
              <w:jc w:val="left"/>
            </w:pPr>
            <w:r>
              <w:rPr>
                <w:b/>
                <w:bCs/>
                <w:color w:val="FFFFFF"/>
                <w:sz w:val="17"/>
              </w:rPr>
              <w:t xml:space="preserve">Seuil</w:t>
            </w:r>
            <w:r>
              <w:rPr>
                <w:b/>
                <w:bCs/>
                <w:color w:val="FFFFFF"/>
                <w:sz w:val="17"/>
              </w:rPr>
              <w:t xml:space="preserve"> </w:t>
            </w:r>
            <w:r>
              <w:rPr>
                <w:b/>
                <w:bCs/>
                <w:color w:val="FFFFFF"/>
                <w:sz w:val="17"/>
              </w:rPr>
              <w:t xml:space="preserve">d'alerte</w:t>
            </w:r>
          </w:p>
        </w:tc>
      </w:tr>
      <w:tr>
        <w:tc>
          <w:tcPr/>
          <w:p>
            <w:pPr>
              <w:pStyle w:val="Compact"/>
              <w:spacing w:after="20" w:before="20" w:line="240" w:lineRule="auto"/>
              <w:jc w:val="left"/>
            </w:pPr>
            <w:r>
              <w:rPr>
                <w:sz w:val="17"/>
              </w:rPr>
              <w:t xml:space="preserve">Appariement</w:t>
            </w:r>
            <w:r>
              <w:rPr>
                <w:sz w:val="17"/>
              </w:rPr>
              <w:t xml:space="preserve"> </w:t>
            </w:r>
            <w:r>
              <w:rPr>
                <w:sz w:val="17"/>
              </w:rPr>
              <w:t xml:space="preserve">automatique</w:t>
            </w:r>
          </w:p>
        </w:tc>
        <w:tc>
          <w:tcPr/>
          <w:p>
            <w:pPr>
              <w:pStyle w:val="Compact"/>
              <w:spacing w:after="20" w:before="20" w:line="240" w:lineRule="auto"/>
              <w:jc w:val="left"/>
            </w:pPr>
            <w:r>
              <w:rPr>
                <w:sz w:val="17"/>
              </w:rPr>
              <w:t xml:space="preserve">Continu</w:t>
            </w:r>
          </w:p>
        </w:tc>
        <w:tc>
          <w:tcPr/>
          <w:p>
            <w:pPr>
              <w:pStyle w:val="Compact"/>
              <w:spacing w:after="20" w:before="20" w:line="240" w:lineRule="auto"/>
              <w:jc w:val="left"/>
            </w:pPr>
            <w:r>
              <w:rPr>
                <w:sz w:val="17"/>
              </w:rPr>
              <w:t xml:space="preserve">Système</w:t>
            </w:r>
          </w:p>
        </w:tc>
        <w:tc>
          <w:tcPr/>
          <w:p>
            <w:pPr>
              <w:pStyle w:val="Compact"/>
              <w:spacing w:after="20" w:before="20" w:line="240" w:lineRule="auto"/>
              <w:jc w:val="left"/>
            </w:pPr>
            <w:r>
              <w:rPr>
                <w:sz w:val="17"/>
              </w:rPr>
              <w:t xml:space="preserve">Tout écart</w:t>
            </w:r>
          </w:p>
        </w:tc>
      </w:tr>
      <w:tr>
        <w:tc>
          <w:tcPr>
            <w:shd w:val="clear" w:color="auto" w:fill="F2F9F8"/>
          </w:tcPr>
          <w:p>
            <w:pPr>
              <w:pStyle w:val="Compact"/>
              <w:spacing w:after="20" w:before="20" w:line="240" w:lineRule="auto"/>
              <w:jc w:val="left"/>
            </w:pPr>
            <w:r>
              <w:rPr>
                <w:sz w:val="17"/>
              </w:rPr>
              <w:t xml:space="preserve">Rapprochement</w:t>
            </w:r>
            <w:r>
              <w:rPr>
                <w:sz w:val="17"/>
              </w:rPr>
              <w:t xml:space="preserve"> </w:t>
            </w:r>
            <w:r>
              <w:rPr>
                <w:sz w:val="17"/>
              </w:rPr>
              <w:t xml:space="preserve">bancaire</w:t>
            </w:r>
          </w:p>
        </w:tc>
        <w:tc>
          <w:tcPr>
            <w:shd w:val="clear" w:color="auto" w:fill="F2F9F8"/>
          </w:tcPr>
          <w:p>
            <w:pPr>
              <w:pStyle w:val="Compact"/>
              <w:spacing w:after="20" w:before="20" w:line="240" w:lineRule="auto"/>
              <w:jc w:val="left"/>
            </w:pPr>
            <w:r>
              <w:rPr>
                <w:sz w:val="17"/>
              </w:rPr>
              <w:t xml:space="preserve">Quotidien</w:t>
            </w:r>
          </w:p>
        </w:tc>
        <w:tc>
          <w:tcPr>
            <w:shd w:val="clear" w:color="auto" w:fill="F2F9F8"/>
          </w:tcPr>
          <w:p>
            <w:pPr>
              <w:pStyle w:val="Compact"/>
              <w:spacing w:after="20" w:before="20" w:line="240" w:lineRule="auto"/>
              <w:jc w:val="left"/>
            </w:pPr>
            <w:r>
              <w:rPr>
                <w:sz w:val="17"/>
              </w:rPr>
              <w:t xml:space="preserve">Trésorerie</w:t>
            </w:r>
            <w:r>
              <w:rPr>
                <w:sz w:val="17"/>
              </w:rPr>
              <w:t xml:space="preserve"> </w:t>
            </w:r>
            <w:r>
              <w:rPr>
                <w:sz w:val="17"/>
              </w:rPr>
              <w:t xml:space="preserve">provinciale</w:t>
            </w:r>
          </w:p>
        </w:tc>
        <w:tc>
          <w:tcPr>
            <w:shd w:val="clear" w:color="auto" w:fill="F2F9F8"/>
          </w:tcPr>
          <w:p>
            <w:pPr>
              <w:pStyle w:val="Compact"/>
              <w:spacing w:after="20" w:before="20" w:line="240" w:lineRule="auto"/>
              <w:jc w:val="left"/>
            </w:pPr>
            <w:r>
              <w:rPr>
                <w:sz w:val="17"/>
              </w:rPr>
              <w:t xml:space="preserve">Écart supérieur</w:t>
            </w:r>
            <w:r>
              <w:rPr>
                <w:sz w:val="17"/>
              </w:rPr>
              <w:t xml:space="preserve"> </w:t>
            </w:r>
            <w:r>
              <w:rPr>
                <w:sz w:val="17"/>
              </w:rPr>
              <w:t xml:space="preserve">à un seuil</w:t>
            </w:r>
            <w:r>
              <w:rPr>
                <w:sz w:val="17"/>
              </w:rPr>
              <w:t xml:space="preserve"> </w:t>
            </w:r>
            <w:r>
              <w:rPr>
                <w:sz w:val="17"/>
              </w:rPr>
              <w:t xml:space="preserve">défini ou plus</w:t>
            </w:r>
            <w:r>
              <w:rPr>
                <w:sz w:val="17"/>
              </w:rPr>
              <w:t xml:space="preserve"> </w:t>
            </w:r>
            <w:r>
              <w:rPr>
                <w:sz w:val="17"/>
              </w:rPr>
              <w:t xml:space="preserve">de 24 heures</w:t>
            </w:r>
          </w:p>
        </w:tc>
      </w:tr>
      <w:tr>
        <w:tc>
          <w:tcPr/>
          <w:p>
            <w:pPr>
              <w:pStyle w:val="Compact"/>
              <w:spacing w:after="20" w:before="20" w:line="240" w:lineRule="auto"/>
              <w:jc w:val="left"/>
            </w:pPr>
            <w:r>
              <w:rPr>
                <w:sz w:val="17"/>
              </w:rPr>
              <w:t xml:space="preserve">Revue des exceptions</w:t>
            </w:r>
          </w:p>
        </w:tc>
        <w:tc>
          <w:tcPr/>
          <w:p>
            <w:pPr>
              <w:pStyle w:val="Compact"/>
              <w:spacing w:after="20" w:before="20" w:line="240" w:lineRule="auto"/>
              <w:jc w:val="left"/>
            </w:pPr>
            <w:r>
              <w:rPr>
                <w:sz w:val="17"/>
              </w:rPr>
              <w:t xml:space="preserve">Quotidienne</w:t>
            </w:r>
          </w:p>
        </w:tc>
        <w:tc>
          <w:tcPr/>
          <w:p>
            <w:pPr>
              <w:pStyle w:val="Compact"/>
              <w:spacing w:after="20" w:before="20" w:line="240" w:lineRule="auto"/>
              <w:jc w:val="left"/>
            </w:pPr>
            <w:r>
              <w:rPr>
                <w:sz w:val="17"/>
              </w:rPr>
              <w:t xml:space="preserve">Contrôle interne</w:t>
            </w:r>
          </w:p>
        </w:tc>
        <w:tc>
          <w:tcPr/>
          <w:p>
            <w:pPr>
              <w:pStyle w:val="Compact"/>
              <w:spacing w:after="20" w:before="20" w:line="240" w:lineRule="auto"/>
              <w:jc w:val="left"/>
            </w:pPr>
            <w:r>
              <w:rPr>
                <w:sz w:val="17"/>
              </w:rPr>
              <w:t xml:space="preserve">File non</w:t>
            </w:r>
            <w:r>
              <w:rPr>
                <w:sz w:val="17"/>
              </w:rPr>
              <w:t xml:space="preserve"> </w:t>
            </w:r>
            <w:r>
              <w:rPr>
                <w:sz w:val="17"/>
              </w:rPr>
              <w:t xml:space="preserve">traitée sous 48</w:t>
            </w:r>
            <w:r>
              <w:rPr>
                <w:sz w:val="17"/>
              </w:rPr>
              <w:t xml:space="preserve"> </w:t>
            </w:r>
            <w:r>
              <w:rPr>
                <w:sz w:val="17"/>
              </w:rPr>
              <w:t xml:space="preserve">heures</w:t>
            </w:r>
          </w:p>
        </w:tc>
      </w:tr>
      <w:tr>
        <w:tc>
          <w:tcPr>
            <w:shd w:val="clear" w:color="auto" w:fill="F2F9F8"/>
          </w:tcPr>
          <w:p>
            <w:pPr>
              <w:pStyle w:val="Compact"/>
              <w:spacing w:after="20" w:before="20" w:line="240" w:lineRule="auto"/>
              <w:jc w:val="left"/>
            </w:pPr>
            <w:r>
              <w:rPr>
                <w:sz w:val="17"/>
              </w:rPr>
              <w:t xml:space="preserve">Clôture comptable</w:t>
            </w:r>
          </w:p>
        </w:tc>
        <w:tc>
          <w:tcPr>
            <w:shd w:val="clear" w:color="auto" w:fill="F2F9F8"/>
          </w:tcPr>
          <w:p>
            <w:pPr>
              <w:pStyle w:val="Compact"/>
              <w:spacing w:after="20" w:before="20" w:line="240" w:lineRule="auto"/>
              <w:jc w:val="left"/>
            </w:pPr>
            <w:r>
              <w:rPr>
                <w:sz w:val="17"/>
              </w:rPr>
              <w:t xml:space="preserve">Mensuelle</w:t>
            </w:r>
          </w:p>
        </w:tc>
        <w:tc>
          <w:tcPr>
            <w:shd w:val="clear" w:color="auto" w:fill="F2F9F8"/>
          </w:tcPr>
          <w:p>
            <w:pPr>
              <w:pStyle w:val="Compact"/>
              <w:spacing w:after="20" w:before="20" w:line="240" w:lineRule="auto"/>
              <w:jc w:val="left"/>
            </w:pPr>
            <w:r>
              <w:rPr>
                <w:sz w:val="17"/>
              </w:rPr>
              <w:t xml:space="preserve">Comptable public</w:t>
            </w:r>
          </w:p>
        </w:tc>
        <w:tc>
          <w:tcPr>
            <w:shd w:val="clear" w:color="auto" w:fill="F2F9F8"/>
          </w:tcPr>
          <w:p>
            <w:pPr>
              <w:pStyle w:val="Compact"/>
              <w:spacing w:after="20" w:before="20" w:line="240" w:lineRule="auto"/>
              <w:jc w:val="left"/>
            </w:pPr>
            <w:r>
              <w:rPr>
                <w:sz w:val="17"/>
              </w:rPr>
              <w:t xml:space="preserve">Écritures non</w:t>
            </w:r>
            <w:r>
              <w:rPr>
                <w:sz w:val="17"/>
              </w:rPr>
              <w:t xml:space="preserve"> </w:t>
            </w:r>
            <w:r>
              <w:rPr>
                <w:sz w:val="17"/>
              </w:rPr>
              <w:t xml:space="preserve">imputées</w:t>
            </w:r>
          </w:p>
        </w:tc>
      </w:tr>
      <w:tr>
        <w:tc>
          <w:tcPr/>
          <w:p>
            <w:pPr>
              <w:pStyle w:val="Compact"/>
              <w:spacing w:after="20" w:before="20" w:line="240" w:lineRule="auto"/>
              <w:jc w:val="left"/>
            </w:pPr>
            <w:r>
              <w:rPr>
                <w:sz w:val="17"/>
              </w:rPr>
              <w:t xml:space="preserve">Audit indépendant</w:t>
            </w:r>
          </w:p>
        </w:tc>
        <w:tc>
          <w:tcPr/>
          <w:p>
            <w:pPr>
              <w:pStyle w:val="Compact"/>
              <w:spacing w:after="20" w:before="20" w:line="240" w:lineRule="auto"/>
              <w:jc w:val="left"/>
            </w:pPr>
            <w:r>
              <w:rPr>
                <w:sz w:val="17"/>
              </w:rPr>
              <w:t xml:space="preserve">Trimestrielle</w:t>
            </w:r>
          </w:p>
        </w:tc>
        <w:tc>
          <w:tcPr/>
          <w:p>
            <w:pPr>
              <w:pStyle w:val="Compact"/>
              <w:spacing w:after="20" w:before="20" w:line="240" w:lineRule="auto"/>
              <w:jc w:val="left"/>
            </w:pPr>
            <w:r>
              <w:rPr>
                <w:sz w:val="17"/>
              </w:rPr>
              <w:t xml:space="preserve">Audit interne et</w:t>
            </w:r>
            <w:r>
              <w:rPr>
                <w:sz w:val="17"/>
              </w:rPr>
              <w:t xml:space="preserve"> </w:t>
            </w:r>
            <w:r>
              <w:rPr>
                <w:sz w:val="17"/>
              </w:rPr>
              <w:t xml:space="preserve">inspection</w:t>
            </w:r>
          </w:p>
        </w:tc>
        <w:tc>
          <w:tcPr/>
          <w:p>
            <w:pPr>
              <w:pStyle w:val="Compact"/>
              <w:spacing w:after="20" w:before="20" w:line="240" w:lineRule="auto"/>
              <w:jc w:val="left"/>
            </w:pPr>
            <w:r>
              <w:rPr>
                <w:sz w:val="17"/>
              </w:rPr>
              <w:t xml:space="preserve">Toute</w:t>
            </w:r>
            <w:r>
              <w:rPr>
                <w:sz w:val="17"/>
              </w:rPr>
              <w:t xml:space="preserve"> </w:t>
            </w:r>
            <w:r>
              <w:rPr>
                <w:sz w:val="17"/>
              </w:rPr>
              <w:t xml:space="preserve">correction non</w:t>
            </w:r>
            <w:r>
              <w:rPr>
                <w:sz w:val="17"/>
              </w:rPr>
              <w:t xml:space="preserve"> </w:t>
            </w:r>
            <w:r>
              <w:rPr>
                <w:sz w:val="17"/>
              </w:rPr>
              <w:t xml:space="preserve">motivée</w:t>
            </w:r>
          </w:p>
        </w:tc>
      </w:tr>
    </w:tbl>
    <w:p>
      <w:pPr>
        <w:pStyle w:val="BodyText"/>
      </w:pPr>
      <w:r>
        <w:t xml:space="preserve">Chaque exception est placée dans une file de traitement dotée d’un délai de service (SLA), d’un responsable et d’un circuit d’approbation. Le rapprochement couvre toute la chaîne : transaction ↔ prestataire ↔ banque et Trésor ↔ grand livre.</w:t>
      </w:r>
    </w:p>
    <w:bookmarkStart w:id="209" w:name="X4eb9efb5f6e60757db8da35ba266df628677d63"/>
    <w:p>
      <w:pPr>
        <w:pStyle w:val="Heading2"/>
      </w:pPr>
      <w:r>
        <w:t xml:space="preserve">20.1 Grand livre public à double entrée (Public Financial Ledger)</w:t>
      </w:r>
    </w:p>
    <w:p>
      <w:pPr>
        <w:pStyle w:val="Compact"/>
        <w:numPr>
          <w:ilvl w:val="0"/>
          <w:numId w:val="1059"/>
        </w:numPr>
      </w:pPr>
      <w:r>
        <w:t xml:space="preserve">Référence unique et idempotence de bout en bout.</w:t>
      </w:r>
    </w:p>
    <w:p>
      <w:pPr>
        <w:pStyle w:val="Compact"/>
        <w:numPr>
          <w:ilvl w:val="0"/>
          <w:numId w:val="1059"/>
        </w:numPr>
      </w:pPr>
      <w:r>
        <w:t xml:space="preserve">Comptabilité en partie double ; journal des événements en ajout seul.</w:t>
      </w:r>
    </w:p>
    <w:p>
      <w:pPr>
        <w:pStyle w:val="Compact"/>
        <w:numPr>
          <w:ilvl w:val="0"/>
          <w:numId w:val="1059"/>
        </w:numPr>
      </w:pPr>
      <w:r>
        <w:t xml:space="preserve">Comptes d’attente (suspense) pour les fonds non identifiés, avec délai de traitement.</w:t>
      </w:r>
    </w:p>
    <w:p>
      <w:pPr>
        <w:pStyle w:val="Compact"/>
        <w:numPr>
          <w:ilvl w:val="0"/>
          <w:numId w:val="1059"/>
        </w:numPr>
      </w:pPr>
      <w:r>
        <w:t xml:space="preserve">Aucune modification destructive d’une écriture comptable validée : toute correction est une contre-écriture liée à l’original, motivée et approuvée.</w:t>
      </w:r>
    </w:p>
    <w:p>
      <w:pPr>
        <w:pStyle w:val="Compact"/>
        <w:numPr>
          <w:ilvl w:val="0"/>
          <w:numId w:val="1059"/>
        </w:numPr>
      </w:pPr>
      <w:r>
        <w:t xml:space="preserve">Clôtures périodiques et rapports d’écart.</w:t>
      </w:r>
    </w:p>
    <w:p>
      <w:pPr>
        <w:pStyle w:val="FirstParagraph"/>
      </w:pPr>
      <w:r>
        <w:rPr>
          <w:b/>
          <w:bCs/>
        </w:rPr>
        <w:t xml:space="preserve">Critère d’acceptation — Finance.</w:t>
      </w:r>
      <w:r>
        <w:t xml:space="preserve"> </w:t>
      </w:r>
      <w:r>
        <w:rPr>
          <w:b/>
          <w:bCs/>
        </w:rPr>
        <w:t xml:space="preserve">Étant donné</w:t>
      </w:r>
      <w:r>
        <w:t xml:space="preserve"> </w:t>
      </w:r>
      <w:r>
        <w:t xml:space="preserve">une confirmation du prestataire et des données de règlement,</w:t>
      </w:r>
      <w:r>
        <w:t xml:space="preserve"> </w:t>
      </w:r>
      <w:r>
        <w:rPr>
          <w:b/>
          <w:bCs/>
        </w:rPr>
        <w:t xml:space="preserve">lorsque</w:t>
      </w:r>
      <w:r>
        <w:t xml:space="preserve"> </w:t>
      </w:r>
      <w:r>
        <w:t xml:space="preserve">l’appariement déterministe atteint le seuil défini,</w:t>
      </w:r>
      <w:r>
        <w:t xml:space="preserve"> </w:t>
      </w:r>
      <w:r>
        <w:rPr>
          <w:b/>
          <w:bCs/>
        </w:rPr>
        <w:t xml:space="preserve">alors</w:t>
      </w:r>
      <w:r>
        <w:t xml:space="preserve"> </w:t>
      </w:r>
      <w:r>
        <w:t xml:space="preserve">le rapprochement est proposé ou automatique selon la politique, et audité.</w:t>
      </w:r>
    </w:p>
    <w:p>
      <w:pPr>
        <w:pStyle w:val="BodyText"/>
      </w:pPr>
      <w:r>
        <w:rPr>
          <w:b/>
          <w:bCs/>
        </w:rPr>
        <w:t xml:space="preserve">Critère d’acceptation — Auditeur.</w:t>
      </w:r>
      <w:r>
        <w:t xml:space="preserve"> </w:t>
      </w:r>
      <w:r>
        <w:rPr>
          <w:b/>
          <w:bCs/>
        </w:rPr>
        <w:t xml:space="preserve">Étant donné</w:t>
      </w:r>
      <w:r>
        <w:t xml:space="preserve"> </w:t>
      </w:r>
      <w:r>
        <w:t xml:space="preserve">une obligation, un paiement ou une écriture corrigée,</w:t>
      </w:r>
      <w:r>
        <w:t xml:space="preserve"> </w:t>
      </w:r>
      <w:r>
        <w:rPr>
          <w:b/>
          <w:bCs/>
        </w:rPr>
        <w:t xml:space="preserve">lorsque</w:t>
      </w:r>
      <w:r>
        <w:t xml:space="preserve"> </w:t>
      </w:r>
      <w:r>
        <w:t xml:space="preserve">j’ouvre la piste d’audit,</w:t>
      </w:r>
      <w:r>
        <w:t xml:space="preserve"> </w:t>
      </w:r>
      <w:r>
        <w:rPr>
          <w:b/>
          <w:bCs/>
        </w:rPr>
        <w:t xml:space="preserve">alors</w:t>
      </w:r>
      <w:r>
        <w:t xml:space="preserve"> </w:t>
      </w:r>
      <w:r>
        <w:t xml:space="preserve">je vois l’original, chaque événement, son auteur, les approbations, l’horodatage, la contre-écriture et son motif, sans trou de journal.</w:t>
      </w:r>
    </w:p>
    <w:bookmarkEnd w:id="209"/>
    <w:bookmarkEnd w:id="210"/>
    <w:bookmarkStart w:id="213" w:name="recouvrement-et-exécution"/>
    <w:p>
      <w:pPr>
        <w:pStyle w:val="Heading1"/>
      </w:pPr>
      <w:r>
        <w:t xml:space="preserve">21. Recouvrement et exécution</w:t>
      </w:r>
    </w:p>
    <w:p>
      <w:pPr>
        <w:pStyle w:val="FirstParagraph"/>
      </w:pPr>
      <w:r>
        <w:t xml:space="preserve">La chaîne de recouvrement est graduée, traçable et fondée sur la loi.</w:t>
      </w:r>
      <w:r>
        <w:t xml:space="preserve"> </w:t>
      </w:r>
      <w:r>
        <w:t xml:space="preserve">Elle ne commence jamais par la contrainte.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006"/>
        <w:gridCol w:w="1689"/>
        <w:gridCol w:w="2006"/>
        <w:gridCol w:w="2006"/>
      </w:tblGrid>
      <w:tr>
        <w:trPr>
          <w:tblHeader w:val="true"/>
          <w:tblHeader/>
        </w:trPr>
        <w:tc>
          <w:tcPr>
            <w:shd w:val="clear" w:color="auto" w:fill="1BA996"/>
          </w:tcPr>
          <w:p>
            <w:pPr>
              <w:pStyle w:val="Compact"/>
              <w:spacing w:after="20" w:before="20" w:line="240" w:lineRule="auto"/>
              <w:jc w:val="left"/>
            </w:pPr>
            <w:r>
              <w:rPr>
                <w:b/>
                <w:bCs/>
                <w:color w:val="FFFFFF"/>
                <w:sz w:val="17"/>
              </w:rPr>
              <w:t xml:space="preserve">Étape</w:t>
            </w:r>
          </w:p>
        </w:tc>
        <w:tc>
          <w:tcPr>
            <w:shd w:val="clear" w:color="auto" w:fill="1BA996"/>
          </w:tcPr>
          <w:p>
            <w:pPr>
              <w:pStyle w:val="Compact"/>
              <w:spacing w:after="20" w:before="20" w:line="240" w:lineRule="auto"/>
              <w:jc w:val="left"/>
            </w:pPr>
            <w:r>
              <w:rPr>
                <w:b/>
                <w:bCs/>
                <w:color w:val="FFFFFF"/>
                <w:sz w:val="17"/>
              </w:rPr>
              <w:t xml:space="preserve">Délai</w:t>
            </w:r>
            <w:r>
              <w:rPr>
                <w:b/>
                <w:bCs/>
                <w:color w:val="FFFFFF"/>
                <w:sz w:val="17"/>
              </w:rPr>
              <w:t xml:space="preserve"> </w:t>
            </w:r>
            <w:r>
              <w:rPr>
                <w:b/>
                <w:bCs/>
                <w:color w:val="FFFFFF"/>
                <w:sz w:val="17"/>
              </w:rPr>
              <w:t xml:space="preserve">indicatif</w:t>
            </w:r>
          </w:p>
        </w:tc>
        <w:tc>
          <w:tcPr>
            <w:shd w:val="clear" w:color="auto" w:fill="1BA996"/>
          </w:tcPr>
          <w:p>
            <w:pPr>
              <w:pStyle w:val="Compact"/>
              <w:spacing w:after="20" w:before="20" w:line="240" w:lineRule="auto"/>
              <w:jc w:val="left"/>
            </w:pPr>
            <w:r>
              <w:rPr>
                <w:b/>
                <w:bCs/>
                <w:color w:val="FFFFFF"/>
                <w:sz w:val="17"/>
              </w:rPr>
              <w:t xml:space="preserve">Canal</w:t>
            </w:r>
          </w:p>
        </w:tc>
        <w:tc>
          <w:tcPr>
            <w:shd w:val="clear" w:color="auto" w:fill="1BA996"/>
          </w:tcPr>
          <w:p>
            <w:pPr>
              <w:pStyle w:val="Compact"/>
              <w:spacing w:after="20" w:before="20" w:line="240" w:lineRule="auto"/>
              <w:jc w:val="left"/>
            </w:pPr>
            <w:r>
              <w:rPr>
                <w:b/>
                <w:bCs/>
                <w:color w:val="FFFFFF"/>
                <w:sz w:val="17"/>
              </w:rPr>
              <w:t xml:space="preserve">Garantie</w:t>
            </w:r>
          </w:p>
        </w:tc>
      </w:tr>
      <w:tr>
        <w:tc>
          <w:tcPr/>
          <w:p>
            <w:pPr>
              <w:pStyle w:val="Compact"/>
              <w:spacing w:after="20" w:before="20" w:line="240" w:lineRule="auto"/>
              <w:jc w:val="left"/>
            </w:pPr>
            <w:r>
              <w:rPr>
                <w:sz w:val="17"/>
              </w:rPr>
              <w:t xml:space="preserve">Rappel amiable</w:t>
            </w:r>
            <w:r>
              <w:rPr>
                <w:sz w:val="17"/>
              </w:rPr>
              <w:t xml:space="preserve"> </w:t>
            </w:r>
            <w:r>
              <w:rPr>
                <w:sz w:val="17"/>
              </w:rPr>
              <w:t xml:space="preserve">avant échéance</w:t>
            </w:r>
          </w:p>
        </w:tc>
        <w:tc>
          <w:tcPr/>
          <w:p>
            <w:pPr>
              <w:pStyle w:val="Compact"/>
              <w:spacing w:after="20" w:before="20" w:line="240" w:lineRule="auto"/>
              <w:jc w:val="left"/>
            </w:pPr>
            <w:r>
              <w:rPr>
                <w:sz w:val="17"/>
              </w:rPr>
              <w:t xml:space="preserve">J-15 et J-3</w:t>
            </w:r>
          </w:p>
        </w:tc>
        <w:tc>
          <w:tcPr/>
          <w:p>
            <w:pPr>
              <w:pStyle w:val="Compact"/>
              <w:spacing w:after="20" w:before="20" w:line="240" w:lineRule="auto"/>
              <w:jc w:val="left"/>
            </w:pPr>
            <w:r>
              <w:rPr>
                <w:sz w:val="17"/>
              </w:rPr>
              <w:t xml:space="preserve">SMS, application,</w:t>
            </w:r>
            <w:r>
              <w:rPr>
                <w:sz w:val="17"/>
              </w:rPr>
              <w:t xml:space="preserve"> </w:t>
            </w:r>
            <w:r>
              <w:rPr>
                <w:sz w:val="17"/>
              </w:rPr>
              <w:t xml:space="preserve">courriel</w:t>
            </w:r>
          </w:p>
        </w:tc>
        <w:tc>
          <w:tcPr/>
          <w:p>
            <w:pPr>
              <w:pStyle w:val="Compact"/>
              <w:spacing w:after="20" w:before="20" w:line="240" w:lineRule="auto"/>
              <w:jc w:val="left"/>
            </w:pPr>
            <w:r>
              <w:rPr>
                <w:sz w:val="17"/>
              </w:rPr>
              <w:t xml:space="preserve">Preuve d'envoi</w:t>
            </w:r>
            <w:r>
              <w:rPr>
                <w:sz w:val="17"/>
              </w:rPr>
              <w:t xml:space="preserve"> </w:t>
            </w:r>
            <w:r>
              <w:rPr>
                <w:sz w:val="17"/>
              </w:rPr>
              <w:t xml:space="preserve">conservée</w:t>
            </w:r>
          </w:p>
        </w:tc>
      </w:tr>
      <w:tr>
        <w:tc>
          <w:tcPr>
            <w:shd w:val="clear" w:color="auto" w:fill="F2F9F8"/>
          </w:tcPr>
          <w:p>
            <w:pPr>
              <w:pStyle w:val="Compact"/>
              <w:spacing w:after="20" w:before="20" w:line="240" w:lineRule="auto"/>
              <w:jc w:val="left"/>
            </w:pPr>
            <w:r>
              <w:rPr>
                <w:sz w:val="17"/>
              </w:rPr>
              <w:t xml:space="preserve">Avis d'échéance</w:t>
            </w:r>
            <w:r>
              <w:rPr>
                <w:sz w:val="17"/>
              </w:rPr>
              <w:t xml:space="preserve"> </w:t>
            </w:r>
            <w:r>
              <w:rPr>
                <w:sz w:val="17"/>
              </w:rPr>
              <w:t xml:space="preserve">dépassée</w:t>
            </w:r>
          </w:p>
        </w:tc>
        <w:tc>
          <w:tcPr>
            <w:shd w:val="clear" w:color="auto" w:fill="F2F9F8"/>
          </w:tcPr>
          <w:p>
            <w:pPr>
              <w:pStyle w:val="Compact"/>
              <w:spacing w:after="20" w:before="20" w:line="240" w:lineRule="auto"/>
              <w:jc w:val="left"/>
            </w:pPr>
            <w:r>
              <w:rPr>
                <w:sz w:val="17"/>
              </w:rPr>
              <w:t xml:space="preserve">J+1</w:t>
            </w:r>
          </w:p>
        </w:tc>
        <w:tc>
          <w:tcPr>
            <w:shd w:val="clear" w:color="auto" w:fill="F2F9F8"/>
          </w:tcPr>
          <w:p>
            <w:pPr>
              <w:pStyle w:val="Compact"/>
              <w:spacing w:after="20" w:before="20" w:line="240" w:lineRule="auto"/>
              <w:jc w:val="left"/>
            </w:pPr>
            <w:r>
              <w:rPr>
                <w:sz w:val="17"/>
              </w:rPr>
              <w:t xml:space="preserve">SMS et application</w:t>
            </w:r>
          </w:p>
        </w:tc>
        <w:tc>
          <w:tcPr>
            <w:shd w:val="clear" w:color="auto" w:fill="F2F9F8"/>
          </w:tcPr>
          <w:p>
            <w:pPr>
              <w:pStyle w:val="Compact"/>
              <w:spacing w:after="20" w:before="20" w:line="240" w:lineRule="auto"/>
              <w:jc w:val="left"/>
            </w:pPr>
            <w:r>
              <w:rPr>
                <w:sz w:val="17"/>
              </w:rPr>
              <w:t xml:space="preserve">Référence de</w:t>
            </w:r>
            <w:r>
              <w:rPr>
                <w:sz w:val="17"/>
              </w:rPr>
              <w:t xml:space="preserve"> </w:t>
            </w:r>
            <w:r>
              <w:rPr>
                <w:sz w:val="17"/>
              </w:rPr>
              <w:t xml:space="preserve">paiement maintenue</w:t>
            </w:r>
          </w:p>
        </w:tc>
      </w:tr>
      <w:tr>
        <w:tc>
          <w:tcPr/>
          <w:p>
            <w:pPr>
              <w:pStyle w:val="Compact"/>
              <w:spacing w:after="20" w:before="20" w:line="240" w:lineRule="auto"/>
              <w:jc w:val="left"/>
            </w:pPr>
            <w:r>
              <w:rPr>
                <w:sz w:val="17"/>
              </w:rPr>
              <w:t xml:space="preserve">Relance ciblée</w:t>
            </w:r>
          </w:p>
        </w:tc>
        <w:tc>
          <w:tcPr/>
          <w:p>
            <w:pPr>
              <w:pStyle w:val="Compact"/>
              <w:spacing w:after="20" w:before="20" w:line="240" w:lineRule="auto"/>
              <w:jc w:val="left"/>
            </w:pPr>
            <w:r>
              <w:rPr>
                <w:sz w:val="17"/>
              </w:rPr>
              <w:t xml:space="preserve">J+15</w:t>
            </w:r>
          </w:p>
        </w:tc>
        <w:tc>
          <w:tcPr/>
          <w:p>
            <w:pPr>
              <w:pStyle w:val="Compact"/>
              <w:spacing w:after="20" w:before="20" w:line="240" w:lineRule="auto"/>
              <w:jc w:val="left"/>
            </w:pPr>
            <w:r>
              <w:rPr>
                <w:sz w:val="17"/>
              </w:rPr>
              <w:t xml:space="preserve">Appel, visite</w:t>
            </w:r>
            <w:r>
              <w:rPr>
                <w:sz w:val="17"/>
              </w:rPr>
              <w:t xml:space="preserve"> </w:t>
            </w:r>
            <w:r>
              <w:rPr>
                <w:sz w:val="17"/>
              </w:rPr>
              <w:t xml:space="preserve">d'information</w:t>
            </w:r>
          </w:p>
        </w:tc>
        <w:tc>
          <w:tcPr/>
          <w:p>
            <w:pPr>
              <w:pStyle w:val="Compact"/>
              <w:spacing w:after="20" w:before="20" w:line="240" w:lineRule="auto"/>
              <w:jc w:val="left"/>
            </w:pPr>
            <w:r>
              <w:rPr>
                <w:sz w:val="17"/>
              </w:rPr>
              <w:t xml:space="preserve">Aucune sanction à</w:t>
            </w:r>
            <w:r>
              <w:rPr>
                <w:sz w:val="17"/>
              </w:rPr>
              <w:t xml:space="preserve"> </w:t>
            </w:r>
            <w:r>
              <w:rPr>
                <w:sz w:val="17"/>
              </w:rPr>
              <w:t xml:space="preserve">ce stade</w:t>
            </w:r>
          </w:p>
        </w:tc>
      </w:tr>
      <w:tr>
        <w:tc>
          <w:tcPr>
            <w:shd w:val="clear" w:color="auto" w:fill="F2F9F8"/>
          </w:tcPr>
          <w:p>
            <w:pPr>
              <w:pStyle w:val="Compact"/>
              <w:spacing w:after="20" w:before="20" w:line="240" w:lineRule="auto"/>
              <w:jc w:val="left"/>
            </w:pPr>
            <w:r>
              <w:rPr>
                <w:sz w:val="17"/>
              </w:rPr>
              <w:t xml:space="preserve">Constat et</w:t>
            </w:r>
            <w:r>
              <w:rPr>
                <w:sz w:val="17"/>
              </w:rPr>
              <w:t xml:space="preserve"> </w:t>
            </w:r>
            <w:r>
              <w:rPr>
                <w:sz w:val="17"/>
              </w:rPr>
              <w:t xml:space="preserve">notification</w:t>
            </w:r>
            <w:r>
              <w:rPr>
                <w:sz w:val="17"/>
              </w:rPr>
              <w:t xml:space="preserve"> </w:t>
            </w:r>
            <w:r>
              <w:rPr>
                <w:sz w:val="17"/>
              </w:rPr>
              <w:t xml:space="preserve">formelle</w:t>
            </w:r>
          </w:p>
        </w:tc>
        <w:tc>
          <w:tcPr>
            <w:shd w:val="clear" w:color="auto" w:fill="F2F9F8"/>
          </w:tcPr>
          <w:p>
            <w:pPr>
              <w:pStyle w:val="Compact"/>
              <w:spacing w:after="20" w:before="20" w:line="240" w:lineRule="auto"/>
              <w:jc w:val="left"/>
            </w:pPr>
            <w:r>
              <w:rPr>
                <w:sz w:val="17"/>
              </w:rPr>
              <w:t xml:space="preserve">J+30</w:t>
            </w:r>
          </w:p>
        </w:tc>
        <w:tc>
          <w:tcPr>
            <w:shd w:val="clear" w:color="auto" w:fill="F2F9F8"/>
          </w:tcPr>
          <w:p>
            <w:pPr>
              <w:pStyle w:val="Compact"/>
              <w:spacing w:after="20" w:before="20" w:line="240" w:lineRule="auto"/>
              <w:jc w:val="left"/>
            </w:pPr>
            <w:r>
              <w:rPr>
                <w:sz w:val="17"/>
              </w:rPr>
              <w:t xml:space="preserve">Agent habilité,</w:t>
            </w:r>
            <w:r>
              <w:rPr>
                <w:sz w:val="17"/>
              </w:rPr>
              <w:t xml:space="preserve"> </w:t>
            </w:r>
            <w:r>
              <w:rPr>
                <w:sz w:val="17"/>
              </w:rPr>
              <w:t xml:space="preserve">notification</w:t>
            </w:r>
            <w:r>
              <w:rPr>
                <w:sz w:val="17"/>
              </w:rPr>
              <w:t xml:space="preserve"> </w:t>
            </w:r>
            <w:r>
              <w:rPr>
                <w:sz w:val="17"/>
              </w:rPr>
              <w:t xml:space="preserve">numérique</w:t>
            </w:r>
          </w:p>
        </w:tc>
        <w:tc>
          <w:tcPr>
            <w:shd w:val="clear" w:color="auto" w:fill="F2F9F8"/>
          </w:tcPr>
          <w:p>
            <w:pPr>
              <w:pStyle w:val="Compact"/>
              <w:spacing w:after="20" w:before="20" w:line="240" w:lineRule="auto"/>
              <w:jc w:val="left"/>
            </w:pPr>
            <w:r>
              <w:rPr>
                <w:sz w:val="17"/>
              </w:rPr>
              <w:t xml:space="preserve">Motivation et voie</w:t>
            </w:r>
            <w:r>
              <w:rPr>
                <w:sz w:val="17"/>
              </w:rPr>
              <w:t xml:space="preserve"> </w:t>
            </w:r>
            <w:r>
              <w:rPr>
                <w:sz w:val="17"/>
              </w:rPr>
              <w:t xml:space="preserve">de recours</w:t>
            </w:r>
            <w:r>
              <w:rPr>
                <w:sz w:val="17"/>
              </w:rPr>
              <w:t xml:space="preserve"> </w:t>
            </w:r>
            <w:r>
              <w:rPr>
                <w:sz w:val="17"/>
              </w:rPr>
              <w:t xml:space="preserve">indiquées</w:t>
            </w:r>
          </w:p>
        </w:tc>
      </w:tr>
      <w:tr>
        <w:tc>
          <w:tcPr/>
          <w:p>
            <w:pPr>
              <w:pStyle w:val="Compact"/>
              <w:spacing w:after="20" w:before="20" w:line="240" w:lineRule="auto"/>
              <w:jc w:val="left"/>
            </w:pPr>
            <w:r>
              <w:rPr>
                <w:sz w:val="17"/>
              </w:rPr>
              <w:t xml:space="preserve">Mise en demeure</w:t>
            </w:r>
          </w:p>
        </w:tc>
        <w:tc>
          <w:tcPr/>
          <w:p>
            <w:pPr>
              <w:pStyle w:val="Compact"/>
              <w:spacing w:after="20" w:before="20" w:line="240" w:lineRule="auto"/>
              <w:jc w:val="left"/>
            </w:pPr>
            <w:r>
              <w:rPr>
                <w:sz w:val="17"/>
              </w:rPr>
              <w:t xml:space="preserve">Selon la</w:t>
            </w:r>
            <w:r>
              <w:rPr>
                <w:sz w:val="17"/>
              </w:rPr>
              <w:t xml:space="preserve"> </w:t>
            </w:r>
            <w:r>
              <w:rPr>
                <w:sz w:val="17"/>
              </w:rPr>
              <w:t xml:space="preserve">procédure</w:t>
            </w:r>
            <w:r>
              <w:rPr>
                <w:sz w:val="17"/>
              </w:rPr>
              <w:t xml:space="preserve"> </w:t>
            </w:r>
            <w:r>
              <w:rPr>
                <w:sz w:val="17"/>
              </w:rPr>
              <w:t xml:space="preserve">légale</w:t>
            </w:r>
          </w:p>
        </w:tc>
        <w:tc>
          <w:tcPr/>
          <w:p>
            <w:pPr>
              <w:pStyle w:val="Compact"/>
              <w:spacing w:after="20" w:before="20" w:line="240" w:lineRule="auto"/>
              <w:jc w:val="left"/>
            </w:pPr>
            <w:r>
              <w:rPr>
                <w:sz w:val="17"/>
              </w:rPr>
              <w:t xml:space="preserve">Notification</w:t>
            </w:r>
            <w:r>
              <w:rPr>
                <w:sz w:val="17"/>
              </w:rPr>
              <w:t xml:space="preserve"> </w:t>
            </w:r>
            <w:r>
              <w:rPr>
                <w:sz w:val="17"/>
              </w:rPr>
              <w:t xml:space="preserve">officielle</w:t>
            </w:r>
          </w:p>
        </w:tc>
        <w:tc>
          <w:tcPr/>
          <w:p>
            <w:pPr>
              <w:pStyle w:val="Compact"/>
              <w:spacing w:after="20" w:before="20" w:line="240" w:lineRule="auto"/>
              <w:jc w:val="left"/>
            </w:pPr>
            <w:r>
              <w:rPr>
                <w:sz w:val="17"/>
              </w:rPr>
              <w:t xml:space="preserve">Double validation</w:t>
            </w:r>
            <w:r>
              <w:rPr>
                <w:sz w:val="17"/>
              </w:rPr>
              <w:t xml:space="preserve"> </w:t>
            </w:r>
            <w:r>
              <w:rPr>
                <w:sz w:val="17"/>
              </w:rPr>
              <w:t xml:space="preserve">hiérarchique</w:t>
            </w:r>
          </w:p>
        </w:tc>
      </w:tr>
      <w:tr>
        <w:tc>
          <w:tcPr>
            <w:shd w:val="clear" w:color="auto" w:fill="F2F9F8"/>
          </w:tcPr>
          <w:p>
            <w:pPr>
              <w:pStyle w:val="Compact"/>
              <w:spacing w:after="20" w:before="20" w:line="240" w:lineRule="auto"/>
              <w:jc w:val="left"/>
            </w:pPr>
            <w:r>
              <w:rPr>
                <w:sz w:val="17"/>
              </w:rPr>
              <w:t xml:space="preserve">Mesures</w:t>
            </w:r>
            <w:r>
              <w:rPr>
                <w:sz w:val="17"/>
              </w:rPr>
              <w:t xml:space="preserve"> </w:t>
            </w:r>
            <w:r>
              <w:rPr>
                <w:sz w:val="17"/>
              </w:rPr>
              <w:t xml:space="preserve">d'exécution</w:t>
            </w:r>
            <w:r>
              <w:rPr>
                <w:sz w:val="17"/>
              </w:rPr>
              <w:t xml:space="preserve"> </w:t>
            </w:r>
            <w:r>
              <w:rPr>
                <w:sz w:val="17"/>
              </w:rPr>
              <w:t xml:space="preserve">légales</w:t>
            </w:r>
          </w:p>
        </w:tc>
        <w:tc>
          <w:tcPr>
            <w:shd w:val="clear" w:color="auto" w:fill="F2F9F8"/>
          </w:tcPr>
          <w:p>
            <w:pPr>
              <w:pStyle w:val="Compact"/>
              <w:spacing w:after="20" w:before="20" w:line="240" w:lineRule="auto"/>
              <w:jc w:val="left"/>
            </w:pPr>
            <w:r>
              <w:rPr>
                <w:sz w:val="17"/>
              </w:rPr>
              <w:t xml:space="preserve">Selon la</w:t>
            </w:r>
            <w:r>
              <w:rPr>
                <w:sz w:val="17"/>
              </w:rPr>
              <w:t xml:space="preserve"> </w:t>
            </w:r>
            <w:r>
              <w:rPr>
                <w:sz w:val="17"/>
              </w:rPr>
              <w:t xml:space="preserve">procédure</w:t>
            </w:r>
            <w:r>
              <w:rPr>
                <w:sz w:val="17"/>
              </w:rPr>
              <w:t xml:space="preserve"> </w:t>
            </w:r>
            <w:r>
              <w:rPr>
                <w:sz w:val="17"/>
              </w:rPr>
              <w:t xml:space="preserve">légale</w:t>
            </w:r>
          </w:p>
        </w:tc>
        <w:tc>
          <w:tcPr>
            <w:shd w:val="clear" w:color="auto" w:fill="F2F9F8"/>
          </w:tcPr>
          <w:p>
            <w:pPr>
              <w:pStyle w:val="Compact"/>
              <w:spacing w:after="20" w:before="20" w:line="240" w:lineRule="auto"/>
              <w:jc w:val="left"/>
            </w:pPr>
            <w:r>
              <w:rPr>
                <w:sz w:val="17"/>
              </w:rPr>
              <w:t xml:space="preserve">Service compétent</w:t>
            </w:r>
          </w:p>
        </w:tc>
        <w:tc>
          <w:tcPr>
            <w:shd w:val="clear" w:color="auto" w:fill="F2F9F8"/>
          </w:tcPr>
          <w:p>
            <w:pPr>
              <w:pStyle w:val="Compact"/>
              <w:spacing w:after="20" w:before="20" w:line="240" w:lineRule="auto"/>
              <w:jc w:val="left"/>
            </w:pPr>
            <w:r>
              <w:rPr>
                <w:sz w:val="17"/>
              </w:rPr>
              <w:t xml:space="preserve">Décision motivée,</w:t>
            </w:r>
            <w:r>
              <w:rPr>
                <w:sz w:val="17"/>
              </w:rPr>
              <w:t xml:space="preserve"> </w:t>
            </w:r>
            <w:r>
              <w:rPr>
                <w:sz w:val="17"/>
              </w:rPr>
              <w:t xml:space="preserve">jamais automatique</w:t>
            </w:r>
          </w:p>
        </w:tc>
      </w:tr>
      <w:tr>
        <w:tc>
          <w:tcPr/>
          <w:p>
            <w:pPr>
              <w:pStyle w:val="Compact"/>
              <w:spacing w:after="20" w:before="20" w:line="240" w:lineRule="auto"/>
              <w:jc w:val="left"/>
            </w:pPr>
            <w:r>
              <w:rPr>
                <w:sz w:val="17"/>
              </w:rPr>
              <w:t xml:space="preserve">Plan d'apurement</w:t>
            </w:r>
          </w:p>
        </w:tc>
        <w:tc>
          <w:tcPr/>
          <w:p>
            <w:pPr>
              <w:pStyle w:val="Compact"/>
              <w:spacing w:after="20" w:before="20" w:line="240" w:lineRule="auto"/>
              <w:jc w:val="left"/>
            </w:pPr>
            <w:r>
              <w:rPr>
                <w:sz w:val="17"/>
              </w:rPr>
              <w:t xml:space="preserve">À tout moment</w:t>
            </w:r>
          </w:p>
        </w:tc>
        <w:tc>
          <w:tcPr/>
          <w:p>
            <w:pPr>
              <w:pStyle w:val="Compact"/>
              <w:spacing w:after="20" w:before="20" w:line="240" w:lineRule="auto"/>
              <w:jc w:val="left"/>
            </w:pPr>
            <w:r>
              <w:rPr>
                <w:sz w:val="17"/>
              </w:rPr>
              <w:t xml:space="preserve">Espace</w:t>
            </w:r>
            <w:r>
              <w:rPr>
                <w:sz w:val="17"/>
              </w:rPr>
              <w:t xml:space="preserve"> </w:t>
            </w:r>
            <w:r>
              <w:rPr>
                <w:sz w:val="17"/>
              </w:rPr>
              <w:t xml:space="preserve">contribuable</w:t>
            </w:r>
          </w:p>
        </w:tc>
        <w:tc>
          <w:tcPr/>
          <w:p>
            <w:pPr>
              <w:pStyle w:val="Compact"/>
              <w:spacing w:after="20" w:before="20" w:line="240" w:lineRule="auto"/>
              <w:jc w:val="left"/>
            </w:pPr>
            <w:r>
              <w:rPr>
                <w:sz w:val="17"/>
              </w:rPr>
              <w:t xml:space="preserve">Sous réserve d'un</w:t>
            </w:r>
            <w:r>
              <w:rPr>
                <w:sz w:val="17"/>
              </w:rPr>
              <w:t xml:space="preserve"> </w:t>
            </w:r>
            <w:r>
              <w:rPr>
                <w:sz w:val="17"/>
              </w:rPr>
              <w:t xml:space="preserve">acte autorisant</w:t>
            </w:r>
            <w:r>
              <w:rPr>
                <w:sz w:val="17"/>
              </w:rPr>
              <w:t xml:space="preserve"> </w:t>
            </w:r>
            <w:r>
              <w:rPr>
                <w:sz w:val="17"/>
              </w:rPr>
              <w:t xml:space="preserve">l'échéancier</w:t>
            </w:r>
          </w:p>
        </w:tc>
      </w:tr>
    </w:tbl>
    <w:p>
      <w:pPr>
        <w:pStyle w:val="BlockText"/>
      </w:pPr>
      <w:r>
        <w:rPr>
          <w:b/>
          <w:bCs/>
        </w:rPr>
        <w:t xml:space="preserve">Interdiction structurante.</w:t>
      </w:r>
      <w:r>
        <w:t xml:space="preserve"> </w:t>
      </w:r>
      <w:r>
        <w:t xml:space="preserve">Aucune sanction, aucune fermeture,</w:t>
      </w:r>
      <w:r>
        <w:t xml:space="preserve"> </w:t>
      </w:r>
      <w:r>
        <w:t xml:space="preserve">aucune immobilisation et aucune pénalité ne peut être déclenchée par</w:t>
      </w:r>
      <w:r>
        <w:t xml:space="preserve"> </w:t>
      </w:r>
      <w:r>
        <w:t xml:space="preserve">un algorithme. L'analyse propose ; un agent compétent décide ; la</w:t>
      </w:r>
      <w:r>
        <w:t xml:space="preserve"> </w:t>
      </w:r>
      <w:r>
        <w:t xml:space="preserve">décision est motivée, notifiée et susceptible de recours.</w:t>
      </w:r>
    </w:p>
    <w:bookmarkStart w:id="211" w:name="segmentation-et-pilotage-des-arriérés"/>
    <w:p>
      <w:pPr>
        <w:pStyle w:val="Heading2"/>
      </w:pPr>
      <w:r>
        <w:t xml:space="preserve">21.1 Segmentation et pilotage des arriérés</w:t>
      </w:r>
    </w:p>
    <w:p>
      <w:pPr>
        <w:pStyle w:val="Compact"/>
        <w:numPr>
          <w:ilvl w:val="0"/>
          <w:numId w:val="1060"/>
        </w:numPr>
      </w:pPr>
      <w:r>
        <w:t xml:space="preserve">Segmentation des arriérés par ancienneté, montant, risque, type de recette et recouvrabilité.</w:t>
      </w:r>
    </w:p>
    <w:p>
      <w:pPr>
        <w:pStyle w:val="Compact"/>
        <w:numPr>
          <w:ilvl w:val="0"/>
          <w:numId w:val="1060"/>
        </w:numPr>
      </w:pPr>
      <w:r>
        <w:t xml:space="preserve">Relances, plans d’apurement autorisés, affectation des dossiers, preuves, escalade et clôture contrôlée.</w:t>
      </w:r>
    </w:p>
    <w:p>
      <w:pPr>
        <w:pStyle w:val="Compact"/>
        <w:numPr>
          <w:ilvl w:val="0"/>
          <w:numId w:val="1060"/>
        </w:numPr>
      </w:pPr>
      <w:r>
        <w:t xml:space="preserve">Mesure systématique de la récupération brute et de la récupération nette des coûts de recouvrement.</w:t>
      </w:r>
    </w:p>
    <w:p>
      <w:pPr>
        <w:pStyle w:val="Compact"/>
        <w:numPr>
          <w:ilvl w:val="0"/>
          <w:numId w:val="1060"/>
        </w:numPr>
      </w:pPr>
      <w:r>
        <w:t xml:space="preserve">Les actes coercitifs et les sanctions restent soumis à l’autorité légalement compétente.</w:t>
      </w:r>
    </w:p>
    <w:bookmarkEnd w:id="211"/>
    <w:bookmarkStart w:id="212" w:name="recouvrement-équitable-par-segment"/>
    <w:p>
      <w:pPr>
        <w:pStyle w:val="Heading2"/>
      </w:pPr>
      <w:r>
        <w:t xml:space="preserve">21.2 Recouvrement équitable par segment</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Segment</w:t>
            </w:r>
          </w:p>
        </w:tc>
        <w:tc>
          <w:tcPr>
            <w:shd w:val="clear" w:color="auto" w:fill="1BA996"/>
          </w:tcPr>
          <w:p>
            <w:pPr>
              <w:pStyle w:val="Compact"/>
              <w:spacing w:after="20" w:before="20" w:line="240" w:lineRule="auto"/>
              <w:jc w:val="left"/>
            </w:pPr>
            <w:r>
              <w:rPr>
                <w:b/>
                <w:color w:val="FFFFFF"/>
                <w:sz w:val="17"/>
              </w:rPr>
              <w:t xml:space="preserve">Traitement</w:t>
            </w:r>
          </w:p>
        </w:tc>
      </w:tr>
      <w:tr>
        <w:tc>
          <w:tcPr/>
          <w:p>
            <w:pPr>
              <w:pStyle w:val="Compact"/>
              <w:spacing w:after="20" w:before="20" w:line="240" w:lineRule="auto"/>
              <w:jc w:val="left"/>
            </w:pPr>
            <w:r>
              <w:rPr>
                <w:sz w:val="17"/>
              </w:rPr>
              <w:t xml:space="preserve">Conforme</w:t>
            </w:r>
          </w:p>
        </w:tc>
        <w:tc>
          <w:tcPr/>
          <w:p>
            <w:pPr>
              <w:pStyle w:val="Compact"/>
              <w:spacing w:after="20" w:before="20" w:line="240" w:lineRule="auto"/>
              <w:jc w:val="left"/>
            </w:pPr>
            <w:r>
              <w:rPr>
                <w:sz w:val="17"/>
              </w:rPr>
              <w:t xml:space="preserve">Confirmation, échéancier prévisible, services rapides</w:t>
            </w:r>
          </w:p>
        </w:tc>
      </w:tr>
      <w:tr>
        <w:tc>
          <w:tcPr>
            <w:shd w:val="clear" w:color="auto" w:fill="F2F9F8"/>
          </w:tcPr>
          <w:p>
            <w:pPr>
              <w:pStyle w:val="Compact"/>
              <w:spacing w:after="20" w:before="20" w:line="240" w:lineRule="auto"/>
              <w:jc w:val="left"/>
            </w:pPr>
            <w:r>
              <w:rPr>
                <w:sz w:val="17"/>
              </w:rPr>
              <w:t xml:space="preserve">Retard occasionnel</w:t>
            </w:r>
          </w:p>
        </w:tc>
        <w:tc>
          <w:tcPr>
            <w:shd w:val="clear" w:color="auto" w:fill="F2F9F8"/>
          </w:tcPr>
          <w:p>
            <w:pPr>
              <w:pStyle w:val="Compact"/>
              <w:spacing w:after="20" w:before="20" w:line="240" w:lineRule="auto"/>
              <w:jc w:val="left"/>
            </w:pPr>
            <w:r>
              <w:rPr>
                <w:sz w:val="17"/>
              </w:rPr>
              <w:t xml:space="preserve">Rappel précoce, explication, paiement simplifié</w:t>
            </w:r>
          </w:p>
        </w:tc>
      </w:tr>
      <w:tr>
        <w:tc>
          <w:tcPr/>
          <w:p>
            <w:pPr>
              <w:pStyle w:val="Compact"/>
              <w:spacing w:after="20" w:before="20" w:line="240" w:lineRule="auto"/>
              <w:jc w:val="left"/>
            </w:pPr>
            <w:r>
              <w:rPr>
                <w:sz w:val="17"/>
              </w:rPr>
              <w:t xml:space="preserve">Difficulté réelle</w:t>
            </w:r>
          </w:p>
        </w:tc>
        <w:tc>
          <w:tcPr/>
          <w:p>
            <w:pPr>
              <w:pStyle w:val="Compact"/>
              <w:spacing w:after="20" w:before="20" w:line="240" w:lineRule="auto"/>
              <w:jc w:val="left"/>
            </w:pPr>
            <w:r>
              <w:rPr>
                <w:sz w:val="17"/>
              </w:rPr>
              <w:t xml:space="preserve">Plan ou mécanisme prévu par le droit ; orientation vers l’assistance</w:t>
            </w:r>
          </w:p>
        </w:tc>
      </w:tr>
      <w:tr>
        <w:tc>
          <w:tcPr>
            <w:shd w:val="clear" w:color="auto" w:fill="F2F9F8"/>
          </w:tcPr>
          <w:p>
            <w:pPr>
              <w:pStyle w:val="Compact"/>
              <w:spacing w:after="20" w:before="20" w:line="240" w:lineRule="auto"/>
              <w:jc w:val="left"/>
            </w:pPr>
            <w:r>
              <w:rPr>
                <w:sz w:val="17"/>
              </w:rPr>
              <w:t xml:space="preserve">Erreur ou litige</w:t>
            </w:r>
          </w:p>
        </w:tc>
        <w:tc>
          <w:tcPr>
            <w:shd w:val="clear" w:color="auto" w:fill="F2F9F8"/>
          </w:tcPr>
          <w:p>
            <w:pPr>
              <w:pStyle w:val="Compact"/>
              <w:spacing w:after="20" w:before="20" w:line="240" w:lineRule="auto"/>
              <w:jc w:val="left"/>
            </w:pPr>
            <w:r>
              <w:rPr>
                <w:sz w:val="17"/>
              </w:rPr>
              <w:t xml:space="preserve">Suspension ou traitement selon la procédure ; délai de décision</w:t>
            </w:r>
          </w:p>
        </w:tc>
      </w:tr>
      <w:tr>
        <w:tc>
          <w:tcPr/>
          <w:p>
            <w:pPr>
              <w:pStyle w:val="Compact"/>
              <w:spacing w:after="20" w:before="20" w:line="240" w:lineRule="auto"/>
              <w:jc w:val="left"/>
            </w:pPr>
            <w:r>
              <w:rPr>
                <w:sz w:val="17"/>
              </w:rPr>
              <w:t xml:space="preserve">Non-déclarant probable</w:t>
            </w:r>
          </w:p>
        </w:tc>
        <w:tc>
          <w:tcPr/>
          <w:p>
            <w:pPr>
              <w:pStyle w:val="Compact"/>
              <w:spacing w:after="20" w:before="20" w:line="240" w:lineRule="auto"/>
              <w:jc w:val="left"/>
            </w:pPr>
            <w:r>
              <w:rPr>
                <w:sz w:val="17"/>
              </w:rPr>
              <w:t xml:space="preserve">Invitation à régulariser, puis contrôle autorisé</w:t>
            </w:r>
          </w:p>
        </w:tc>
      </w:tr>
      <w:tr>
        <w:tc>
          <w:tcPr>
            <w:shd w:val="clear" w:color="auto" w:fill="F2F9F8"/>
          </w:tcPr>
          <w:p>
            <w:pPr>
              <w:pStyle w:val="Compact"/>
              <w:spacing w:after="20" w:before="20" w:line="240" w:lineRule="auto"/>
              <w:jc w:val="left"/>
            </w:pPr>
            <w:r>
              <w:rPr>
                <w:sz w:val="17"/>
              </w:rPr>
              <w:t xml:space="preserve">Fraude présumée</w:t>
            </w:r>
          </w:p>
        </w:tc>
        <w:tc>
          <w:tcPr>
            <w:shd w:val="clear" w:color="auto" w:fill="F2F9F8"/>
          </w:tcPr>
          <w:p>
            <w:pPr>
              <w:pStyle w:val="Compact"/>
              <w:spacing w:after="20" w:before="20" w:line="240" w:lineRule="auto"/>
              <w:jc w:val="left"/>
            </w:pPr>
            <w:r>
              <w:rPr>
                <w:sz w:val="17"/>
              </w:rPr>
              <w:t xml:space="preserve">Investigation spécialisée ; aucune sanction par algorithme seul</w:t>
            </w:r>
          </w:p>
        </w:tc>
      </w:tr>
      <w:tr>
        <w:tc>
          <w:tcPr/>
          <w:p>
            <w:pPr>
              <w:pStyle w:val="Compact"/>
              <w:spacing w:after="20" w:before="20" w:line="240" w:lineRule="auto"/>
              <w:jc w:val="left"/>
            </w:pPr>
            <w:r>
              <w:rPr>
                <w:sz w:val="17"/>
              </w:rPr>
              <w:t xml:space="preserve">Grand débiteur</w:t>
            </w:r>
          </w:p>
        </w:tc>
        <w:tc>
          <w:tcPr/>
          <w:p>
            <w:pPr>
              <w:pStyle w:val="Compact"/>
              <w:spacing w:after="20" w:before="20" w:line="240" w:lineRule="auto"/>
              <w:jc w:val="left"/>
            </w:pPr>
            <w:r>
              <w:rPr>
                <w:sz w:val="17"/>
              </w:rPr>
              <w:t xml:space="preserve">Gestion de cas, garanties, décisions tracées, supervision</w:t>
            </w:r>
          </w:p>
        </w:tc>
      </w:tr>
    </w:tbl>
    <w:p>
      <w:pPr>
        <w:pStyle w:val="BodyText"/>
      </w:pPr>
      <w:r>
        <w:t xml:space="preserve">L’objectif est le rendement net durable, pas le harcèlement : les campagnes sont testées, mesurées et arrêtées si elles produisent un coût disproportionné, des erreurs ou un impact social non conforme.</w:t>
      </w:r>
    </w:p>
    <w:bookmarkEnd w:id="212"/>
    <w:bookmarkEnd w:id="213"/>
    <w:bookmarkStart w:id="215" w:name="recours-et-droits-du-contribuable"/>
    <w:p>
      <w:pPr>
        <w:pStyle w:val="Heading1"/>
      </w:pPr>
      <w:r>
        <w:t xml:space="preserve">22. Recours et droits du contribuable</w:t>
      </w:r>
    </w:p>
    <w:p>
      <w:pPr>
        <w:numPr>
          <w:ilvl w:val="0"/>
          <w:numId w:val="1061"/>
        </w:numPr>
      </w:pPr>
      <w:r>
        <w:t xml:space="preserve">Droit d'accès à ses données et à l'historique des actions les</w:t>
      </w:r>
      <w:r>
        <w:t xml:space="preserve"> </w:t>
      </w:r>
      <w:r>
        <w:t xml:space="preserve">concernant.</w:t>
      </w:r>
    </w:p>
    <w:p>
      <w:pPr>
        <w:numPr>
          <w:ilvl w:val="0"/>
          <w:numId w:val="1061"/>
        </w:numPr>
      </w:pPr>
      <w:r>
        <w:t xml:space="preserve">Droit de rectification par la fonction de contestation, avec accusé</w:t>
      </w:r>
      <w:r>
        <w:t xml:space="preserve"> </w:t>
      </w:r>
      <w:r>
        <w:t xml:space="preserve">de réception horodaté.</w:t>
      </w:r>
    </w:p>
    <w:p>
      <w:pPr>
        <w:numPr>
          <w:ilvl w:val="0"/>
          <w:numId w:val="1061"/>
        </w:numPr>
      </w:pPr>
      <w:r>
        <w:t xml:space="preserve">Droit d'être informé du fondement légal de toute obligation, avec</w:t>
      </w:r>
      <w:r>
        <w:t xml:space="preserve"> </w:t>
      </w:r>
      <w:r>
        <w:t xml:space="preserve">la référence du texte.</w:t>
      </w:r>
    </w:p>
    <w:p>
      <w:pPr>
        <w:numPr>
          <w:ilvl w:val="0"/>
          <w:numId w:val="1061"/>
        </w:numPr>
      </w:pPr>
      <w:r>
        <w:t xml:space="preserve">Droit de recours hiérarchique puis juridictionnel, avec délais</w:t>
      </w:r>
      <w:r>
        <w:t xml:space="preserve"> </w:t>
      </w:r>
      <w:r>
        <w:t xml:space="preserve">affichés et décompte visible.</w:t>
      </w:r>
    </w:p>
    <w:p>
      <w:pPr>
        <w:numPr>
          <w:ilvl w:val="0"/>
          <w:numId w:val="1061"/>
        </w:numPr>
      </w:pPr>
      <w:r>
        <w:t xml:space="preserve">Droit à la preuve : quittance vérifiable, copie des constats,</w:t>
      </w:r>
      <w:r>
        <w:t xml:space="preserve"> </w:t>
      </w:r>
      <w:r>
        <w:t xml:space="preserve">photographies utilisées.</w:t>
      </w:r>
    </w:p>
    <w:p>
      <w:pPr>
        <w:numPr>
          <w:ilvl w:val="0"/>
          <w:numId w:val="1061"/>
        </w:numPr>
      </w:pPr>
      <w:r>
        <w:t xml:space="preserve">Droit à la protection : aucune publication de sa situation fiscale</w:t>
      </w:r>
      <w:r>
        <w:t xml:space="preserve"> </w:t>
      </w:r>
      <w:r>
        <w:t xml:space="preserve">individuelle.</w:t>
      </w:r>
    </w:p>
    <w:p>
      <w:pPr>
        <w:numPr>
          <w:ilvl w:val="0"/>
          <w:numId w:val="1061"/>
        </w:numPr>
      </w:pPr>
      <w:r>
        <w:t xml:space="preserve">Droit d'être entendu avant toute mesure d'exécution, selon la</w:t>
      </w:r>
      <w:r>
        <w:t xml:space="preserve"> </w:t>
      </w:r>
      <w:r>
        <w:t xml:space="preserve">procédure applicable.</w:t>
      </w:r>
    </w:p>
    <w:p>
      <w:pPr>
        <w:pStyle w:val="FirstParagraph"/>
      </w:pPr>
      <w:r>
        <w:t xml:space="preserve">Chaque recours a un propriétaire, un délai légal, un état et une</w:t>
      </w:r>
      <w:r>
        <w:t xml:space="preserve"> </w:t>
      </w:r>
      <w:r>
        <w:t xml:space="preserve">décision motivée. Le non-respect du délai est un indicateur suivi au</w:t>
      </w:r>
      <w:r>
        <w:t xml:space="preserve"> </w:t>
      </w:r>
      <w:r>
        <w:t xml:space="preserve">tableau de bord du directeur de régie et de l'audit interne.</w:t>
      </w:r>
    </w:p>
    <w:bookmarkStart w:id="214" w:name="Xb074c9d090b79eb69785271ae4e1fa6bc88810a"/>
    <w:p>
      <w:pPr>
        <w:pStyle w:val="Heading2"/>
      </w:pPr>
      <w:r>
        <w:t xml:space="preserve">22.1 Workflow des contestations, recours, exonérations et corrections</w:t>
      </w:r>
    </w:p>
    <w:p>
      <w:pPr>
        <w:pStyle w:val="FirstParagraph"/>
      </w:pPr>
      <w:r>
        <w:t xml:space="preserve">Les contestations, recours, exonérations, remises et corrections suivent un workflow séparé de la liquidation, en maker-checker, avec délais, pièces, décisions motivées et historique complet. L’IA prépare et résume le dossier ; l’autorité habilitée décide.</w:t>
      </w:r>
    </w:p>
    <w:bookmarkEnd w:id="214"/>
    <w:bookmarkEnd w:id="215"/>
    <w:bookmarkStart w:id="217" w:name="Xffaa8886a3c8f9c5cd6a9b1edac510bf94ddbe2"/>
    <w:p>
      <w:pPr>
        <w:pStyle w:val="Heading1"/>
      </w:pPr>
      <w:r>
        <w:t xml:space="preserve">23. Architecture des agents d'intelligence artificielle</w:t>
      </w:r>
    </w:p>
    <w:p>
      <w:pPr>
        <w:pStyle w:val="FirstParagraph"/>
      </w:pPr>
      <w:r>
        <w:t xml:space="preserve">L'IA est un instrument d'aide à la décision, encadré et traçable. Le</w:t>
      </w:r>
      <w:r>
        <w:t xml:space="preserve"> </w:t>
      </w:r>
      <w:r>
        <w:t xml:space="preserve">socle fiscal fonctionne sans elle ; l'IA améliore la priorisation, la</w:t>
      </w:r>
      <w:r>
        <w:t xml:space="preserve"> </w:t>
      </w:r>
      <w:r>
        <w:t xml:space="preserve">compréhension et la détection.</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689"/>
        <w:gridCol w:w="3696"/>
        <w:gridCol w:w="2323"/>
      </w:tblGrid>
      <w:tr>
        <w:trPr>
          <w:tblHeader w:val="true"/>
          <w:tblHeader/>
        </w:trPr>
        <w:tc>
          <w:tcPr>
            <w:shd w:val="clear" w:color="auto" w:fill="1BA996"/>
          </w:tcPr>
          <w:p>
            <w:pPr>
              <w:pStyle w:val="Compact"/>
              <w:spacing w:after="20" w:before="20" w:line="240" w:lineRule="auto"/>
              <w:jc w:val="left"/>
            </w:pPr>
            <w:r>
              <w:rPr>
                <w:b/>
                <w:bCs/>
                <w:color w:val="FFFFFF"/>
                <w:sz w:val="17"/>
              </w:rPr>
              <w:t xml:space="preserve">Agent</w:t>
            </w:r>
          </w:p>
        </w:tc>
        <w:tc>
          <w:tcPr>
            <w:shd w:val="clear" w:color="auto" w:fill="1BA996"/>
          </w:tcPr>
          <w:p>
            <w:pPr>
              <w:pStyle w:val="Compact"/>
              <w:spacing w:after="20" w:before="20" w:line="240" w:lineRule="auto"/>
              <w:jc w:val="left"/>
            </w:pPr>
            <w:r>
              <w:rPr>
                <w:b/>
                <w:bCs/>
                <w:color w:val="FFFFFF"/>
                <w:sz w:val="17"/>
              </w:rPr>
              <w:t xml:space="preserve">Fonction</w:t>
            </w:r>
          </w:p>
        </w:tc>
        <w:tc>
          <w:tcPr>
            <w:shd w:val="clear" w:color="auto" w:fill="1BA996"/>
          </w:tcPr>
          <w:p>
            <w:pPr>
              <w:pStyle w:val="Compact"/>
              <w:spacing w:after="20" w:before="20" w:line="240" w:lineRule="auto"/>
              <w:jc w:val="left"/>
            </w:pPr>
            <w:r>
              <w:rPr>
                <w:b/>
                <w:bCs/>
                <w:color w:val="FFFFFF"/>
                <w:sz w:val="17"/>
              </w:rPr>
              <w:t xml:space="preserve">Limite stricte</w:t>
            </w:r>
          </w:p>
        </w:tc>
      </w:tr>
      <w:tr>
        <w:tc>
          <w:tcPr/>
          <w:p>
            <w:pPr>
              <w:pStyle w:val="Compact"/>
              <w:spacing w:after="20" w:before="20" w:line="240" w:lineRule="auto"/>
              <w:jc w:val="left"/>
            </w:pPr>
            <w:r>
              <w:rPr>
                <w:sz w:val="17"/>
              </w:rPr>
              <w:t xml:space="preserve">Découverte de</w:t>
            </w:r>
            <w:r>
              <w:rPr>
                <w:sz w:val="17"/>
              </w:rPr>
              <w:t xml:space="preserve"> </w:t>
            </w:r>
            <w:r>
              <w:rPr>
                <w:sz w:val="17"/>
              </w:rPr>
              <w:t xml:space="preserve">recettes</w:t>
            </w:r>
          </w:p>
        </w:tc>
        <w:tc>
          <w:tcPr/>
          <w:p>
            <w:pPr>
              <w:pStyle w:val="Compact"/>
              <w:spacing w:after="20" w:before="20" w:line="240" w:lineRule="auto"/>
              <w:jc w:val="left"/>
            </w:pPr>
            <w:r>
              <w:rPr>
                <w:sz w:val="17"/>
              </w:rPr>
              <w:t xml:space="preserve">Identifie sous-enregistrement,</w:t>
            </w:r>
            <w:r>
              <w:rPr>
                <w:sz w:val="17"/>
              </w:rPr>
              <w:t xml:space="preserve"> </w:t>
            </w:r>
            <w:r>
              <w:rPr>
                <w:sz w:val="17"/>
              </w:rPr>
              <w:t xml:space="preserve">activités non déclarées, actifs</w:t>
            </w:r>
            <w:r>
              <w:rPr>
                <w:sz w:val="17"/>
              </w:rPr>
              <w:t xml:space="preserve"> </w:t>
            </w:r>
            <w:r>
              <w:rPr>
                <w:sz w:val="17"/>
              </w:rPr>
              <w:t xml:space="preserve">publics non valorisés</w:t>
            </w:r>
          </w:p>
        </w:tc>
        <w:tc>
          <w:tcPr/>
          <w:p>
            <w:pPr>
              <w:pStyle w:val="Compact"/>
              <w:spacing w:after="20" w:before="20" w:line="240" w:lineRule="auto"/>
              <w:jc w:val="left"/>
            </w:pPr>
            <w:r>
              <w:rPr>
                <w:sz w:val="17"/>
              </w:rPr>
              <w:t xml:space="preserve">Ne crée aucune</w:t>
            </w:r>
            <w:r>
              <w:rPr>
                <w:sz w:val="17"/>
              </w:rPr>
              <w:t xml:space="preserve"> </w:t>
            </w:r>
            <w:r>
              <w:rPr>
                <w:sz w:val="17"/>
              </w:rPr>
              <w:t xml:space="preserve">obligation</w:t>
            </w:r>
          </w:p>
        </w:tc>
      </w:tr>
      <w:tr>
        <w:tc>
          <w:tcPr>
            <w:shd w:val="clear" w:color="auto" w:fill="F2F9F8"/>
          </w:tcPr>
          <w:p>
            <w:pPr>
              <w:pStyle w:val="Compact"/>
              <w:spacing w:after="20" w:before="20" w:line="240" w:lineRule="auto"/>
              <w:jc w:val="left"/>
            </w:pPr>
            <w:r>
              <w:rPr>
                <w:sz w:val="17"/>
              </w:rPr>
              <w:t xml:space="preserve">Enrôlement</w:t>
            </w:r>
          </w:p>
        </w:tc>
        <w:tc>
          <w:tcPr>
            <w:shd w:val="clear" w:color="auto" w:fill="F2F9F8"/>
          </w:tcPr>
          <w:p>
            <w:pPr>
              <w:pStyle w:val="Compact"/>
              <w:spacing w:after="20" w:before="20" w:line="240" w:lineRule="auto"/>
              <w:jc w:val="left"/>
            </w:pPr>
            <w:r>
              <w:rPr>
                <w:sz w:val="17"/>
              </w:rPr>
              <w:t xml:space="preserve">Guide l'inscription, détecte les</w:t>
            </w:r>
            <w:r>
              <w:rPr>
                <w:sz w:val="17"/>
              </w:rPr>
              <w:t xml:space="preserve"> </w:t>
            </w:r>
            <w:r>
              <w:rPr>
                <w:sz w:val="17"/>
              </w:rPr>
              <w:t xml:space="preserve">informations manquantes, réutilise</w:t>
            </w:r>
            <w:r>
              <w:rPr>
                <w:sz w:val="17"/>
              </w:rPr>
              <w:t xml:space="preserve"> </w:t>
            </w:r>
            <w:r>
              <w:rPr>
                <w:sz w:val="17"/>
              </w:rPr>
              <w:t xml:space="preserve">les données vérifiées</w:t>
            </w:r>
          </w:p>
        </w:tc>
        <w:tc>
          <w:tcPr>
            <w:shd w:val="clear" w:color="auto" w:fill="F2F9F8"/>
          </w:tcPr>
          <w:p>
            <w:pPr>
              <w:pStyle w:val="Compact"/>
              <w:spacing w:after="20" w:before="20" w:line="240" w:lineRule="auto"/>
              <w:jc w:val="left"/>
            </w:pPr>
            <w:r>
              <w:rPr>
                <w:sz w:val="17"/>
              </w:rPr>
              <w:t xml:space="preserve">Ne valide pas une</w:t>
            </w:r>
            <w:r>
              <w:rPr>
                <w:sz w:val="17"/>
              </w:rPr>
              <w:t xml:space="preserve"> </w:t>
            </w:r>
            <w:r>
              <w:rPr>
                <w:sz w:val="17"/>
              </w:rPr>
              <w:t xml:space="preserve">identité seul</w:t>
            </w:r>
          </w:p>
        </w:tc>
      </w:tr>
      <w:tr>
        <w:tc>
          <w:tcPr/>
          <w:p>
            <w:pPr>
              <w:pStyle w:val="Compact"/>
              <w:spacing w:after="20" w:before="20" w:line="240" w:lineRule="auto"/>
              <w:jc w:val="left"/>
            </w:pPr>
            <w:r>
              <w:rPr>
                <w:sz w:val="17"/>
              </w:rPr>
              <w:t xml:space="preserve">Apprentissage</w:t>
            </w:r>
            <w:r>
              <w:rPr>
                <w:sz w:val="17"/>
              </w:rPr>
              <w:t xml:space="preserve"> </w:t>
            </w:r>
            <w:r>
              <w:rPr>
                <w:sz w:val="17"/>
              </w:rPr>
              <w:t xml:space="preserve">utilisateur</w:t>
            </w:r>
          </w:p>
        </w:tc>
        <w:tc>
          <w:tcPr/>
          <w:p>
            <w:pPr>
              <w:pStyle w:val="Compact"/>
              <w:spacing w:after="20" w:before="20" w:line="240" w:lineRule="auto"/>
              <w:jc w:val="left"/>
            </w:pPr>
            <w:r>
              <w:rPr>
                <w:sz w:val="17"/>
              </w:rPr>
              <w:t xml:space="preserve">Explique obligations, échéances,</w:t>
            </w:r>
            <w:r>
              <w:rPr>
                <w:sz w:val="17"/>
              </w:rPr>
              <w:t xml:space="preserve"> </w:t>
            </w:r>
            <w:r>
              <w:rPr>
                <w:sz w:val="17"/>
              </w:rPr>
              <w:t xml:space="preserve">pièces, canaux et recours en</w:t>
            </w:r>
            <w:r>
              <w:rPr>
                <w:sz w:val="17"/>
              </w:rPr>
              <w:t xml:space="preserve"> </w:t>
            </w:r>
            <w:r>
              <w:rPr>
                <w:sz w:val="17"/>
              </w:rPr>
              <w:t xml:space="preserve">français et en lingala</w:t>
            </w:r>
          </w:p>
        </w:tc>
        <w:tc>
          <w:tcPr/>
          <w:p>
            <w:pPr>
              <w:pStyle w:val="Compact"/>
              <w:spacing w:after="20" w:before="20" w:line="240" w:lineRule="auto"/>
              <w:jc w:val="left"/>
            </w:pPr>
            <w:r>
              <w:rPr>
                <w:sz w:val="17"/>
              </w:rPr>
              <w:t xml:space="preserve">Ne donne pas de</w:t>
            </w:r>
            <w:r>
              <w:rPr>
                <w:sz w:val="17"/>
              </w:rPr>
              <w:t xml:space="preserve"> </w:t>
            </w:r>
            <w:r>
              <w:rPr>
                <w:sz w:val="17"/>
              </w:rPr>
              <w:t xml:space="preserve">conseil juridique</w:t>
            </w:r>
            <w:r>
              <w:rPr>
                <w:sz w:val="17"/>
              </w:rPr>
              <w:t xml:space="preserve"> </w:t>
            </w:r>
            <w:r>
              <w:rPr>
                <w:sz w:val="17"/>
              </w:rPr>
              <w:t xml:space="preserve">opposable</w:t>
            </w:r>
          </w:p>
        </w:tc>
      </w:tr>
      <w:tr>
        <w:tc>
          <w:tcPr>
            <w:shd w:val="clear" w:color="auto" w:fill="F2F9F8"/>
          </w:tcPr>
          <w:p>
            <w:pPr>
              <w:pStyle w:val="Compact"/>
              <w:spacing w:after="20" w:before="20" w:line="240" w:lineRule="auto"/>
              <w:jc w:val="left"/>
            </w:pPr>
            <w:r>
              <w:rPr>
                <w:sz w:val="17"/>
              </w:rPr>
              <w:t xml:space="preserve">Copilote agent</w:t>
            </w:r>
            <w:r>
              <w:rPr>
                <w:sz w:val="17"/>
              </w:rPr>
              <w:t xml:space="preserve"> </w:t>
            </w:r>
            <w:r>
              <w:rPr>
                <w:sz w:val="17"/>
              </w:rPr>
              <w:t xml:space="preserve">public</w:t>
            </w:r>
          </w:p>
        </w:tc>
        <w:tc>
          <w:tcPr>
            <w:shd w:val="clear" w:color="auto" w:fill="F2F9F8"/>
          </w:tcPr>
          <w:p>
            <w:pPr>
              <w:pStyle w:val="Compact"/>
              <w:spacing w:after="20" w:before="20" w:line="240" w:lineRule="auto"/>
              <w:jc w:val="left"/>
            </w:pPr>
            <w:r>
              <w:rPr>
                <w:sz w:val="17"/>
              </w:rPr>
              <w:t xml:space="preserve">Résume un dossier, propose</w:t>
            </w:r>
            <w:r>
              <w:rPr>
                <w:sz w:val="17"/>
              </w:rPr>
              <w:t xml:space="preserve"> </w:t>
            </w:r>
            <w:r>
              <w:rPr>
                <w:sz w:val="17"/>
              </w:rPr>
              <w:t xml:space="preserve">l'étape suivante, prépare un</w:t>
            </w:r>
            <w:r>
              <w:rPr>
                <w:sz w:val="17"/>
              </w:rPr>
              <w:t xml:space="preserve"> </w:t>
            </w:r>
            <w:r>
              <w:rPr>
                <w:sz w:val="17"/>
              </w:rPr>
              <w:t xml:space="preserve">document, priorise la charge</w:t>
            </w:r>
          </w:p>
        </w:tc>
        <w:tc>
          <w:tcPr>
            <w:shd w:val="clear" w:color="auto" w:fill="F2F9F8"/>
          </w:tcPr>
          <w:p>
            <w:pPr>
              <w:pStyle w:val="Compact"/>
              <w:spacing w:after="20" w:before="20" w:line="240" w:lineRule="auto"/>
              <w:jc w:val="left"/>
            </w:pPr>
            <w:r>
              <w:rPr>
                <w:sz w:val="17"/>
              </w:rPr>
              <w:t xml:space="preserve">Ne signe ni ne</w:t>
            </w:r>
            <w:r>
              <w:rPr>
                <w:sz w:val="17"/>
              </w:rPr>
              <w:t xml:space="preserve"> </w:t>
            </w:r>
            <w:r>
              <w:rPr>
                <w:sz w:val="17"/>
              </w:rPr>
              <w:t xml:space="preserve">notifie</w:t>
            </w:r>
          </w:p>
        </w:tc>
      </w:tr>
      <w:tr>
        <w:tc>
          <w:tcPr/>
          <w:p>
            <w:pPr>
              <w:pStyle w:val="Compact"/>
              <w:spacing w:after="20" w:before="20" w:line="240" w:lineRule="auto"/>
              <w:jc w:val="left"/>
            </w:pPr>
            <w:r>
              <w:rPr>
                <w:sz w:val="17"/>
              </w:rPr>
              <w:t xml:space="preserve">Veille</w:t>
            </w:r>
            <w:r>
              <w:rPr>
                <w:sz w:val="17"/>
              </w:rPr>
              <w:t xml:space="preserve"> </w:t>
            </w:r>
            <w:r>
              <w:rPr>
                <w:sz w:val="17"/>
              </w:rPr>
              <w:t xml:space="preserve">juridique</w:t>
            </w:r>
          </w:p>
        </w:tc>
        <w:tc>
          <w:tcPr/>
          <w:p>
            <w:pPr>
              <w:pStyle w:val="Compact"/>
              <w:spacing w:after="20" w:before="20" w:line="240" w:lineRule="auto"/>
              <w:jc w:val="left"/>
            </w:pPr>
            <w:r>
              <w:rPr>
                <w:sz w:val="17"/>
              </w:rPr>
              <w:t xml:space="preserve">Signale les textes nouveaux, les</w:t>
            </w:r>
            <w:r>
              <w:rPr>
                <w:sz w:val="17"/>
              </w:rPr>
              <w:t xml:space="preserve"> </w:t>
            </w:r>
            <w:r>
              <w:rPr>
                <w:sz w:val="17"/>
              </w:rPr>
              <w:t xml:space="preserve">règles expirées et les conflits de</w:t>
            </w:r>
            <w:r>
              <w:rPr>
                <w:sz w:val="17"/>
              </w:rPr>
              <w:t xml:space="preserve"> </w:t>
            </w:r>
            <w:r>
              <w:rPr>
                <w:sz w:val="17"/>
              </w:rPr>
              <w:t xml:space="preserve">normes</w:t>
            </w:r>
          </w:p>
        </w:tc>
        <w:tc>
          <w:tcPr/>
          <w:p>
            <w:pPr>
              <w:pStyle w:val="Compact"/>
              <w:spacing w:after="20" w:before="20" w:line="240" w:lineRule="auto"/>
              <w:jc w:val="left"/>
            </w:pPr>
            <w:r>
              <w:rPr>
                <w:sz w:val="17"/>
              </w:rPr>
              <w:t xml:space="preserve">Ne publie aucune</w:t>
            </w:r>
            <w:r>
              <w:rPr>
                <w:sz w:val="17"/>
              </w:rPr>
              <w:t xml:space="preserve"> </w:t>
            </w:r>
            <w:r>
              <w:rPr>
                <w:sz w:val="17"/>
              </w:rPr>
              <w:t xml:space="preserve">règle sans validation</w:t>
            </w:r>
            <w:r>
              <w:rPr>
                <w:sz w:val="17"/>
              </w:rPr>
              <w:t xml:space="preserve"> </w:t>
            </w:r>
            <w:r>
              <w:rPr>
                <w:sz w:val="17"/>
              </w:rPr>
              <w:t xml:space="preserve">juridique humaine</w:t>
            </w:r>
          </w:p>
        </w:tc>
      </w:tr>
      <w:tr>
        <w:tc>
          <w:tcPr>
            <w:shd w:val="clear" w:color="auto" w:fill="F2F9F8"/>
          </w:tcPr>
          <w:p>
            <w:pPr>
              <w:pStyle w:val="Compact"/>
              <w:spacing w:after="20" w:before="20" w:line="240" w:lineRule="auto"/>
              <w:jc w:val="left"/>
            </w:pPr>
            <w:r>
              <w:rPr>
                <w:sz w:val="17"/>
              </w:rPr>
              <w:t xml:space="preserve">Intelligence</w:t>
            </w:r>
            <w:r>
              <w:rPr>
                <w:sz w:val="17"/>
              </w:rPr>
              <w:t xml:space="preserve"> </w:t>
            </w:r>
            <w:r>
              <w:rPr>
                <w:sz w:val="17"/>
              </w:rPr>
              <w:t xml:space="preserve">locative</w:t>
            </w:r>
          </w:p>
        </w:tc>
        <w:tc>
          <w:tcPr>
            <w:shd w:val="clear" w:color="auto" w:fill="F2F9F8"/>
          </w:tcPr>
          <w:p>
            <w:pPr>
              <w:pStyle w:val="Compact"/>
              <w:spacing w:after="20" w:before="20" w:line="240" w:lineRule="auto"/>
              <w:jc w:val="left"/>
            </w:pPr>
            <w:r>
              <w:rPr>
                <w:sz w:val="17"/>
              </w:rPr>
              <w:t xml:space="preserve">Classe les zones et les biens à</w:t>
            </w:r>
            <w:r>
              <w:rPr>
                <w:sz w:val="17"/>
              </w:rPr>
              <w:t xml:space="preserve"> </w:t>
            </w:r>
            <w:r>
              <w:rPr>
                <w:sz w:val="17"/>
              </w:rPr>
              <w:t xml:space="preserve">vérifier</w:t>
            </w:r>
          </w:p>
        </w:tc>
        <w:tc>
          <w:tcPr>
            <w:shd w:val="clear" w:color="auto" w:fill="F2F9F8"/>
          </w:tcPr>
          <w:p>
            <w:pPr>
              <w:pStyle w:val="Compact"/>
              <w:spacing w:after="20" w:before="20" w:line="240" w:lineRule="auto"/>
              <w:jc w:val="left"/>
            </w:pPr>
            <w:r>
              <w:rPr>
                <w:sz w:val="17"/>
              </w:rPr>
              <w:t xml:space="preserve">Ne conclut ni à la</w:t>
            </w:r>
            <w:r>
              <w:rPr>
                <w:sz w:val="17"/>
              </w:rPr>
              <w:t xml:space="preserve"> </w:t>
            </w:r>
            <w:r>
              <w:rPr>
                <w:sz w:val="17"/>
              </w:rPr>
              <w:t xml:space="preserve">propriété ni à la</w:t>
            </w:r>
            <w:r>
              <w:rPr>
                <w:sz w:val="17"/>
              </w:rPr>
              <w:t xml:space="preserve"> </w:t>
            </w:r>
            <w:r>
              <w:rPr>
                <w:sz w:val="17"/>
              </w:rPr>
              <w:t xml:space="preserve">fraude</w:t>
            </w:r>
          </w:p>
        </w:tc>
      </w:tr>
      <w:tr>
        <w:tc>
          <w:tcPr/>
          <w:p>
            <w:pPr>
              <w:pStyle w:val="Compact"/>
              <w:spacing w:after="20" w:before="20" w:line="240" w:lineRule="auto"/>
              <w:jc w:val="left"/>
            </w:pPr>
            <w:r>
              <w:rPr>
                <w:sz w:val="17"/>
              </w:rPr>
              <w:t xml:space="preserve">Mission terrain</w:t>
            </w:r>
          </w:p>
        </w:tc>
        <w:tc>
          <w:tcPr/>
          <w:p>
            <w:pPr>
              <w:pStyle w:val="Compact"/>
              <w:spacing w:after="20" w:before="20" w:line="240" w:lineRule="auto"/>
              <w:jc w:val="left"/>
            </w:pPr>
            <w:r>
              <w:rPr>
                <w:sz w:val="17"/>
              </w:rPr>
              <w:t xml:space="preserve">Optimise les tournées et prépare</w:t>
            </w:r>
            <w:r>
              <w:rPr>
                <w:sz w:val="17"/>
              </w:rPr>
              <w:t xml:space="preserve"> </w:t>
            </w:r>
            <w:r>
              <w:rPr>
                <w:sz w:val="17"/>
              </w:rPr>
              <w:t xml:space="preserve">les dossiers d'inspection</w:t>
            </w:r>
          </w:p>
        </w:tc>
        <w:tc>
          <w:tcPr/>
          <w:p>
            <w:pPr>
              <w:pStyle w:val="Compact"/>
              <w:spacing w:after="20" w:before="20" w:line="240" w:lineRule="auto"/>
              <w:jc w:val="left"/>
            </w:pPr>
            <w:r>
              <w:rPr>
                <w:sz w:val="17"/>
              </w:rPr>
              <w:t xml:space="preserve">N'affecte pas un</w:t>
            </w:r>
            <w:r>
              <w:rPr>
                <w:sz w:val="17"/>
              </w:rPr>
              <w:t xml:space="preserve"> </w:t>
            </w:r>
            <w:r>
              <w:rPr>
                <w:sz w:val="17"/>
              </w:rPr>
              <w:t xml:space="preserve">agent hors de son</w:t>
            </w:r>
            <w:r>
              <w:rPr>
                <w:sz w:val="17"/>
              </w:rPr>
              <w:t xml:space="preserve"> </w:t>
            </w:r>
            <w:r>
              <w:rPr>
                <w:sz w:val="17"/>
              </w:rPr>
              <w:t xml:space="preserve">périmètre</w:t>
            </w:r>
          </w:p>
        </w:tc>
      </w:tr>
      <w:tr>
        <w:tc>
          <w:tcPr>
            <w:shd w:val="clear" w:color="auto" w:fill="F2F9F8"/>
          </w:tcPr>
          <w:p>
            <w:pPr>
              <w:pStyle w:val="Compact"/>
              <w:spacing w:after="20" w:before="20" w:line="240" w:lineRule="auto"/>
              <w:jc w:val="left"/>
            </w:pPr>
            <w:r>
              <w:rPr>
                <w:sz w:val="17"/>
              </w:rPr>
              <w:t xml:space="preserve">Rapprochement</w:t>
            </w:r>
          </w:p>
        </w:tc>
        <w:tc>
          <w:tcPr>
            <w:shd w:val="clear" w:color="auto" w:fill="F2F9F8"/>
          </w:tcPr>
          <w:p>
            <w:pPr>
              <w:pStyle w:val="Compact"/>
              <w:spacing w:after="20" w:before="20" w:line="240" w:lineRule="auto"/>
              <w:jc w:val="left"/>
            </w:pPr>
            <w:r>
              <w:rPr>
                <w:sz w:val="17"/>
              </w:rPr>
              <w:t xml:space="preserve">Apparie obligations, confirmations</w:t>
            </w:r>
            <w:r>
              <w:rPr>
                <w:sz w:val="17"/>
              </w:rPr>
              <w:t xml:space="preserve"> </w:t>
            </w:r>
            <w:r>
              <w:rPr>
                <w:sz w:val="17"/>
              </w:rPr>
              <w:t xml:space="preserve">et règlements</w:t>
            </w:r>
          </w:p>
        </w:tc>
        <w:tc>
          <w:tcPr>
            <w:shd w:val="clear" w:color="auto" w:fill="F2F9F8"/>
          </w:tcPr>
          <w:p>
            <w:pPr>
              <w:pStyle w:val="Compact"/>
              <w:spacing w:after="20" w:before="20" w:line="240" w:lineRule="auto"/>
              <w:jc w:val="left"/>
            </w:pPr>
            <w:r>
              <w:rPr>
                <w:sz w:val="17"/>
              </w:rPr>
              <w:t xml:space="preserve">Ne corrige pas une</w:t>
            </w:r>
            <w:r>
              <w:rPr>
                <w:sz w:val="17"/>
              </w:rPr>
              <w:t xml:space="preserve"> </w:t>
            </w:r>
            <w:r>
              <w:rPr>
                <w:sz w:val="17"/>
              </w:rPr>
              <w:t xml:space="preserve">écriture sans</w:t>
            </w:r>
            <w:r>
              <w:rPr>
                <w:sz w:val="17"/>
              </w:rPr>
              <w:t xml:space="preserve"> </w:t>
            </w:r>
            <w:r>
              <w:rPr>
                <w:sz w:val="17"/>
              </w:rPr>
              <w:t xml:space="preserve">validation</w:t>
            </w:r>
          </w:p>
        </w:tc>
      </w:tr>
      <w:tr>
        <w:tc>
          <w:tcPr/>
          <w:p>
            <w:pPr>
              <w:pStyle w:val="Compact"/>
              <w:spacing w:after="20" w:before="20" w:line="240" w:lineRule="auto"/>
              <w:jc w:val="left"/>
            </w:pPr>
            <w:r>
              <w:rPr>
                <w:sz w:val="17"/>
              </w:rPr>
              <w:t xml:space="preserve">Détection de</w:t>
            </w:r>
            <w:r>
              <w:rPr>
                <w:sz w:val="17"/>
              </w:rPr>
              <w:t xml:space="preserve"> </w:t>
            </w:r>
            <w:r>
              <w:rPr>
                <w:sz w:val="17"/>
              </w:rPr>
              <w:t xml:space="preserve">fraude</w:t>
            </w:r>
          </w:p>
        </w:tc>
        <w:tc>
          <w:tcPr/>
          <w:p>
            <w:pPr>
              <w:pStyle w:val="Compact"/>
              <w:spacing w:after="20" w:before="20" w:line="240" w:lineRule="auto"/>
              <w:jc w:val="left"/>
            </w:pPr>
            <w:r>
              <w:rPr>
                <w:sz w:val="17"/>
              </w:rPr>
              <w:t xml:space="preserve">Repère doublons, exonérations</w:t>
            </w:r>
            <w:r>
              <w:rPr>
                <w:sz w:val="17"/>
              </w:rPr>
              <w:t xml:space="preserve"> </w:t>
            </w:r>
            <w:r>
              <w:rPr>
                <w:sz w:val="17"/>
              </w:rPr>
              <w:t xml:space="preserve">anormales, annulations suspectes,</w:t>
            </w:r>
            <w:r>
              <w:rPr>
                <w:sz w:val="17"/>
              </w:rPr>
              <w:t xml:space="preserve"> </w:t>
            </w:r>
            <w:r>
              <w:rPr>
                <w:sz w:val="17"/>
              </w:rPr>
              <w:t xml:space="preserve">collusion, anomalies</w:t>
            </w:r>
            <w:r>
              <w:rPr>
                <w:sz w:val="17"/>
              </w:rPr>
              <w:t xml:space="preserve"> </w:t>
            </w:r>
            <w:r>
              <w:rPr>
                <w:sz w:val="17"/>
              </w:rPr>
              <w:t xml:space="preserve">géographiques, réutilisation</w:t>
            </w:r>
            <w:r>
              <w:rPr>
                <w:sz w:val="17"/>
              </w:rPr>
              <w:t xml:space="preserve"> </w:t>
            </w:r>
            <w:r>
              <w:rPr>
                <w:sz w:val="17"/>
              </w:rPr>
              <w:t xml:space="preserve">d'appareils, manipulation de</w:t>
            </w:r>
            <w:r>
              <w:rPr>
                <w:sz w:val="17"/>
              </w:rPr>
              <w:t xml:space="preserve"> </w:t>
            </w:r>
            <w:r>
              <w:rPr>
                <w:sz w:val="17"/>
              </w:rPr>
              <w:t xml:space="preserve">quittances</w:t>
            </w:r>
          </w:p>
        </w:tc>
        <w:tc>
          <w:tcPr/>
          <w:p>
            <w:pPr>
              <w:pStyle w:val="Compact"/>
              <w:spacing w:after="20" w:before="20" w:line="240" w:lineRule="auto"/>
              <w:jc w:val="left"/>
            </w:pPr>
            <w:r>
              <w:rPr>
                <w:sz w:val="17"/>
              </w:rPr>
              <w:t xml:space="preserve">N'accuse personne ;</w:t>
            </w:r>
            <w:r>
              <w:rPr>
                <w:sz w:val="17"/>
              </w:rPr>
              <w:t xml:space="preserve"> </w:t>
            </w:r>
            <w:r>
              <w:rPr>
                <w:sz w:val="17"/>
              </w:rPr>
              <w:t xml:space="preserve">ouvre un dossier</w:t>
            </w:r>
            <w:r>
              <w:rPr>
                <w:sz w:val="17"/>
              </w:rPr>
              <w:t xml:space="preserve"> </w:t>
            </w:r>
            <w:r>
              <w:rPr>
                <w:sz w:val="17"/>
              </w:rPr>
              <w:t xml:space="preserve">d'enquête</w:t>
            </w:r>
          </w:p>
        </w:tc>
      </w:tr>
      <w:tr>
        <w:tc>
          <w:tcPr>
            <w:shd w:val="clear" w:color="auto" w:fill="F2F9F8"/>
          </w:tcPr>
          <w:p>
            <w:pPr>
              <w:pStyle w:val="Compact"/>
              <w:spacing w:after="20" w:before="20" w:line="240" w:lineRule="auto"/>
              <w:jc w:val="left"/>
            </w:pPr>
            <w:r>
              <w:rPr>
                <w:sz w:val="17"/>
              </w:rPr>
              <w:t xml:space="preserve">Prévision</w:t>
            </w:r>
          </w:p>
        </w:tc>
        <w:tc>
          <w:tcPr>
            <w:shd w:val="clear" w:color="auto" w:fill="F2F9F8"/>
          </w:tcPr>
          <w:p>
            <w:pPr>
              <w:pStyle w:val="Compact"/>
              <w:spacing w:after="20" w:before="20" w:line="240" w:lineRule="auto"/>
              <w:jc w:val="left"/>
            </w:pPr>
            <w:r>
              <w:rPr>
                <w:sz w:val="17"/>
              </w:rPr>
              <w:t xml:space="preserve">Produit des scénarios prudent,</w:t>
            </w:r>
            <w:r>
              <w:rPr>
                <w:sz w:val="17"/>
              </w:rPr>
              <w:t xml:space="preserve"> </w:t>
            </w:r>
            <w:r>
              <w:rPr>
                <w:sz w:val="17"/>
              </w:rPr>
              <w:t xml:space="preserve">attendu et ambitieux avec</w:t>
            </w:r>
            <w:r>
              <w:rPr>
                <w:sz w:val="17"/>
              </w:rPr>
              <w:t xml:space="preserve"> </w:t>
            </w:r>
            <w:r>
              <w:rPr>
                <w:sz w:val="17"/>
              </w:rPr>
              <w:t xml:space="preserve">hypothèses explicites</w:t>
            </w:r>
          </w:p>
        </w:tc>
        <w:tc>
          <w:tcPr>
            <w:shd w:val="clear" w:color="auto" w:fill="F2F9F8"/>
          </w:tcPr>
          <w:p>
            <w:pPr>
              <w:pStyle w:val="Compact"/>
              <w:spacing w:after="20" w:before="20" w:line="240" w:lineRule="auto"/>
              <w:jc w:val="left"/>
            </w:pPr>
            <w:r>
              <w:rPr>
                <w:sz w:val="17"/>
              </w:rPr>
              <w:t xml:space="preserve">Ne fixe pas</w:t>
            </w:r>
            <w:r>
              <w:rPr>
                <w:sz w:val="17"/>
              </w:rPr>
              <w:t xml:space="preserve"> </w:t>
            </w:r>
            <w:r>
              <w:rPr>
                <w:sz w:val="17"/>
              </w:rPr>
              <w:t xml:space="preserve">d'assignation</w:t>
            </w:r>
          </w:p>
        </w:tc>
      </w:tr>
      <w:tr>
        <w:tc>
          <w:tcPr/>
          <w:p>
            <w:pPr>
              <w:pStyle w:val="Compact"/>
              <w:spacing w:after="20" w:before="20" w:line="240" w:lineRule="auto"/>
              <w:jc w:val="left"/>
            </w:pPr>
            <w:r>
              <w:rPr>
                <w:sz w:val="17"/>
              </w:rPr>
              <w:t xml:space="preserve">Décision</w:t>
            </w:r>
            <w:r>
              <w:rPr>
                <w:sz w:val="17"/>
              </w:rPr>
              <w:t xml:space="preserve"> </w:t>
            </w:r>
            <w:r>
              <w:rPr>
                <w:sz w:val="17"/>
              </w:rPr>
              <w:t xml:space="preserve">exécutive</w:t>
            </w:r>
          </w:p>
        </w:tc>
        <w:tc>
          <w:tcPr/>
          <w:p>
            <w:pPr>
              <w:pStyle w:val="Compact"/>
              <w:spacing w:after="20" w:before="20" w:line="240" w:lineRule="auto"/>
              <w:jc w:val="left"/>
            </w:pPr>
            <w:r>
              <w:rPr>
                <w:sz w:val="17"/>
              </w:rPr>
              <w:t xml:space="preserve">Transforme les données en options</w:t>
            </w:r>
            <w:r>
              <w:rPr>
                <w:sz w:val="17"/>
              </w:rPr>
              <w:t xml:space="preserve"> </w:t>
            </w:r>
            <w:r>
              <w:rPr>
                <w:sz w:val="17"/>
              </w:rPr>
              <w:t xml:space="preserve">d'action pour l'autorité</w:t>
            </w:r>
          </w:p>
        </w:tc>
        <w:tc>
          <w:tcPr/>
          <w:p>
            <w:pPr>
              <w:pStyle w:val="Compact"/>
              <w:spacing w:after="20" w:before="20" w:line="240" w:lineRule="auto"/>
              <w:jc w:val="left"/>
            </w:pPr>
            <w:r>
              <w:rPr>
                <w:sz w:val="17"/>
              </w:rPr>
              <w:t xml:space="preserve">Ne décide pas</w:t>
            </w:r>
          </w:p>
        </w:tc>
      </w:tr>
      <w:tr>
        <w:tc>
          <w:tcPr>
            <w:shd w:val="clear" w:color="auto" w:fill="F2F9F8"/>
          </w:tcPr>
          <w:p>
            <w:pPr>
              <w:pStyle w:val="Compact"/>
              <w:spacing w:after="20" w:before="20" w:line="240" w:lineRule="auto"/>
              <w:jc w:val="left"/>
            </w:pPr>
            <w:r>
              <w:rPr>
                <w:sz w:val="17"/>
              </w:rPr>
              <w:t xml:space="preserve">Affectation des</w:t>
            </w:r>
            <w:r>
              <w:rPr>
                <w:sz w:val="17"/>
              </w:rPr>
              <w:t xml:space="preserve"> </w:t>
            </w:r>
            <w:r>
              <w:rPr>
                <w:sz w:val="17"/>
              </w:rPr>
              <w:t xml:space="preserve">ressources</w:t>
            </w:r>
          </w:p>
        </w:tc>
        <w:tc>
          <w:tcPr>
            <w:shd w:val="clear" w:color="auto" w:fill="F2F9F8"/>
          </w:tcPr>
          <w:p>
            <w:pPr>
              <w:pStyle w:val="Compact"/>
              <w:spacing w:after="20" w:before="20" w:line="240" w:lineRule="auto"/>
              <w:jc w:val="left"/>
            </w:pPr>
            <w:r>
              <w:rPr>
                <w:sz w:val="17"/>
              </w:rPr>
              <w:t xml:space="preserve">Propose des scénarios d'emploi</w:t>
            </w:r>
            <w:r>
              <w:rPr>
                <w:sz w:val="17"/>
              </w:rPr>
              <w:t xml:space="preserve"> </w:t>
            </w:r>
            <w:r>
              <w:rPr>
                <w:sz w:val="17"/>
              </w:rPr>
              <w:t xml:space="preserve">des fonds disponibles</w:t>
            </w:r>
          </w:p>
        </w:tc>
        <w:tc>
          <w:tcPr>
            <w:shd w:val="clear" w:color="auto" w:fill="F2F9F8"/>
          </w:tcPr>
          <w:p>
            <w:pPr>
              <w:pStyle w:val="Compact"/>
              <w:spacing w:after="20" w:before="20" w:line="240" w:lineRule="auto"/>
              <w:jc w:val="left"/>
            </w:pPr>
            <w:r>
              <w:rPr>
                <w:sz w:val="17"/>
              </w:rPr>
              <w:t xml:space="preserve">N'engage aucune</w:t>
            </w:r>
            <w:r>
              <w:rPr>
                <w:sz w:val="17"/>
              </w:rPr>
              <w:t xml:space="preserve"> </w:t>
            </w:r>
            <w:r>
              <w:rPr>
                <w:sz w:val="17"/>
              </w:rPr>
              <w:t xml:space="preserve">dépense</w:t>
            </w:r>
          </w:p>
        </w:tc>
      </w:tr>
      <w:tr>
        <w:tc>
          <w:tcPr/>
          <w:p>
            <w:pPr>
              <w:pStyle w:val="Compact"/>
              <w:spacing w:after="20" w:before="20" w:line="240" w:lineRule="auto"/>
              <w:jc w:val="left"/>
            </w:pPr>
            <w:r>
              <w:rPr>
                <w:sz w:val="17"/>
              </w:rPr>
              <w:t xml:space="preserve">Apprentissage</w:t>
            </w:r>
            <w:r>
              <w:rPr>
                <w:sz w:val="17"/>
              </w:rPr>
              <w:t xml:space="preserve"> </w:t>
            </w:r>
            <w:r>
              <w:rPr>
                <w:sz w:val="17"/>
              </w:rPr>
              <w:t xml:space="preserve">continu</w:t>
            </w:r>
          </w:p>
        </w:tc>
        <w:tc>
          <w:tcPr/>
          <w:p>
            <w:pPr>
              <w:pStyle w:val="Compact"/>
              <w:spacing w:after="20" w:before="20" w:line="240" w:lineRule="auto"/>
              <w:jc w:val="left"/>
            </w:pPr>
            <w:r>
              <w:rPr>
                <w:sz w:val="17"/>
              </w:rPr>
              <w:t xml:space="preserve">Apprend des corrections validées</w:t>
            </w:r>
            <w:r>
              <w:rPr>
                <w:sz w:val="17"/>
              </w:rPr>
              <w:t xml:space="preserve"> </w:t>
            </w:r>
            <w:r>
              <w:rPr>
                <w:sz w:val="17"/>
              </w:rPr>
              <w:t xml:space="preserve">et des résultats de terrain</w:t>
            </w:r>
          </w:p>
        </w:tc>
        <w:tc>
          <w:tcPr/>
          <w:p>
            <w:pPr>
              <w:pStyle w:val="Compact"/>
              <w:spacing w:after="20" w:before="20" w:line="240" w:lineRule="auto"/>
              <w:jc w:val="left"/>
            </w:pPr>
            <w:r>
              <w:rPr>
                <w:sz w:val="17"/>
              </w:rPr>
              <w:t xml:space="preserve">Ne se réentraîne pas</w:t>
            </w:r>
            <w:r>
              <w:rPr>
                <w:sz w:val="17"/>
              </w:rPr>
              <w:t xml:space="preserve"> </w:t>
            </w:r>
            <w:r>
              <w:rPr>
                <w:sz w:val="17"/>
              </w:rPr>
              <w:t xml:space="preserve">silencieusement sur</w:t>
            </w:r>
            <w:r>
              <w:rPr>
                <w:sz w:val="17"/>
              </w:rPr>
              <w:t xml:space="preserve"> </w:t>
            </w:r>
            <w:r>
              <w:rPr>
                <w:sz w:val="17"/>
              </w:rPr>
              <w:t xml:space="preserve">des données non</w:t>
            </w:r>
            <w:r>
              <w:rPr>
                <w:sz w:val="17"/>
              </w:rPr>
              <w:t xml:space="preserve"> </w:t>
            </w:r>
            <w:r>
              <w:rPr>
                <w:sz w:val="17"/>
              </w:rPr>
              <w:t xml:space="preserve">approuvées</w:t>
            </w:r>
          </w:p>
        </w:tc>
      </w:tr>
    </w:tbl>
    <w:p>
      <w:pPr>
        <w:pStyle w:val="BodyText"/>
      </w:pPr>
      <w:r>
        <w:t xml:space="preserve">Désignations techniques des agents dans le registre : Revenue Discovery Agent, Registration Agent, User Learning Agent, Employee Copilot, Legal Intelligence Agent, Rental Intelligence Agent, Field Mission Agent, Payment Reconciliation Agent, Fraud Detection Agent, Forecasting Agent, Executive Decision Agent, Public Investment Allocation Agent, Continuous Learning Agent.</w:t>
      </w:r>
    </w:p>
    <w:p>
      <w:pPr>
        <w:pStyle w:val="BodyText"/>
      </w:pPr>
      <w:r>
        <w:t xml:space="preserve">Chaque agent dispose d’une fiche de contrôle obligatoire précisant : outils autorisés, données autorisées, seuils d’intervention, points de validation humaine (human-in-the-loop), journaux et coupe-circuit (kill switch) activable par le responsable du programme et par la sécurité.</w:t>
      </w:r>
    </w:p>
    <w:bookmarkStart w:id="216" w:name="gouvernance-des-modèles"/>
    <w:p>
      <w:pPr>
        <w:pStyle w:val="Heading2"/>
      </w:pPr>
      <w:r>
        <w:t xml:space="preserve">23.1 Gouvernance des modèles</w:t>
      </w:r>
    </w:p>
    <w:p>
      <w:pPr>
        <w:numPr>
          <w:ilvl w:val="0"/>
          <w:numId w:val="1062"/>
        </w:numPr>
      </w:pPr>
      <w:r>
        <w:t xml:space="preserve">Jeux d'entraînement approuvés, datés et documentés ; interdiction</w:t>
      </w:r>
      <w:r>
        <w:t xml:space="preserve"> </w:t>
      </w:r>
      <w:r>
        <w:t xml:space="preserve">d'utiliser des données sensibles non autorisées.</w:t>
      </w:r>
    </w:p>
    <w:p>
      <w:pPr>
        <w:numPr>
          <w:ilvl w:val="0"/>
          <w:numId w:val="1062"/>
        </w:numPr>
      </w:pPr>
      <w:r>
        <w:t xml:space="preserve">Versionnage des modèles, validation humaine avant mise en service,</w:t>
      </w:r>
      <w:r>
        <w:t xml:space="preserve"> </w:t>
      </w:r>
      <w:r>
        <w:t xml:space="preserve">tests de biais, suivi de dérive, explicabilité et possibilité de</w:t>
      </w:r>
      <w:r>
        <w:t xml:space="preserve"> </w:t>
      </w:r>
      <w:r>
        <w:t xml:space="preserve">retour arrière.</w:t>
      </w:r>
    </w:p>
    <w:p>
      <w:pPr>
        <w:numPr>
          <w:ilvl w:val="0"/>
          <w:numId w:val="1062"/>
        </w:numPr>
      </w:pPr>
      <w:r>
        <w:t xml:space="preserve">Journal intégral des décisions assistées : entrée, version du</w:t>
      </w:r>
      <w:r>
        <w:t xml:space="preserve"> </w:t>
      </w:r>
      <w:r>
        <w:t xml:space="preserve">modèle, sortie, agent humain qui a tranché.</w:t>
      </w:r>
    </w:p>
    <w:p>
      <w:pPr>
        <w:numPr>
          <w:ilvl w:val="0"/>
          <w:numId w:val="1062"/>
        </w:numPr>
      </w:pPr>
      <w:r>
        <w:t xml:space="preserve">Interdictions absolues : créer un impôt, infliger une pénalité,</w:t>
      </w:r>
      <w:r>
        <w:t xml:space="preserve"> </w:t>
      </w:r>
      <w:r>
        <w:t xml:space="preserve">établir une propriété, saisir un bien, suspendre un droit, accorder</w:t>
      </w:r>
      <w:r>
        <w:t xml:space="preserve"> </w:t>
      </w:r>
      <w:r>
        <w:t xml:space="preserve">une exonération, clore un recours, transférer des fonds, modifier un</w:t>
      </w:r>
      <w:r>
        <w:t xml:space="preserve"> </w:t>
      </w:r>
      <w:r>
        <w:t xml:space="preserve">compte bénéficiaire, détruire une preuve.</w:t>
      </w:r>
    </w:p>
    <w:p>
      <w:pPr>
        <w:numPr>
          <w:ilvl w:val="0"/>
          <w:numId w:val="1062"/>
        </w:numPr>
      </w:pPr>
      <w:r>
        <w:t xml:space="preserve">Registre des modèles, des consignes (prompts), des jeux de données et des évaluations, avec versions ; suivi du biais, de la dérive, de l’explicabilité, du coût et de la latence ; passage par une passerelle IA (AI Gateway) mesurée.</w:t>
      </w:r>
    </w:p>
    <w:p>
      <w:pPr>
        <w:numPr>
          <w:ilvl w:val="0"/>
          <w:numId w:val="1062"/>
        </w:numPr>
      </w:pPr>
      <w:r>
        <w:t xml:space="preserve">Boucle d’apprentissage fondée uniquement sur des résultats validés, jamais sur des sanctions non revues.</w:t>
      </w:r>
    </w:p>
    <w:p>
      <w:pPr>
        <w:numPr>
          <w:ilvl w:val="0"/>
          <w:numId w:val="1062"/>
        </w:numPr>
      </w:pPr>
      <w:r>
        <w:t xml:space="preserve">Fonctionnement multilingue et contextualisation métier.</w:t>
      </w:r>
    </w:p>
    <w:bookmarkEnd w:id="216"/>
    <w:bookmarkEnd w:id="217"/>
    <w:bookmarkStart w:id="218" w:name="Xb68dec3409a3c7d9cb99c26da27dd05b38bdf59"/>
    <w:p>
      <w:pPr>
        <w:pStyle w:val="Heading1"/>
      </w:pPr>
      <w:r>
        <w:t xml:space="preserve">24. Apprentissage des utilisateurs et environnement de travail</w:t>
      </w:r>
    </w:p>
    <w:p>
      <w:pPr>
        <w:pStyle w:val="FirstParagraph"/>
      </w:pPr>
      <w:r>
        <w:t xml:space="preserve">La performance du système dépend autant de la compétence des agents que</w:t>
      </w:r>
      <w:r>
        <w:t xml:space="preserve"> </w:t>
      </w:r>
      <w:r>
        <w:t xml:space="preserve">du logiciel. Le module d'apprentissage est intégré au poste de travail,</w:t>
      </w:r>
      <w:r>
        <w:t xml:space="preserve"> </w:t>
      </w:r>
      <w:r>
        <w:t xml:space="preserve">non séparé de lui.</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851"/>
        <w:gridCol w:w="3600"/>
        <w:gridCol w:w="2262"/>
      </w:tblGrid>
      <w:tr>
        <w:trPr>
          <w:tblHeader w:val="true"/>
          <w:tblHeader/>
        </w:trPr>
        <w:tc>
          <w:tcPr>
            <w:shd w:val="clear" w:color="auto" w:fill="1BA996"/>
          </w:tcPr>
          <w:p>
            <w:pPr>
              <w:pStyle w:val="Compact"/>
              <w:spacing w:after="20" w:before="20" w:line="240" w:lineRule="auto"/>
              <w:jc w:val="left"/>
            </w:pPr>
            <w:r>
              <w:rPr>
                <w:b/>
                <w:bCs/>
                <w:color w:val="FFFFFF"/>
                <w:sz w:val="17"/>
              </w:rPr>
              <w:t xml:space="preserve">Public</w:t>
            </w:r>
          </w:p>
        </w:tc>
        <w:tc>
          <w:tcPr>
            <w:shd w:val="clear" w:color="auto" w:fill="1BA996"/>
          </w:tcPr>
          <w:p>
            <w:pPr>
              <w:pStyle w:val="Compact"/>
              <w:spacing w:after="20" w:before="20" w:line="240" w:lineRule="auto"/>
              <w:jc w:val="left"/>
            </w:pPr>
            <w:r>
              <w:rPr>
                <w:b/>
                <w:bCs/>
                <w:color w:val="FFFFFF"/>
                <w:sz w:val="17"/>
              </w:rPr>
              <w:t xml:space="preserve">Contenu</w:t>
            </w:r>
          </w:p>
        </w:tc>
        <w:tc>
          <w:tcPr>
            <w:shd w:val="clear" w:color="auto" w:fill="1BA996"/>
          </w:tcPr>
          <w:p>
            <w:pPr>
              <w:pStyle w:val="Compact"/>
              <w:spacing w:after="20" w:before="20" w:line="240" w:lineRule="auto"/>
              <w:jc w:val="left"/>
            </w:pPr>
            <w:r>
              <w:rPr>
                <w:b/>
                <w:bCs/>
                <w:color w:val="FFFFFF"/>
                <w:sz w:val="17"/>
              </w:rPr>
              <w:t xml:space="preserve">Validation</w:t>
            </w:r>
          </w:p>
        </w:tc>
      </w:tr>
      <w:tr>
        <w:tc>
          <w:tcPr/>
          <w:p>
            <w:pPr>
              <w:pStyle w:val="Compact"/>
              <w:spacing w:after="20" w:before="20" w:line="240" w:lineRule="auto"/>
              <w:jc w:val="left"/>
            </w:pPr>
            <w:r>
              <w:rPr>
                <w:sz w:val="17"/>
              </w:rPr>
              <w:t xml:space="preserve">Contribuables</w:t>
            </w:r>
          </w:p>
        </w:tc>
        <w:tc>
          <w:tcPr/>
          <w:p>
            <w:pPr>
              <w:pStyle w:val="Compact"/>
              <w:spacing w:after="20" w:before="20" w:line="240" w:lineRule="auto"/>
              <w:jc w:val="left"/>
            </w:pPr>
            <w:r>
              <w:rPr>
                <w:sz w:val="17"/>
              </w:rPr>
              <w:t xml:space="preserve">Explications courtes en français</w:t>
            </w:r>
            <w:r>
              <w:rPr>
                <w:sz w:val="17"/>
              </w:rPr>
              <w:t xml:space="preserve"> </w:t>
            </w:r>
            <w:r>
              <w:rPr>
                <w:sz w:val="17"/>
              </w:rPr>
              <w:t xml:space="preserve">et en lingala, guides de paiement,</w:t>
            </w:r>
            <w:r>
              <w:rPr>
                <w:sz w:val="17"/>
              </w:rPr>
              <w:t xml:space="preserve"> </w:t>
            </w:r>
            <w:r>
              <w:rPr>
                <w:sz w:val="17"/>
              </w:rPr>
              <w:t xml:space="preserve">droits et recours</w:t>
            </w:r>
          </w:p>
        </w:tc>
        <w:tc>
          <w:tcPr/>
          <w:p>
            <w:pPr>
              <w:pStyle w:val="Compact"/>
              <w:spacing w:after="20" w:before="20" w:line="240" w:lineRule="auto"/>
              <w:jc w:val="left"/>
            </w:pPr>
            <w:r>
              <w:rPr>
                <w:sz w:val="17"/>
              </w:rPr>
              <w:t xml:space="preserve">Compréhension mesurée</w:t>
            </w:r>
            <w:r>
              <w:rPr>
                <w:sz w:val="17"/>
              </w:rPr>
              <w:t xml:space="preserve"> </w:t>
            </w:r>
            <w:r>
              <w:rPr>
                <w:sz w:val="17"/>
              </w:rPr>
              <w:t xml:space="preserve">par le taux de</w:t>
            </w:r>
            <w:r>
              <w:rPr>
                <w:sz w:val="17"/>
              </w:rPr>
              <w:t xml:space="preserve"> </w:t>
            </w:r>
            <w:r>
              <w:rPr>
                <w:sz w:val="17"/>
              </w:rPr>
              <w:t xml:space="preserve">dossiers complets du</w:t>
            </w:r>
            <w:r>
              <w:rPr>
                <w:sz w:val="17"/>
              </w:rPr>
              <w:t xml:space="preserve"> </w:t>
            </w:r>
            <w:r>
              <w:rPr>
                <w:sz w:val="17"/>
              </w:rPr>
              <w:t xml:space="preserve">premier coup</w:t>
            </w:r>
          </w:p>
        </w:tc>
      </w:tr>
      <w:tr>
        <w:tc>
          <w:tcPr>
            <w:shd w:val="clear" w:color="auto" w:fill="F2F9F8"/>
          </w:tcPr>
          <w:p>
            <w:pPr>
              <w:pStyle w:val="Compact"/>
              <w:spacing w:after="20" w:before="20" w:line="240" w:lineRule="auto"/>
              <w:jc w:val="left"/>
            </w:pPr>
            <w:r>
              <w:rPr>
                <w:sz w:val="17"/>
              </w:rPr>
              <w:t xml:space="preserve">Agents recenseurs</w:t>
            </w:r>
          </w:p>
        </w:tc>
        <w:tc>
          <w:tcPr>
            <w:shd w:val="clear" w:color="auto" w:fill="F2F9F8"/>
          </w:tcPr>
          <w:p>
            <w:pPr>
              <w:pStyle w:val="Compact"/>
              <w:spacing w:after="20" w:before="20" w:line="240" w:lineRule="auto"/>
              <w:jc w:val="left"/>
            </w:pPr>
            <w:r>
              <w:rPr>
                <w:sz w:val="17"/>
              </w:rPr>
              <w:t xml:space="preserve">Protocole de recensement,</w:t>
            </w:r>
            <w:r>
              <w:rPr>
                <w:sz w:val="17"/>
              </w:rPr>
              <w:t xml:space="preserve"> </w:t>
            </w:r>
            <w:r>
              <w:rPr>
                <w:sz w:val="17"/>
              </w:rPr>
              <w:t xml:space="preserve">photographie, géolocalisation,</w:t>
            </w:r>
            <w:r>
              <w:rPr>
                <w:sz w:val="17"/>
              </w:rPr>
              <w:t xml:space="preserve"> </w:t>
            </w:r>
            <w:r>
              <w:rPr>
                <w:sz w:val="17"/>
              </w:rPr>
              <w:t xml:space="preserve">déontologie</w:t>
            </w:r>
          </w:p>
        </w:tc>
        <w:tc>
          <w:tcPr>
            <w:shd w:val="clear" w:color="auto" w:fill="F2F9F8"/>
          </w:tcPr>
          <w:p>
            <w:pPr>
              <w:pStyle w:val="Compact"/>
              <w:spacing w:after="20" w:before="20" w:line="240" w:lineRule="auto"/>
              <w:jc w:val="left"/>
            </w:pPr>
            <w:r>
              <w:rPr>
                <w:sz w:val="17"/>
              </w:rPr>
              <w:t xml:space="preserve">Certification avant</w:t>
            </w:r>
            <w:r>
              <w:rPr>
                <w:sz w:val="17"/>
              </w:rPr>
              <w:t xml:space="preserve"> </w:t>
            </w:r>
            <w:r>
              <w:rPr>
                <w:sz w:val="17"/>
              </w:rPr>
              <w:t xml:space="preserve">affectation</w:t>
            </w:r>
          </w:p>
        </w:tc>
      </w:tr>
      <w:tr>
        <w:tc>
          <w:tcPr/>
          <w:p>
            <w:pPr>
              <w:pStyle w:val="Compact"/>
              <w:spacing w:after="20" w:before="20" w:line="240" w:lineRule="auto"/>
              <w:jc w:val="left"/>
            </w:pPr>
            <w:r>
              <w:rPr>
                <w:sz w:val="17"/>
              </w:rPr>
              <w:t xml:space="preserve">Contrôleurs</w:t>
            </w:r>
          </w:p>
        </w:tc>
        <w:tc>
          <w:tcPr/>
          <w:p>
            <w:pPr>
              <w:pStyle w:val="Compact"/>
              <w:spacing w:after="20" w:before="20" w:line="240" w:lineRule="auto"/>
              <w:jc w:val="left"/>
            </w:pPr>
            <w:r>
              <w:rPr>
                <w:sz w:val="17"/>
              </w:rPr>
              <w:t xml:space="preserve">Procédure de constat, rédaction,</w:t>
            </w:r>
            <w:r>
              <w:rPr>
                <w:sz w:val="17"/>
              </w:rPr>
              <w:t xml:space="preserve"> </w:t>
            </w:r>
            <w:r>
              <w:rPr>
                <w:sz w:val="17"/>
              </w:rPr>
              <w:t xml:space="preserve">droits du contribuable, usage de</w:t>
            </w:r>
            <w:r>
              <w:rPr>
                <w:sz w:val="17"/>
              </w:rPr>
              <w:t xml:space="preserve"> </w:t>
            </w:r>
            <w:r>
              <w:rPr>
                <w:sz w:val="17"/>
              </w:rPr>
              <w:t xml:space="preserve">la preuve</w:t>
            </w:r>
          </w:p>
        </w:tc>
        <w:tc>
          <w:tcPr/>
          <w:p>
            <w:pPr>
              <w:pStyle w:val="Compact"/>
              <w:spacing w:after="20" w:before="20" w:line="240" w:lineRule="auto"/>
              <w:jc w:val="left"/>
            </w:pPr>
            <w:r>
              <w:rPr>
                <w:sz w:val="17"/>
              </w:rPr>
              <w:t xml:space="preserve">Certification et</w:t>
            </w:r>
            <w:r>
              <w:rPr>
                <w:sz w:val="17"/>
              </w:rPr>
              <w:t xml:space="preserve"> </w:t>
            </w:r>
            <w:r>
              <w:rPr>
                <w:sz w:val="17"/>
              </w:rPr>
              <w:t xml:space="preserve">recertification</w:t>
            </w:r>
            <w:r>
              <w:rPr>
                <w:sz w:val="17"/>
              </w:rPr>
              <w:t xml:space="preserve"> </w:t>
            </w:r>
            <w:r>
              <w:rPr>
                <w:sz w:val="17"/>
              </w:rPr>
              <w:t xml:space="preserve">annuelle</w:t>
            </w:r>
          </w:p>
        </w:tc>
      </w:tr>
      <w:tr>
        <w:tc>
          <w:tcPr>
            <w:shd w:val="clear" w:color="auto" w:fill="F2F9F8"/>
          </w:tcPr>
          <w:p>
            <w:pPr>
              <w:pStyle w:val="Compact"/>
              <w:spacing w:after="20" w:before="20" w:line="240" w:lineRule="auto"/>
              <w:jc w:val="left"/>
            </w:pPr>
            <w:r>
              <w:rPr>
                <w:sz w:val="17"/>
              </w:rPr>
              <w:t xml:space="preserve">Agents de guichet</w:t>
            </w:r>
          </w:p>
        </w:tc>
        <w:tc>
          <w:tcPr>
            <w:shd w:val="clear" w:color="auto" w:fill="F2F9F8"/>
          </w:tcPr>
          <w:p>
            <w:pPr>
              <w:pStyle w:val="Compact"/>
              <w:spacing w:after="20" w:before="20" w:line="240" w:lineRule="auto"/>
              <w:jc w:val="left"/>
            </w:pPr>
            <w:r>
              <w:rPr>
                <w:sz w:val="17"/>
              </w:rPr>
              <w:t xml:space="preserve">Accompagnement sans manipulation</w:t>
            </w:r>
            <w:r>
              <w:rPr>
                <w:sz w:val="17"/>
              </w:rPr>
              <w:t xml:space="preserve"> </w:t>
            </w:r>
            <w:r>
              <w:rPr>
                <w:sz w:val="17"/>
              </w:rPr>
              <w:t xml:space="preserve">d'espèces, assistance au paiement</w:t>
            </w:r>
          </w:p>
        </w:tc>
        <w:tc>
          <w:tcPr>
            <w:shd w:val="clear" w:color="auto" w:fill="F2F9F8"/>
          </w:tcPr>
          <w:p>
            <w:pPr>
              <w:pStyle w:val="Compact"/>
              <w:spacing w:after="20" w:before="20" w:line="240" w:lineRule="auto"/>
              <w:jc w:val="left"/>
            </w:pPr>
            <w:r>
              <w:rPr>
                <w:sz w:val="17"/>
              </w:rPr>
              <w:t xml:space="preserve">Évaluation continue</w:t>
            </w:r>
          </w:p>
        </w:tc>
      </w:tr>
      <w:tr>
        <w:tc>
          <w:tcPr/>
          <w:p>
            <w:pPr>
              <w:pStyle w:val="Compact"/>
              <w:spacing w:after="20" w:before="20" w:line="240" w:lineRule="auto"/>
              <w:jc w:val="left"/>
            </w:pPr>
            <w:r>
              <w:rPr>
                <w:sz w:val="17"/>
              </w:rPr>
              <w:t xml:space="preserve">Cadres et</w:t>
            </w:r>
            <w:r>
              <w:rPr>
                <w:sz w:val="17"/>
              </w:rPr>
              <w:t xml:space="preserve"> </w:t>
            </w:r>
            <w:r>
              <w:rPr>
                <w:sz w:val="17"/>
              </w:rPr>
              <w:t xml:space="preserve">superviseurs</w:t>
            </w:r>
          </w:p>
        </w:tc>
        <w:tc>
          <w:tcPr/>
          <w:p>
            <w:pPr>
              <w:pStyle w:val="Compact"/>
              <w:spacing w:after="20" w:before="20" w:line="240" w:lineRule="auto"/>
              <w:jc w:val="left"/>
            </w:pPr>
            <w:r>
              <w:rPr>
                <w:sz w:val="17"/>
              </w:rPr>
              <w:t xml:space="preserve">Pilotage par indicateurs,</w:t>
            </w:r>
            <w:r>
              <w:rPr>
                <w:sz w:val="17"/>
              </w:rPr>
              <w:t xml:space="preserve"> </w:t>
            </w:r>
            <w:r>
              <w:rPr>
                <w:sz w:val="17"/>
              </w:rPr>
              <w:t xml:space="preserve">traitement des exceptions, éthique</w:t>
            </w:r>
          </w:p>
        </w:tc>
        <w:tc>
          <w:tcPr/>
          <w:p>
            <w:pPr>
              <w:pStyle w:val="Compact"/>
              <w:spacing w:after="20" w:before="20" w:line="240" w:lineRule="auto"/>
              <w:jc w:val="left"/>
            </w:pPr>
            <w:r>
              <w:rPr>
                <w:sz w:val="17"/>
              </w:rPr>
              <w:t xml:space="preserve">Évaluation par</w:t>
            </w:r>
            <w:r>
              <w:rPr>
                <w:sz w:val="17"/>
              </w:rPr>
              <w:t xml:space="preserve"> </w:t>
            </w:r>
            <w:r>
              <w:rPr>
                <w:sz w:val="17"/>
              </w:rPr>
              <w:t xml:space="preserve">résultats vérifiés</w:t>
            </w:r>
          </w:p>
        </w:tc>
      </w:tr>
      <w:tr>
        <w:tc>
          <w:tcPr>
            <w:shd w:val="clear" w:color="auto" w:fill="F2F9F8"/>
          </w:tcPr>
          <w:p>
            <w:pPr>
              <w:pStyle w:val="Compact"/>
              <w:spacing w:after="20" w:before="20" w:line="240" w:lineRule="auto"/>
              <w:jc w:val="left"/>
            </w:pPr>
            <w:r>
              <w:rPr>
                <w:sz w:val="17"/>
              </w:rPr>
              <w:t xml:space="preserve">Finances et</w:t>
            </w:r>
            <w:r>
              <w:rPr>
                <w:sz w:val="17"/>
              </w:rPr>
              <w:t xml:space="preserve"> </w:t>
            </w:r>
            <w:r>
              <w:rPr>
                <w:sz w:val="17"/>
              </w:rPr>
              <w:t xml:space="preserve">trésorerie</w:t>
            </w:r>
          </w:p>
        </w:tc>
        <w:tc>
          <w:tcPr>
            <w:shd w:val="clear" w:color="auto" w:fill="F2F9F8"/>
          </w:tcPr>
          <w:p>
            <w:pPr>
              <w:pStyle w:val="Compact"/>
              <w:spacing w:after="20" w:before="20" w:line="240" w:lineRule="auto"/>
              <w:jc w:val="left"/>
            </w:pPr>
            <w:r>
              <w:rPr>
                <w:sz w:val="17"/>
              </w:rPr>
              <w:t xml:space="preserve">Rapprochement, imputation, gestion</w:t>
            </w:r>
            <w:r>
              <w:rPr>
                <w:sz w:val="17"/>
              </w:rPr>
              <w:t xml:space="preserve"> </w:t>
            </w:r>
            <w:r>
              <w:rPr>
                <w:sz w:val="17"/>
              </w:rPr>
              <w:t xml:space="preserve">des écarts</w:t>
            </w:r>
          </w:p>
        </w:tc>
        <w:tc>
          <w:tcPr>
            <w:shd w:val="clear" w:color="auto" w:fill="F2F9F8"/>
          </w:tcPr>
          <w:p>
            <w:pPr>
              <w:pStyle w:val="Compact"/>
              <w:spacing w:after="20" w:before="20" w:line="240" w:lineRule="auto"/>
              <w:jc w:val="left"/>
            </w:pPr>
            <w:r>
              <w:rPr>
                <w:sz w:val="17"/>
              </w:rPr>
              <w:t xml:space="preserve">Contrôle par</w:t>
            </w:r>
            <w:r>
              <w:rPr>
                <w:sz w:val="17"/>
              </w:rPr>
              <w:t xml:space="preserve"> </w:t>
            </w:r>
            <w:r>
              <w:rPr>
                <w:sz w:val="17"/>
              </w:rPr>
              <w:t xml:space="preserve">échantillon</w:t>
            </w:r>
          </w:p>
        </w:tc>
      </w:tr>
      <w:tr>
        <w:tc>
          <w:tcPr/>
          <w:p>
            <w:pPr>
              <w:pStyle w:val="Compact"/>
              <w:spacing w:after="20" w:before="20" w:line="240" w:lineRule="auto"/>
              <w:jc w:val="left"/>
            </w:pPr>
            <w:r>
              <w:rPr>
                <w:sz w:val="17"/>
              </w:rPr>
              <w:t xml:space="preserve">Administrateurs</w:t>
            </w:r>
          </w:p>
        </w:tc>
        <w:tc>
          <w:tcPr/>
          <w:p>
            <w:pPr>
              <w:pStyle w:val="Compact"/>
              <w:spacing w:after="20" w:before="20" w:line="240" w:lineRule="auto"/>
              <w:jc w:val="left"/>
            </w:pPr>
            <w:r>
              <w:rPr>
                <w:sz w:val="17"/>
              </w:rPr>
              <w:t xml:space="preserve">Sécurité, gestion des accès,</w:t>
            </w:r>
            <w:r>
              <w:rPr>
                <w:sz w:val="17"/>
              </w:rPr>
              <w:t xml:space="preserve"> </w:t>
            </w:r>
            <w:r>
              <w:rPr>
                <w:sz w:val="17"/>
              </w:rPr>
              <w:t xml:space="preserve">gestion des incidents</w:t>
            </w:r>
          </w:p>
        </w:tc>
        <w:tc>
          <w:tcPr/>
          <w:p>
            <w:pPr>
              <w:pStyle w:val="Compact"/>
              <w:spacing w:after="20" w:before="20" w:line="240" w:lineRule="auto"/>
              <w:jc w:val="left"/>
            </w:pPr>
            <w:r>
              <w:rPr>
                <w:sz w:val="17"/>
              </w:rPr>
              <w:t xml:space="preserve">Habilitation</w:t>
            </w:r>
            <w:r>
              <w:rPr>
                <w:sz w:val="17"/>
              </w:rPr>
              <w:t xml:space="preserve"> </w:t>
            </w:r>
            <w:r>
              <w:rPr>
                <w:sz w:val="17"/>
              </w:rPr>
              <w:t xml:space="preserve">renouvelable</w:t>
            </w:r>
          </w:p>
        </w:tc>
      </w:tr>
    </w:tbl>
    <w:p>
      <w:pPr>
        <w:pStyle w:val="BodyText"/>
      </w:pPr>
      <w:r>
        <w:t xml:space="preserve">Le suivi d'activité est limité à ce qui est nécessaire à la sécurité et</w:t>
      </w:r>
      <w:r>
        <w:t xml:space="preserve"> </w:t>
      </w:r>
      <w:r>
        <w:t xml:space="preserve">à l'exploitation : traçabilité des actes professionnels, pas</w:t>
      </w:r>
      <w:r>
        <w:t xml:space="preserve"> </w:t>
      </w:r>
      <w:r>
        <w:t xml:space="preserve">surveillance permanente des personnes. Les indicateurs individuels</w:t>
      </w:r>
      <w:r>
        <w:t xml:space="preserve"> </w:t>
      </w:r>
      <w:r>
        <w:t xml:space="preserve">portent sur des résultats vérifiables, pas sur des mesures intrusives.</w:t>
      </w:r>
    </w:p>
    <w:p>
      <w:pPr>
        <w:pStyle w:val="BodyText"/>
      </w:pPr>
      <w:r>
        <w:t xml:space="preserve">Le dispositif relève du micro-apprentissage contextuel, intégré au poste, pour les contribuables, agents, contrôleurs, superviseurs, équipes finances et exécutifs, en français simple et dans les langues locales selon le déploiement. L’apprentissage vise la conformité et la compétence, pas une surveillance oppressive.</w:t>
      </w:r>
    </w:p>
    <w:bookmarkEnd w:id="218"/>
    <w:bookmarkStart w:id="221" w:name="Xf3a60cd30f45fcf2de3d46ce1ee2b7820e24895"/>
    <w:p>
      <w:pPr>
        <w:pStyle w:val="Heading1"/>
      </w:pPr>
      <w:r>
        <w:t xml:space="preserve">25. Prévention de la fraude et de la déperdition</w:t>
      </w:r>
    </w:p>
    <w:p>
      <w:pPr>
        <w:pStyle w:val="FirstParagraph"/>
      </w:pPr>
      <w:r>
        <w:t xml:space="preserve">L'objectif n'est pas d'annoncer l'élimination de la fraude, ce qui</w:t>
      </w:r>
      <w:r>
        <w:t xml:space="preserve"> </w:t>
      </w:r>
      <w:r>
        <w:t xml:space="preserve">serait faux, mais de la rendre difficile à exécuter, coûteuse à</w:t>
      </w:r>
      <w:r>
        <w:t xml:space="preserve"> </w:t>
      </w:r>
      <w:r>
        <w:t xml:space="preserve">dissimuler, rapide à détecter et impossible à effacer.</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151"/>
        <w:gridCol w:w="1857"/>
        <w:gridCol w:w="1857"/>
        <w:gridCol w:w="1857"/>
      </w:tblGrid>
      <w:tr>
        <w:trPr>
          <w:tblHeader w:val="true"/>
          <w:tblHeader/>
        </w:trPr>
        <w:tc>
          <w:tcPr>
            <w:shd w:val="clear" w:color="auto" w:fill="1BA996"/>
          </w:tcPr>
          <w:p>
            <w:pPr>
              <w:pStyle w:val="Compact"/>
              <w:spacing w:after="20" w:before="20" w:line="240" w:lineRule="auto"/>
              <w:jc w:val="left"/>
            </w:pPr>
            <w:r>
              <w:rPr>
                <w:b/>
                <w:bCs/>
                <w:color w:val="FFFFFF"/>
                <w:sz w:val="17"/>
              </w:rPr>
              <w:t xml:space="preserve">Vecteur de fraude</w:t>
            </w:r>
          </w:p>
        </w:tc>
        <w:tc>
          <w:tcPr>
            <w:shd w:val="clear" w:color="auto" w:fill="1BA996"/>
          </w:tcPr>
          <w:p>
            <w:pPr>
              <w:pStyle w:val="Compact"/>
              <w:spacing w:after="20" w:before="20" w:line="240" w:lineRule="auto"/>
              <w:jc w:val="left"/>
            </w:pPr>
            <w:r>
              <w:rPr>
                <w:b/>
                <w:bCs/>
                <w:color w:val="FFFFFF"/>
                <w:sz w:val="17"/>
              </w:rPr>
              <w:t xml:space="preserve">Prévention</w:t>
            </w:r>
          </w:p>
        </w:tc>
        <w:tc>
          <w:tcPr>
            <w:shd w:val="clear" w:color="auto" w:fill="1BA996"/>
          </w:tcPr>
          <w:p>
            <w:pPr>
              <w:pStyle w:val="Compact"/>
              <w:spacing w:after="20" w:before="20" w:line="240" w:lineRule="auto"/>
              <w:jc w:val="left"/>
            </w:pPr>
            <w:r>
              <w:rPr>
                <w:b/>
                <w:bCs/>
                <w:color w:val="FFFFFF"/>
                <w:sz w:val="17"/>
              </w:rPr>
              <w:t xml:space="preserve">Détection</w:t>
            </w:r>
          </w:p>
        </w:tc>
        <w:tc>
          <w:tcPr>
            <w:shd w:val="clear" w:color="auto" w:fill="1BA996"/>
          </w:tcPr>
          <w:p>
            <w:pPr>
              <w:pStyle w:val="Compact"/>
              <w:spacing w:after="20" w:before="20" w:line="240" w:lineRule="auto"/>
              <w:jc w:val="left"/>
            </w:pPr>
            <w:r>
              <w:rPr>
                <w:b/>
                <w:bCs/>
                <w:color w:val="FFFFFF"/>
                <w:sz w:val="17"/>
              </w:rPr>
              <w:t xml:space="preserve">Preuve</w:t>
            </w:r>
          </w:p>
        </w:tc>
      </w:tr>
      <w:tr>
        <w:tc>
          <w:tcPr/>
          <w:p>
            <w:pPr>
              <w:pStyle w:val="Compact"/>
              <w:spacing w:after="20" w:before="20" w:line="240" w:lineRule="auto"/>
              <w:jc w:val="left"/>
            </w:pPr>
            <w:r>
              <w:rPr>
                <w:sz w:val="17"/>
              </w:rPr>
              <w:t xml:space="preserve">Encaissement en</w:t>
            </w:r>
            <w:r>
              <w:rPr>
                <w:sz w:val="17"/>
              </w:rPr>
              <w:t xml:space="preserve"> </w:t>
            </w:r>
            <w:r>
              <w:rPr>
                <w:sz w:val="17"/>
              </w:rPr>
              <w:t xml:space="preserve">espèces non déclaré</w:t>
            </w:r>
          </w:p>
        </w:tc>
        <w:tc>
          <w:tcPr/>
          <w:p>
            <w:pPr>
              <w:pStyle w:val="Compact"/>
              <w:spacing w:after="20" w:before="20" w:line="240" w:lineRule="auto"/>
              <w:jc w:val="left"/>
            </w:pPr>
            <w:r>
              <w:rPr>
                <w:sz w:val="17"/>
              </w:rPr>
              <w:t xml:space="preserve">Aucune fonction</w:t>
            </w:r>
            <w:r>
              <w:rPr>
                <w:sz w:val="17"/>
              </w:rPr>
              <w:t xml:space="preserve"> </w:t>
            </w:r>
            <w:r>
              <w:rPr>
                <w:sz w:val="17"/>
              </w:rPr>
              <w:t xml:space="preserve">d'encaissement</w:t>
            </w:r>
            <w:r>
              <w:rPr>
                <w:sz w:val="17"/>
              </w:rPr>
              <w:t xml:space="preserve"> </w:t>
            </w:r>
            <w:r>
              <w:rPr>
                <w:sz w:val="17"/>
              </w:rPr>
              <w:t xml:space="preserve">pour l'agent</w:t>
            </w:r>
          </w:p>
        </w:tc>
        <w:tc>
          <w:tcPr/>
          <w:p>
            <w:pPr>
              <w:pStyle w:val="Compact"/>
              <w:spacing w:after="20" w:before="20" w:line="240" w:lineRule="auto"/>
              <w:jc w:val="left"/>
            </w:pPr>
            <w:r>
              <w:rPr>
                <w:sz w:val="17"/>
              </w:rPr>
              <w:t xml:space="preserve">Écart entre</w:t>
            </w:r>
            <w:r>
              <w:rPr>
                <w:sz w:val="17"/>
              </w:rPr>
              <w:t xml:space="preserve"> </w:t>
            </w:r>
            <w:r>
              <w:rPr>
                <w:sz w:val="17"/>
              </w:rPr>
              <w:t xml:space="preserve">constats et</w:t>
            </w:r>
            <w:r>
              <w:rPr>
                <w:sz w:val="17"/>
              </w:rPr>
              <w:t xml:space="preserve"> </w:t>
            </w:r>
            <w:r>
              <w:rPr>
                <w:sz w:val="17"/>
              </w:rPr>
              <w:t xml:space="preserve">paiements dans une</w:t>
            </w:r>
            <w:r>
              <w:rPr>
                <w:sz w:val="17"/>
              </w:rPr>
              <w:t xml:space="preserve"> </w:t>
            </w:r>
            <w:r>
              <w:rPr>
                <w:sz w:val="17"/>
              </w:rPr>
              <w:t xml:space="preserve">zone</w:t>
            </w:r>
          </w:p>
        </w:tc>
        <w:tc>
          <w:tcPr/>
          <w:p>
            <w:pPr>
              <w:pStyle w:val="Compact"/>
              <w:spacing w:after="20" w:before="20" w:line="240" w:lineRule="auto"/>
              <w:jc w:val="left"/>
            </w:pPr>
            <w:r>
              <w:rPr>
                <w:sz w:val="17"/>
              </w:rPr>
              <w:t xml:space="preserve">Journal des</w:t>
            </w:r>
            <w:r>
              <w:rPr>
                <w:sz w:val="17"/>
              </w:rPr>
              <w:t xml:space="preserve"> </w:t>
            </w:r>
            <w:r>
              <w:rPr>
                <w:sz w:val="17"/>
              </w:rPr>
              <w:t xml:space="preserve">constats et</w:t>
            </w:r>
            <w:r>
              <w:rPr>
                <w:sz w:val="17"/>
              </w:rPr>
              <w:t xml:space="preserve"> </w:t>
            </w:r>
            <w:r>
              <w:rPr>
                <w:sz w:val="17"/>
              </w:rPr>
              <w:t xml:space="preserve">absence de</w:t>
            </w:r>
            <w:r>
              <w:rPr>
                <w:sz w:val="17"/>
              </w:rPr>
              <w:t xml:space="preserve"> </w:t>
            </w:r>
            <w:r>
              <w:rPr>
                <w:sz w:val="17"/>
              </w:rPr>
              <w:t xml:space="preserve">quittance</w:t>
            </w:r>
          </w:p>
        </w:tc>
      </w:tr>
      <w:tr>
        <w:tc>
          <w:tcPr>
            <w:shd w:val="clear" w:color="auto" w:fill="F2F9F8"/>
          </w:tcPr>
          <w:p>
            <w:pPr>
              <w:pStyle w:val="Compact"/>
              <w:spacing w:after="20" w:before="20" w:line="240" w:lineRule="auto"/>
              <w:jc w:val="left"/>
            </w:pPr>
            <w:r>
              <w:rPr>
                <w:sz w:val="17"/>
              </w:rPr>
              <w:t xml:space="preserve">Fausse quittance</w:t>
            </w:r>
          </w:p>
        </w:tc>
        <w:tc>
          <w:tcPr>
            <w:shd w:val="clear" w:color="auto" w:fill="F2F9F8"/>
          </w:tcPr>
          <w:p>
            <w:pPr>
              <w:pStyle w:val="Compact"/>
              <w:spacing w:after="20" w:before="20" w:line="240" w:lineRule="auto"/>
              <w:jc w:val="left"/>
            </w:pPr>
            <w:r>
              <w:rPr>
                <w:sz w:val="17"/>
              </w:rPr>
              <w:t xml:space="preserve">Signature</w:t>
            </w:r>
            <w:r>
              <w:rPr>
                <w:sz w:val="17"/>
              </w:rPr>
              <w:t xml:space="preserve"> </w:t>
            </w:r>
            <w:r>
              <w:rPr>
                <w:sz w:val="17"/>
              </w:rPr>
              <w:t xml:space="preserve">électronique et QR</w:t>
            </w:r>
          </w:p>
        </w:tc>
        <w:tc>
          <w:tcPr>
            <w:shd w:val="clear" w:color="auto" w:fill="F2F9F8"/>
          </w:tcPr>
          <w:p>
            <w:pPr>
              <w:pStyle w:val="Compact"/>
              <w:spacing w:after="20" w:before="20" w:line="240" w:lineRule="auto"/>
              <w:jc w:val="left"/>
            </w:pPr>
            <w:r>
              <w:rPr>
                <w:sz w:val="17"/>
              </w:rPr>
              <w:t xml:space="preserve">Vérification</w:t>
            </w:r>
            <w:r>
              <w:rPr>
                <w:sz w:val="17"/>
              </w:rPr>
              <w:t xml:space="preserve"> </w:t>
            </w:r>
            <w:r>
              <w:rPr>
                <w:sz w:val="17"/>
              </w:rPr>
              <w:t xml:space="preserve">publique</w:t>
            </w:r>
            <w:r>
              <w:rPr>
                <w:sz w:val="17"/>
              </w:rPr>
              <w:t xml:space="preserve"> </w:t>
            </w:r>
            <w:r>
              <w:rPr>
                <w:sz w:val="17"/>
              </w:rPr>
              <w:t xml:space="preserve">instantanée</w:t>
            </w:r>
          </w:p>
        </w:tc>
        <w:tc>
          <w:tcPr>
            <w:shd w:val="clear" w:color="auto" w:fill="F2F9F8"/>
          </w:tcPr>
          <w:p>
            <w:pPr>
              <w:pStyle w:val="Compact"/>
              <w:spacing w:after="20" w:before="20" w:line="240" w:lineRule="auto"/>
              <w:jc w:val="left"/>
            </w:pPr>
            <w:r>
              <w:rPr>
                <w:sz w:val="17"/>
              </w:rPr>
              <w:t xml:space="preserve">Registre des</w:t>
            </w:r>
            <w:r>
              <w:rPr>
                <w:sz w:val="17"/>
              </w:rPr>
              <w:t xml:space="preserve"> </w:t>
            </w:r>
            <w:r>
              <w:rPr>
                <w:sz w:val="17"/>
              </w:rPr>
              <w:t xml:space="preserve">quittances</w:t>
            </w:r>
          </w:p>
        </w:tc>
      </w:tr>
      <w:tr>
        <w:tc>
          <w:tcPr/>
          <w:p>
            <w:pPr>
              <w:pStyle w:val="Compact"/>
              <w:spacing w:after="20" w:before="20" w:line="240" w:lineRule="auto"/>
              <w:jc w:val="left"/>
            </w:pPr>
            <w:r>
              <w:rPr>
                <w:sz w:val="17"/>
              </w:rPr>
              <w:t xml:space="preserve">Changement de compte</w:t>
            </w:r>
            <w:r>
              <w:rPr>
                <w:sz w:val="17"/>
              </w:rPr>
              <w:t xml:space="preserve"> </w:t>
            </w:r>
            <w:r>
              <w:rPr>
                <w:sz w:val="17"/>
              </w:rPr>
              <w:t xml:space="preserve">bénéficiaire</w:t>
            </w:r>
          </w:p>
        </w:tc>
        <w:tc>
          <w:tcPr/>
          <w:p>
            <w:pPr>
              <w:pStyle w:val="Compact"/>
              <w:spacing w:after="20" w:before="20" w:line="240" w:lineRule="auto"/>
              <w:jc w:val="left"/>
            </w:pPr>
            <w:r>
              <w:rPr>
                <w:sz w:val="17"/>
              </w:rPr>
              <w:t xml:space="preserve">Compte verrouillé,</w:t>
            </w:r>
            <w:r>
              <w:rPr>
                <w:sz w:val="17"/>
              </w:rPr>
              <w:t xml:space="preserve"> </w:t>
            </w:r>
            <w:r>
              <w:rPr>
                <w:sz w:val="17"/>
              </w:rPr>
              <w:t xml:space="preserve">double validation</w:t>
            </w:r>
          </w:p>
        </w:tc>
        <w:tc>
          <w:tcPr/>
          <w:p>
            <w:pPr>
              <w:pStyle w:val="Compact"/>
              <w:spacing w:after="20" w:before="20" w:line="240" w:lineRule="auto"/>
              <w:jc w:val="left"/>
            </w:pPr>
            <w:r>
              <w:rPr>
                <w:sz w:val="17"/>
              </w:rPr>
              <w:t xml:space="preserve">Alerte immédiate</w:t>
            </w:r>
            <w:r>
              <w:rPr>
                <w:sz w:val="17"/>
              </w:rPr>
              <w:t xml:space="preserve"> </w:t>
            </w:r>
            <w:r>
              <w:rPr>
                <w:sz w:val="17"/>
              </w:rPr>
              <w:t xml:space="preserve">au comité</w:t>
            </w:r>
          </w:p>
        </w:tc>
        <w:tc>
          <w:tcPr/>
          <w:p>
            <w:pPr>
              <w:pStyle w:val="Compact"/>
              <w:spacing w:after="20" w:before="20" w:line="240" w:lineRule="auto"/>
              <w:jc w:val="left"/>
            </w:pPr>
            <w:r>
              <w:rPr>
                <w:sz w:val="17"/>
              </w:rPr>
              <w:t xml:space="preserve">Journal d'audit</w:t>
            </w:r>
            <w:r>
              <w:rPr>
                <w:sz w:val="17"/>
              </w:rPr>
              <w:t xml:space="preserve"> </w:t>
            </w:r>
            <w:r>
              <w:rPr>
                <w:sz w:val="17"/>
              </w:rPr>
              <w:t xml:space="preserve">en ajout seul</w:t>
            </w:r>
          </w:p>
        </w:tc>
      </w:tr>
      <w:tr>
        <w:tc>
          <w:tcPr>
            <w:shd w:val="clear" w:color="auto" w:fill="F2F9F8"/>
          </w:tcPr>
          <w:p>
            <w:pPr>
              <w:pStyle w:val="Compact"/>
              <w:spacing w:after="20" w:before="20" w:line="240" w:lineRule="auto"/>
              <w:jc w:val="left"/>
            </w:pPr>
            <w:r>
              <w:rPr>
                <w:sz w:val="17"/>
              </w:rPr>
              <w:t xml:space="preserve">Annulation ou</w:t>
            </w:r>
            <w:r>
              <w:rPr>
                <w:sz w:val="17"/>
              </w:rPr>
              <w:t xml:space="preserve"> </w:t>
            </w:r>
            <w:r>
              <w:rPr>
                <w:sz w:val="17"/>
              </w:rPr>
              <w:t xml:space="preserve">dégrèvement</w:t>
            </w:r>
            <w:r>
              <w:rPr>
                <w:sz w:val="17"/>
              </w:rPr>
              <w:t xml:space="preserve"> </w:t>
            </w:r>
            <w:r>
              <w:rPr>
                <w:sz w:val="17"/>
              </w:rPr>
              <w:t xml:space="preserve">irrégulier</w:t>
            </w:r>
          </w:p>
        </w:tc>
        <w:tc>
          <w:tcPr>
            <w:shd w:val="clear" w:color="auto" w:fill="F2F9F8"/>
          </w:tcPr>
          <w:p>
            <w:pPr>
              <w:pStyle w:val="Compact"/>
              <w:spacing w:after="20" w:before="20" w:line="240" w:lineRule="auto"/>
              <w:jc w:val="left"/>
            </w:pPr>
            <w:r>
              <w:rPr>
                <w:sz w:val="17"/>
              </w:rPr>
              <w:t xml:space="preserve">Motif obligatoire,</w:t>
            </w:r>
            <w:r>
              <w:rPr>
                <w:sz w:val="17"/>
              </w:rPr>
              <w:t xml:space="preserve"> </w:t>
            </w:r>
            <w:r>
              <w:rPr>
                <w:sz w:val="17"/>
              </w:rPr>
              <w:t xml:space="preserve">quatre yeux</w:t>
            </w:r>
          </w:p>
        </w:tc>
        <w:tc>
          <w:tcPr>
            <w:shd w:val="clear" w:color="auto" w:fill="F2F9F8"/>
          </w:tcPr>
          <w:p>
            <w:pPr>
              <w:pStyle w:val="Compact"/>
              <w:spacing w:after="20" w:before="20" w:line="240" w:lineRule="auto"/>
              <w:jc w:val="left"/>
            </w:pPr>
            <w:r>
              <w:rPr>
                <w:sz w:val="17"/>
              </w:rPr>
              <w:t xml:space="preserve">Statistiques</w:t>
            </w:r>
            <w:r>
              <w:rPr>
                <w:sz w:val="17"/>
              </w:rPr>
              <w:t xml:space="preserve"> </w:t>
            </w:r>
            <w:r>
              <w:rPr>
                <w:sz w:val="17"/>
              </w:rPr>
              <w:t xml:space="preserve">d'annulation par</w:t>
            </w:r>
            <w:r>
              <w:rPr>
                <w:sz w:val="17"/>
              </w:rPr>
              <w:t xml:space="preserve"> </w:t>
            </w:r>
            <w:r>
              <w:rPr>
                <w:sz w:val="17"/>
              </w:rPr>
              <w:t xml:space="preserve">agent et par</w:t>
            </w:r>
            <w:r>
              <w:rPr>
                <w:sz w:val="17"/>
              </w:rPr>
              <w:t xml:space="preserve"> </w:t>
            </w:r>
            <w:r>
              <w:rPr>
                <w:sz w:val="17"/>
              </w:rPr>
              <w:t xml:space="preserve">service</w:t>
            </w:r>
          </w:p>
        </w:tc>
        <w:tc>
          <w:tcPr>
            <w:shd w:val="clear" w:color="auto" w:fill="F2F9F8"/>
          </w:tcPr>
          <w:p>
            <w:pPr>
              <w:pStyle w:val="Compact"/>
              <w:spacing w:after="20" w:before="20" w:line="240" w:lineRule="auto"/>
              <w:jc w:val="left"/>
            </w:pPr>
            <w:r>
              <w:rPr>
                <w:sz w:val="17"/>
              </w:rPr>
              <w:t xml:space="preserve">Écriture contraire</w:t>
            </w:r>
            <w:r>
              <w:rPr>
                <w:sz w:val="17"/>
              </w:rPr>
              <w:t xml:space="preserve"> </w:t>
            </w:r>
            <w:r>
              <w:rPr>
                <w:sz w:val="17"/>
              </w:rPr>
              <w:t xml:space="preserve">liée à l'original</w:t>
            </w:r>
          </w:p>
        </w:tc>
      </w:tr>
      <w:tr>
        <w:tc>
          <w:tcPr/>
          <w:p>
            <w:pPr>
              <w:pStyle w:val="Compact"/>
              <w:spacing w:after="20" w:before="20" w:line="240" w:lineRule="auto"/>
              <w:jc w:val="left"/>
            </w:pPr>
            <w:r>
              <w:rPr>
                <w:sz w:val="17"/>
              </w:rPr>
              <w:t xml:space="preserve">Exonération indue</w:t>
            </w:r>
          </w:p>
        </w:tc>
        <w:tc>
          <w:tcPr/>
          <w:p>
            <w:pPr>
              <w:pStyle w:val="Compact"/>
              <w:spacing w:after="20" w:before="20" w:line="240" w:lineRule="auto"/>
              <w:jc w:val="left"/>
            </w:pPr>
            <w:r>
              <w:rPr>
                <w:sz w:val="17"/>
              </w:rPr>
              <w:t xml:space="preserve">Registre des</w:t>
            </w:r>
            <w:r>
              <w:rPr>
                <w:sz w:val="17"/>
              </w:rPr>
              <w:t xml:space="preserve"> </w:t>
            </w:r>
            <w:r>
              <w:rPr>
                <w:sz w:val="17"/>
              </w:rPr>
              <w:t xml:space="preserve">exonérations avec</w:t>
            </w:r>
            <w:r>
              <w:rPr>
                <w:sz w:val="17"/>
              </w:rPr>
              <w:t xml:space="preserve"> </w:t>
            </w:r>
            <w:r>
              <w:rPr>
                <w:sz w:val="17"/>
              </w:rPr>
              <w:t xml:space="preserve">preuve et durée</w:t>
            </w:r>
          </w:p>
        </w:tc>
        <w:tc>
          <w:tcPr/>
          <w:p>
            <w:pPr>
              <w:pStyle w:val="Compact"/>
              <w:spacing w:after="20" w:before="20" w:line="240" w:lineRule="auto"/>
              <w:jc w:val="left"/>
            </w:pPr>
            <w:r>
              <w:rPr>
                <w:sz w:val="17"/>
              </w:rPr>
              <w:t xml:space="preserve">Revue périodique</w:t>
            </w:r>
            <w:r>
              <w:rPr>
                <w:sz w:val="17"/>
              </w:rPr>
              <w:t xml:space="preserve"> </w:t>
            </w:r>
            <w:r>
              <w:rPr>
                <w:sz w:val="17"/>
              </w:rPr>
              <w:t xml:space="preserve">et alerte</w:t>
            </w:r>
            <w:r>
              <w:rPr>
                <w:sz w:val="17"/>
              </w:rPr>
              <w:t xml:space="preserve"> </w:t>
            </w:r>
            <w:r>
              <w:rPr>
                <w:sz w:val="17"/>
              </w:rPr>
              <w:t xml:space="preserve">d'anomalie</w:t>
            </w:r>
          </w:p>
        </w:tc>
        <w:tc>
          <w:tcPr/>
          <w:p>
            <w:pPr>
              <w:pStyle w:val="Compact"/>
              <w:spacing w:after="20" w:before="20" w:line="240" w:lineRule="auto"/>
              <w:jc w:val="left"/>
            </w:pPr>
            <w:r>
              <w:rPr>
                <w:sz w:val="17"/>
              </w:rPr>
              <w:t xml:space="preserve">Dossier</w:t>
            </w:r>
            <w:r>
              <w:rPr>
                <w:sz w:val="17"/>
              </w:rPr>
              <w:t xml:space="preserve"> </w:t>
            </w:r>
            <w:r>
              <w:rPr>
                <w:sz w:val="17"/>
              </w:rPr>
              <w:t xml:space="preserve">d'exonération</w:t>
            </w:r>
          </w:p>
        </w:tc>
      </w:tr>
      <w:tr>
        <w:tc>
          <w:tcPr>
            <w:shd w:val="clear" w:color="auto" w:fill="F2F9F8"/>
          </w:tcPr>
          <w:p>
            <w:pPr>
              <w:pStyle w:val="Compact"/>
              <w:spacing w:after="20" w:before="20" w:line="240" w:lineRule="auto"/>
              <w:jc w:val="left"/>
            </w:pPr>
            <w:r>
              <w:rPr>
                <w:sz w:val="17"/>
              </w:rPr>
              <w:t xml:space="preserve">Doublon d'identité</w:t>
            </w:r>
          </w:p>
        </w:tc>
        <w:tc>
          <w:tcPr>
            <w:shd w:val="clear" w:color="auto" w:fill="F2F9F8"/>
          </w:tcPr>
          <w:p>
            <w:pPr>
              <w:pStyle w:val="Compact"/>
              <w:spacing w:after="20" w:before="20" w:line="240" w:lineRule="auto"/>
              <w:jc w:val="left"/>
            </w:pPr>
            <w:r>
              <w:rPr>
                <w:sz w:val="17"/>
              </w:rPr>
              <w:t xml:space="preserve">Anti-doublon à</w:t>
            </w:r>
            <w:r>
              <w:rPr>
                <w:sz w:val="17"/>
              </w:rPr>
              <w:t xml:space="preserve"> </w:t>
            </w:r>
            <w:r>
              <w:rPr>
                <w:sz w:val="17"/>
              </w:rPr>
              <w:t xml:space="preserve">l'enrôlement</w:t>
            </w:r>
          </w:p>
        </w:tc>
        <w:tc>
          <w:tcPr>
            <w:shd w:val="clear" w:color="auto" w:fill="F2F9F8"/>
          </w:tcPr>
          <w:p>
            <w:pPr>
              <w:pStyle w:val="Compact"/>
              <w:spacing w:after="20" w:before="20" w:line="240" w:lineRule="auto"/>
              <w:jc w:val="left"/>
            </w:pPr>
            <w:r>
              <w:rPr>
                <w:sz w:val="17"/>
              </w:rPr>
              <w:t xml:space="preserve">Rapprochement</w:t>
            </w:r>
            <w:r>
              <w:rPr>
                <w:sz w:val="17"/>
              </w:rPr>
              <w:t xml:space="preserve"> </w:t>
            </w:r>
            <w:r>
              <w:rPr>
                <w:sz w:val="17"/>
              </w:rPr>
              <w:t xml:space="preserve">contrôlé, jamais</w:t>
            </w:r>
            <w:r>
              <w:rPr>
                <w:sz w:val="17"/>
              </w:rPr>
              <w:t xml:space="preserve"> </w:t>
            </w:r>
            <w:r>
              <w:rPr>
                <w:sz w:val="17"/>
              </w:rPr>
              <w:t xml:space="preserve">automatique</w:t>
            </w:r>
          </w:p>
        </w:tc>
        <w:tc>
          <w:tcPr>
            <w:shd w:val="clear" w:color="auto" w:fill="F2F9F8"/>
          </w:tcPr>
          <w:p>
            <w:pPr>
              <w:pStyle w:val="Compact"/>
              <w:spacing w:after="20" w:before="20" w:line="240" w:lineRule="auto"/>
              <w:jc w:val="left"/>
            </w:pPr>
            <w:r>
              <w:rPr>
                <w:sz w:val="17"/>
              </w:rPr>
              <w:t xml:space="preserve">Historique de</w:t>
            </w:r>
            <w:r>
              <w:rPr>
                <w:sz w:val="17"/>
              </w:rPr>
              <w:t xml:space="preserve"> </w:t>
            </w:r>
            <w:r>
              <w:rPr>
                <w:sz w:val="17"/>
              </w:rPr>
              <w:t xml:space="preserve">fusion réversible</w:t>
            </w:r>
          </w:p>
        </w:tc>
      </w:tr>
      <w:tr>
        <w:tc>
          <w:tcPr/>
          <w:p>
            <w:pPr>
              <w:pStyle w:val="Compact"/>
              <w:spacing w:after="20" w:before="20" w:line="240" w:lineRule="auto"/>
              <w:jc w:val="left"/>
            </w:pPr>
            <w:r>
              <w:rPr>
                <w:sz w:val="17"/>
              </w:rPr>
              <w:t xml:space="preserve">Collusion</w:t>
            </w:r>
            <w:r>
              <w:rPr>
                <w:sz w:val="17"/>
              </w:rPr>
              <w:t xml:space="preserve"> </w:t>
            </w:r>
            <w:r>
              <w:rPr>
                <w:sz w:val="17"/>
              </w:rPr>
              <w:t xml:space="preserve">agent–contribuable</w:t>
            </w:r>
          </w:p>
        </w:tc>
        <w:tc>
          <w:tcPr/>
          <w:p>
            <w:pPr>
              <w:pStyle w:val="Compact"/>
              <w:spacing w:after="20" w:before="20" w:line="240" w:lineRule="auto"/>
              <w:jc w:val="left"/>
            </w:pPr>
            <w:r>
              <w:rPr>
                <w:sz w:val="17"/>
              </w:rPr>
              <w:t xml:space="preserve">Rotation des</w:t>
            </w:r>
            <w:r>
              <w:rPr>
                <w:sz w:val="17"/>
              </w:rPr>
              <w:t xml:space="preserve"> </w:t>
            </w:r>
            <w:r>
              <w:rPr>
                <w:sz w:val="17"/>
              </w:rPr>
              <w:t xml:space="preserve">zones, séparation</w:t>
            </w:r>
            <w:r>
              <w:rPr>
                <w:sz w:val="17"/>
              </w:rPr>
              <w:t xml:space="preserve"> </w:t>
            </w:r>
            <w:r>
              <w:rPr>
                <w:sz w:val="17"/>
              </w:rPr>
              <w:t xml:space="preserve">des rôles</w:t>
            </w:r>
          </w:p>
        </w:tc>
        <w:tc>
          <w:tcPr/>
          <w:p>
            <w:pPr>
              <w:pStyle w:val="Compact"/>
              <w:spacing w:after="20" w:before="20" w:line="240" w:lineRule="auto"/>
              <w:jc w:val="left"/>
            </w:pPr>
            <w:r>
              <w:rPr>
                <w:sz w:val="17"/>
              </w:rPr>
              <w:t xml:space="preserve">Analyse de</w:t>
            </w:r>
            <w:r>
              <w:rPr>
                <w:sz w:val="17"/>
              </w:rPr>
              <w:t xml:space="preserve"> </w:t>
            </w:r>
            <w:r>
              <w:rPr>
                <w:sz w:val="17"/>
              </w:rPr>
              <w:t xml:space="preserve">proximité</w:t>
            </w:r>
            <w:r>
              <w:rPr>
                <w:sz w:val="17"/>
              </w:rPr>
              <w:t xml:space="preserve"> </w:t>
            </w:r>
            <w:r>
              <w:rPr>
                <w:sz w:val="17"/>
              </w:rPr>
              <w:t xml:space="preserve">récurrente</w:t>
            </w:r>
            <w:r>
              <w:rPr>
                <w:sz w:val="17"/>
              </w:rPr>
              <w:t xml:space="preserve"> </w:t>
            </w:r>
            <w:r>
              <w:rPr>
                <w:sz w:val="17"/>
              </w:rPr>
              <w:t xml:space="preserve">agent–objet</w:t>
            </w:r>
          </w:p>
        </w:tc>
        <w:tc>
          <w:tcPr/>
          <w:p>
            <w:pPr>
              <w:pStyle w:val="Compact"/>
              <w:spacing w:after="20" w:before="20" w:line="240" w:lineRule="auto"/>
              <w:jc w:val="left"/>
            </w:pPr>
            <w:r>
              <w:rPr>
                <w:sz w:val="17"/>
              </w:rPr>
              <w:t xml:space="preserve">Journal</w:t>
            </w:r>
            <w:r>
              <w:rPr>
                <w:sz w:val="17"/>
              </w:rPr>
              <w:t xml:space="preserve"> </w:t>
            </w:r>
            <w:r>
              <w:rPr>
                <w:sz w:val="17"/>
              </w:rPr>
              <w:t xml:space="preserve">géolocalisé des</w:t>
            </w:r>
            <w:r>
              <w:rPr>
                <w:sz w:val="17"/>
              </w:rPr>
              <w:t xml:space="preserve"> </w:t>
            </w:r>
            <w:r>
              <w:rPr>
                <w:sz w:val="17"/>
              </w:rPr>
              <w:t xml:space="preserve">interventions</w:t>
            </w:r>
          </w:p>
        </w:tc>
      </w:tr>
      <w:tr>
        <w:tc>
          <w:tcPr>
            <w:shd w:val="clear" w:color="auto" w:fill="F2F9F8"/>
          </w:tcPr>
          <w:p>
            <w:pPr>
              <w:pStyle w:val="Compact"/>
              <w:spacing w:after="20" w:before="20" w:line="240" w:lineRule="auto"/>
              <w:jc w:val="left"/>
            </w:pPr>
            <w:r>
              <w:rPr>
                <w:sz w:val="17"/>
              </w:rPr>
              <w:t xml:space="preserve">Faux constat hors</w:t>
            </w:r>
            <w:r>
              <w:rPr>
                <w:sz w:val="17"/>
              </w:rPr>
              <w:t xml:space="preserve"> </w:t>
            </w:r>
            <w:r>
              <w:rPr>
                <w:sz w:val="17"/>
              </w:rPr>
              <w:t xml:space="preserve">zone</w:t>
            </w:r>
          </w:p>
        </w:tc>
        <w:tc>
          <w:tcPr>
            <w:shd w:val="clear" w:color="auto" w:fill="F2F9F8"/>
          </w:tcPr>
          <w:p>
            <w:pPr>
              <w:pStyle w:val="Compact"/>
              <w:spacing w:after="20" w:before="20" w:line="240" w:lineRule="auto"/>
              <w:jc w:val="left"/>
            </w:pPr>
            <w:r>
              <w:rPr>
                <w:sz w:val="17"/>
              </w:rPr>
              <w:t xml:space="preserve">Géorepérage et</w:t>
            </w:r>
            <w:r>
              <w:rPr>
                <w:sz w:val="17"/>
              </w:rPr>
              <w:t xml:space="preserve"> </w:t>
            </w:r>
            <w:r>
              <w:rPr>
                <w:sz w:val="17"/>
              </w:rPr>
              <w:t xml:space="preserve">horodatage</w:t>
            </w:r>
          </w:p>
        </w:tc>
        <w:tc>
          <w:tcPr>
            <w:shd w:val="clear" w:color="auto" w:fill="F2F9F8"/>
          </w:tcPr>
          <w:p>
            <w:pPr>
              <w:pStyle w:val="Compact"/>
              <w:spacing w:after="20" w:before="20" w:line="240" w:lineRule="auto"/>
              <w:jc w:val="left"/>
            </w:pPr>
            <w:r>
              <w:rPr>
                <w:sz w:val="17"/>
              </w:rPr>
              <w:t xml:space="preserve">Alerte de distance</w:t>
            </w:r>
            <w:r>
              <w:rPr>
                <w:sz w:val="17"/>
              </w:rPr>
              <w:t xml:space="preserve"> </w:t>
            </w:r>
            <w:r>
              <w:rPr>
                <w:sz w:val="17"/>
              </w:rPr>
              <w:t xml:space="preserve">anormale</w:t>
            </w:r>
          </w:p>
        </w:tc>
        <w:tc>
          <w:tcPr>
            <w:shd w:val="clear" w:color="auto" w:fill="F2F9F8"/>
          </w:tcPr>
          <w:p>
            <w:pPr>
              <w:pStyle w:val="Compact"/>
              <w:spacing w:after="20" w:before="20" w:line="240" w:lineRule="auto"/>
              <w:jc w:val="left"/>
            </w:pPr>
            <w:r>
              <w:rPr>
                <w:sz w:val="17"/>
              </w:rPr>
              <w:t xml:space="preserve">Photo, GPS,</w:t>
            </w:r>
            <w:r>
              <w:rPr>
                <w:sz w:val="17"/>
              </w:rPr>
              <w:t xml:space="preserve"> </w:t>
            </w:r>
            <w:r>
              <w:rPr>
                <w:sz w:val="17"/>
              </w:rPr>
              <w:t xml:space="preserve">appareil,</w:t>
            </w:r>
            <w:r>
              <w:rPr>
                <w:sz w:val="17"/>
              </w:rPr>
              <w:t xml:space="preserve"> </w:t>
            </w:r>
            <w:r>
              <w:rPr>
                <w:sz w:val="17"/>
              </w:rPr>
              <w:t xml:space="preserve">utilisateur</w:t>
            </w:r>
          </w:p>
        </w:tc>
      </w:tr>
      <w:tr>
        <w:tc>
          <w:tcPr/>
          <w:p>
            <w:pPr>
              <w:pStyle w:val="Compact"/>
              <w:spacing w:after="20" w:before="20" w:line="240" w:lineRule="auto"/>
              <w:jc w:val="left"/>
            </w:pPr>
            <w:r>
              <w:rPr>
                <w:sz w:val="17"/>
              </w:rPr>
              <w:t xml:space="preserve">Manipulation de</w:t>
            </w:r>
            <w:r>
              <w:rPr>
                <w:sz w:val="17"/>
              </w:rPr>
              <w:t xml:space="preserve"> </w:t>
            </w:r>
            <w:r>
              <w:rPr>
                <w:sz w:val="17"/>
              </w:rPr>
              <w:t xml:space="preserve">rappel de paiement</w:t>
            </w:r>
          </w:p>
        </w:tc>
        <w:tc>
          <w:tcPr/>
          <w:p>
            <w:pPr>
              <w:pStyle w:val="Compact"/>
              <w:spacing w:after="20" w:before="20" w:line="240" w:lineRule="auto"/>
              <w:jc w:val="left"/>
            </w:pPr>
            <w:r>
              <w:rPr>
                <w:sz w:val="17"/>
              </w:rPr>
              <w:t xml:space="preserve">Signature et</w:t>
            </w:r>
            <w:r>
              <w:rPr>
                <w:sz w:val="17"/>
              </w:rPr>
              <w:t xml:space="preserve"> </w:t>
            </w:r>
            <w:r>
              <w:rPr>
                <w:sz w:val="17"/>
              </w:rPr>
              <w:t xml:space="preserve">anti-rejeu</w:t>
            </w:r>
          </w:p>
        </w:tc>
        <w:tc>
          <w:tcPr/>
          <w:p>
            <w:pPr>
              <w:pStyle w:val="Compact"/>
              <w:spacing w:after="20" w:before="20" w:line="240" w:lineRule="auto"/>
              <w:jc w:val="left"/>
            </w:pPr>
            <w:r>
              <w:rPr>
                <w:sz w:val="17"/>
              </w:rPr>
              <w:t xml:space="preserve">Rejet et alerte</w:t>
            </w:r>
          </w:p>
        </w:tc>
        <w:tc>
          <w:tcPr/>
          <w:p>
            <w:pPr>
              <w:pStyle w:val="Compact"/>
              <w:spacing w:after="20" w:before="20" w:line="240" w:lineRule="auto"/>
              <w:jc w:val="left"/>
            </w:pPr>
            <w:r>
              <w:rPr>
                <w:sz w:val="17"/>
              </w:rPr>
              <w:t xml:space="preserve">Historique des</w:t>
            </w:r>
            <w:r>
              <w:rPr>
                <w:sz w:val="17"/>
              </w:rPr>
              <w:t xml:space="preserve"> </w:t>
            </w:r>
            <w:r>
              <w:rPr>
                <w:sz w:val="17"/>
              </w:rPr>
              <w:t xml:space="preserve">appels d'API</w:t>
            </w:r>
          </w:p>
        </w:tc>
      </w:tr>
      <w:tr>
        <w:tc>
          <w:tcPr>
            <w:shd w:val="clear" w:color="auto" w:fill="F2F9F8"/>
          </w:tcPr>
          <w:p>
            <w:pPr>
              <w:pStyle w:val="Compact"/>
              <w:spacing w:after="20" w:before="20" w:line="240" w:lineRule="auto"/>
              <w:jc w:val="left"/>
            </w:pPr>
            <w:r>
              <w:rPr>
                <w:sz w:val="17"/>
              </w:rPr>
              <w:t xml:space="preserve">Effacement de trace</w:t>
            </w:r>
          </w:p>
        </w:tc>
        <w:tc>
          <w:tcPr>
            <w:shd w:val="clear" w:color="auto" w:fill="F2F9F8"/>
          </w:tcPr>
          <w:p>
            <w:pPr>
              <w:pStyle w:val="Compact"/>
              <w:spacing w:after="20" w:before="20" w:line="240" w:lineRule="auto"/>
              <w:jc w:val="left"/>
            </w:pPr>
            <w:r>
              <w:rPr>
                <w:sz w:val="17"/>
              </w:rPr>
              <w:t xml:space="preserve">Stockage en</w:t>
            </w:r>
            <w:r>
              <w:rPr>
                <w:sz w:val="17"/>
              </w:rPr>
              <w:t xml:space="preserve"> </w:t>
            </w:r>
            <w:r>
              <w:rPr>
                <w:sz w:val="17"/>
              </w:rPr>
              <w:t xml:space="preserve">écriture unique,</w:t>
            </w:r>
            <w:r>
              <w:rPr>
                <w:sz w:val="17"/>
              </w:rPr>
              <w:t xml:space="preserve"> </w:t>
            </w:r>
            <w:r>
              <w:rPr>
                <w:sz w:val="17"/>
              </w:rPr>
              <w:t xml:space="preserve">sauvegarde</w:t>
            </w:r>
            <w:r>
              <w:rPr>
                <w:sz w:val="17"/>
              </w:rPr>
              <w:t xml:space="preserve"> </w:t>
            </w:r>
            <w:r>
              <w:rPr>
                <w:sz w:val="17"/>
              </w:rPr>
              <w:t xml:space="preserve">indépendante</w:t>
            </w:r>
          </w:p>
        </w:tc>
        <w:tc>
          <w:tcPr>
            <w:shd w:val="clear" w:color="auto" w:fill="F2F9F8"/>
          </w:tcPr>
          <w:p>
            <w:pPr>
              <w:pStyle w:val="Compact"/>
              <w:spacing w:after="20" w:before="20" w:line="240" w:lineRule="auto"/>
              <w:jc w:val="left"/>
            </w:pPr>
            <w:r>
              <w:rPr>
                <w:sz w:val="17"/>
              </w:rPr>
              <w:t xml:space="preserve">Contrôle</w:t>
            </w:r>
            <w:r>
              <w:rPr>
                <w:sz w:val="17"/>
              </w:rPr>
              <w:t xml:space="preserve"> </w:t>
            </w:r>
            <w:r>
              <w:rPr>
                <w:sz w:val="17"/>
              </w:rPr>
              <w:t xml:space="preserve">d'intégrité par</w:t>
            </w:r>
            <w:r>
              <w:rPr>
                <w:sz w:val="17"/>
              </w:rPr>
              <w:t xml:space="preserve"> </w:t>
            </w:r>
            <w:r>
              <w:rPr>
                <w:sz w:val="17"/>
              </w:rPr>
              <w:t xml:space="preserve">empreinte</w:t>
            </w:r>
            <w:r>
              <w:rPr>
                <w:sz w:val="17"/>
              </w:rPr>
              <w:t xml:space="preserve"> </w:t>
            </w:r>
            <w:r>
              <w:rPr>
                <w:sz w:val="17"/>
              </w:rPr>
              <w:t xml:space="preserve">cryptographique</w:t>
            </w:r>
          </w:p>
        </w:tc>
        <w:tc>
          <w:tcPr>
            <w:shd w:val="clear" w:color="auto" w:fill="F2F9F8"/>
          </w:tcPr>
          <w:p>
            <w:pPr>
              <w:pStyle w:val="Compact"/>
              <w:spacing w:after="20" w:before="20" w:line="240" w:lineRule="auto"/>
              <w:jc w:val="left"/>
            </w:pPr>
            <w:r>
              <w:rPr>
                <w:sz w:val="17"/>
              </w:rPr>
              <w:t xml:space="preserve">Copie d'audit</w:t>
            </w:r>
            <w:r>
              <w:rPr>
                <w:sz w:val="17"/>
              </w:rPr>
              <w:t xml:space="preserve"> </w:t>
            </w:r>
            <w:r>
              <w:rPr>
                <w:sz w:val="17"/>
              </w:rPr>
              <w:t xml:space="preserve">hors périmètre</w:t>
            </w:r>
            <w:r>
              <w:rPr>
                <w:sz w:val="17"/>
              </w:rPr>
              <w:t xml:space="preserve"> </w:t>
            </w:r>
            <w:r>
              <w:rPr>
                <w:sz w:val="17"/>
              </w:rPr>
              <w:t xml:space="preserve">d'exploitation</w:t>
            </w:r>
          </w:p>
        </w:tc>
      </w:tr>
    </w:tbl>
    <w:bookmarkStart w:id="219" w:name="X685af2c4301bbf038441021dcc262b2f0226ddf"/>
    <w:p>
      <w:pPr>
        <w:pStyle w:val="Heading3"/>
      </w:pPr>
      <w:r>
        <w:t xml:space="preserve">Plan de contrôle anti-fraude (Anti-Fraud Control Plane)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Fonction</w:t>
            </w:r>
          </w:p>
        </w:tc>
        <w:tc>
          <w:tcPr>
            <w:shd w:val="clear" w:color="auto" w:fill="1BA996"/>
          </w:tcPr>
          <w:p>
            <w:pPr>
              <w:pStyle w:val="Compact"/>
              <w:spacing w:after="20" w:before="20" w:line="240" w:lineRule="auto"/>
              <w:jc w:val="left"/>
            </w:pPr>
            <w:r>
              <w:rPr>
                <w:b/>
                <w:color w:val="FFFFFF"/>
                <w:sz w:val="17"/>
              </w:rPr>
              <w:t xml:space="preserve">Mesures</w:t>
            </w:r>
          </w:p>
        </w:tc>
      </w:tr>
      <w:tr>
        <w:tc>
          <w:tcPr/>
          <w:p>
            <w:pPr>
              <w:pStyle w:val="Compact"/>
              <w:spacing w:after="20" w:before="20" w:line="240" w:lineRule="auto"/>
              <w:jc w:val="left"/>
            </w:pPr>
            <w:r>
              <w:rPr>
                <w:sz w:val="17"/>
              </w:rPr>
              <w:t xml:space="preserve">Prévenir</w:t>
            </w:r>
          </w:p>
        </w:tc>
        <w:tc>
          <w:tcPr/>
          <w:p>
            <w:pPr>
              <w:pStyle w:val="Compact"/>
              <w:spacing w:after="20" w:before="20" w:line="240" w:lineRule="auto"/>
              <w:jc w:val="left"/>
            </w:pPr>
            <w:r>
              <w:rPr>
                <w:sz w:val="17"/>
              </w:rPr>
              <w:t xml:space="preserve">Séparation des tâches, authentification multifacteur, bénéficiaires verrouillés, limites et plafonds, confiance des appareils</w:t>
            </w:r>
          </w:p>
        </w:tc>
      </w:tr>
      <w:tr>
        <w:tc>
          <w:tcPr>
            <w:shd w:val="clear" w:color="auto" w:fill="F2F9F8"/>
          </w:tcPr>
          <w:p>
            <w:pPr>
              <w:pStyle w:val="Compact"/>
              <w:spacing w:after="20" w:before="20" w:line="240" w:lineRule="auto"/>
              <w:jc w:val="left"/>
            </w:pPr>
            <w:r>
              <w:rPr>
                <w:sz w:val="17"/>
              </w:rPr>
              <w:t xml:space="preserve">Détecter</w:t>
            </w:r>
          </w:p>
        </w:tc>
        <w:tc>
          <w:tcPr>
            <w:shd w:val="clear" w:color="auto" w:fill="F2F9F8"/>
          </w:tcPr>
          <w:p>
            <w:pPr>
              <w:pStyle w:val="Compact"/>
              <w:spacing w:after="20" w:before="20" w:line="240" w:lineRule="auto"/>
              <w:jc w:val="left"/>
            </w:pPr>
            <w:r>
              <w:rPr>
                <w:sz w:val="17"/>
              </w:rPr>
              <w:t xml:space="preserve">Anomalies, doublons, motifs récurrents, géorepérage, écarts de rapprochement</w:t>
            </w:r>
          </w:p>
        </w:tc>
      </w:tr>
      <w:tr>
        <w:tc>
          <w:tcPr/>
          <w:p>
            <w:pPr>
              <w:pStyle w:val="Compact"/>
              <w:spacing w:after="20" w:before="20" w:line="240" w:lineRule="auto"/>
              <w:jc w:val="left"/>
            </w:pPr>
            <w:r>
              <w:rPr>
                <w:sz w:val="17"/>
              </w:rPr>
              <w:t xml:space="preserve">Contenir</w:t>
            </w:r>
          </w:p>
        </w:tc>
        <w:tc>
          <w:tcPr/>
          <w:p>
            <w:pPr>
              <w:pStyle w:val="Compact"/>
              <w:spacing w:after="20" w:before="20" w:line="240" w:lineRule="auto"/>
              <w:jc w:val="left"/>
            </w:pPr>
            <w:r>
              <w:rPr>
                <w:sz w:val="17"/>
              </w:rPr>
              <w:t xml:space="preserve">Suspension ciblée d’un accès technique ; jamais de sanction fiscale automatique</w:t>
            </w:r>
          </w:p>
        </w:tc>
      </w:tr>
      <w:tr>
        <w:tc>
          <w:tcPr>
            <w:shd w:val="clear" w:color="auto" w:fill="F2F9F8"/>
          </w:tcPr>
          <w:p>
            <w:pPr>
              <w:pStyle w:val="Compact"/>
              <w:spacing w:after="20" w:before="20" w:line="240" w:lineRule="auto"/>
              <w:jc w:val="left"/>
            </w:pPr>
            <w:r>
              <w:rPr>
                <w:sz w:val="17"/>
              </w:rPr>
              <w:t xml:space="preserve">Enquêter</w:t>
            </w:r>
          </w:p>
        </w:tc>
        <w:tc>
          <w:tcPr>
            <w:shd w:val="clear" w:color="auto" w:fill="F2F9F8"/>
          </w:tcPr>
          <w:p>
            <w:pPr>
              <w:pStyle w:val="Compact"/>
              <w:spacing w:after="20" w:before="20" w:line="240" w:lineRule="auto"/>
              <w:jc w:val="left"/>
            </w:pPr>
            <w:r>
              <w:rPr>
                <w:sz w:val="17"/>
              </w:rPr>
              <w:t xml:space="preserve">Dossier d’enquête, enquêteur habilité, saisine de l’autorité compétente</w:t>
            </w:r>
          </w:p>
        </w:tc>
      </w:tr>
      <w:tr>
        <w:tc>
          <w:tcPr/>
          <w:p>
            <w:pPr>
              <w:pStyle w:val="Compact"/>
              <w:spacing w:after="20" w:before="20" w:line="240" w:lineRule="auto"/>
              <w:jc w:val="left"/>
            </w:pPr>
            <w:r>
              <w:rPr>
                <w:sz w:val="17"/>
              </w:rPr>
              <w:t xml:space="preserve">Prouver</w:t>
            </w:r>
          </w:p>
        </w:tc>
        <w:tc>
          <w:tcPr/>
          <w:p>
            <w:pPr>
              <w:pStyle w:val="Compact"/>
              <w:spacing w:after="20" w:before="20" w:line="240" w:lineRule="auto"/>
              <w:jc w:val="left"/>
            </w:pPr>
            <w:r>
              <w:rPr>
                <w:sz w:val="17"/>
              </w:rPr>
              <w:t xml:space="preserve">Hachage, signature, horodatage, stockage en écriture unique (WORM), audit indépendant</w:t>
            </w:r>
          </w:p>
        </w:tc>
      </w:tr>
      <w:tr>
        <w:tc>
          <w:tcPr>
            <w:shd w:val="clear" w:color="auto" w:fill="F2F9F8"/>
          </w:tcPr>
          <w:p>
            <w:pPr>
              <w:pStyle w:val="Compact"/>
              <w:spacing w:after="20" w:before="20" w:line="240" w:lineRule="auto"/>
              <w:jc w:val="left"/>
            </w:pPr>
            <w:r>
              <w:rPr>
                <w:sz w:val="17"/>
              </w:rPr>
              <w:t xml:space="preserve">Corriger</w:t>
            </w:r>
          </w:p>
        </w:tc>
        <w:tc>
          <w:tcPr>
            <w:shd w:val="clear" w:color="auto" w:fill="F2F9F8"/>
          </w:tcPr>
          <w:p>
            <w:pPr>
              <w:pStyle w:val="Compact"/>
              <w:spacing w:after="20" w:before="20" w:line="240" w:lineRule="auto"/>
              <w:jc w:val="left"/>
            </w:pPr>
            <w:r>
              <w:rPr>
                <w:sz w:val="17"/>
              </w:rPr>
              <w:t xml:space="preserve">Contre-écriture liée à l’original</w:t>
            </w:r>
          </w:p>
        </w:tc>
      </w:tr>
      <w:tr>
        <w:tc>
          <w:tcPr/>
          <w:p>
            <w:pPr>
              <w:pStyle w:val="Compact"/>
              <w:spacing w:after="20" w:before="20" w:line="240" w:lineRule="auto"/>
              <w:jc w:val="left"/>
            </w:pPr>
            <w:r>
              <w:rPr>
                <w:sz w:val="17"/>
              </w:rPr>
              <w:t xml:space="preserve">Rapporter</w:t>
            </w:r>
          </w:p>
        </w:tc>
        <w:tc>
          <w:tcPr/>
          <w:p>
            <w:pPr>
              <w:pStyle w:val="Compact"/>
              <w:spacing w:after="20" w:before="20" w:line="240" w:lineRule="auto"/>
              <w:jc w:val="left"/>
            </w:pPr>
            <w:r>
              <w:rPr>
                <w:sz w:val="17"/>
              </w:rPr>
              <w:t xml:space="preserve">Rapports au comité de pilotage, à l’audit interne et au contrôle indépendant</w:t>
            </w:r>
          </w:p>
        </w:tc>
      </w:tr>
    </w:tbl>
    <w:bookmarkEnd w:id="219"/>
    <w:bookmarkStart w:id="220" w:name="socle-technique-dintégrité"/>
    <w:p>
      <w:pPr>
        <w:pStyle w:val="Heading2"/>
      </w:pPr>
      <w:r>
        <w:t xml:space="preserve">25.1 Socle technique d'intégrité</w:t>
      </w:r>
    </w:p>
    <w:p>
      <w:pPr>
        <w:pStyle w:val="FirstParagraph"/>
      </w:pPr>
      <w:r>
        <w:t xml:space="preserve">Historique d'événements immuable ; empreintes cryptographiques chaînées</w:t>
      </w:r>
      <w:r>
        <w:t xml:space="preserve"> </w:t>
      </w:r>
      <w:r>
        <w:t xml:space="preserve">; signatures électroniques ; horodatage de confiance ; registre</w:t>
      </w:r>
      <w:r>
        <w:t xml:space="preserve"> </w:t>
      </w:r>
      <w:r>
        <w:t xml:space="preserve">financier en ajout seul ; comptabilité en partie double ; stockage</w:t>
      </w:r>
      <w:r>
        <w:t xml:space="preserve"> </w:t>
      </w:r>
      <w:r>
        <w:t xml:space="preserve">d'audit en écriture unique ; sauvegarde indépendante des preuves ;</w:t>
      </w:r>
      <w:r>
        <w:t xml:space="preserve"> </w:t>
      </w:r>
      <w:r>
        <w:t xml:space="preserve">double validation ; plafonds ; verrouillage des bénéficiaires ;</w:t>
      </w:r>
      <w:r>
        <w:t xml:space="preserve"> </w:t>
      </w:r>
      <w:r>
        <w:t xml:space="preserve">détection d'anomalies ; empreinte d'appareil ; géorepérage ; contrôle</w:t>
      </w:r>
      <w:r>
        <w:t xml:space="preserve"> </w:t>
      </w:r>
      <w:r>
        <w:t xml:space="preserve">de plausibilité GPS ; intégrité des photographies et documents ;</w:t>
      </w:r>
      <w:r>
        <w:t xml:space="preserve"> </w:t>
      </w:r>
      <w:r>
        <w:t xml:space="preserve">surveillance des accès privilégiés ; prévention de la fuite de données ;</w:t>
      </w:r>
      <w:r>
        <w:t xml:space="preserve"> </w:t>
      </w:r>
      <w:r>
        <w:t xml:space="preserve">accès indépendant de l'auditeur.</w:t>
      </w:r>
    </w:p>
    <w:p>
      <w:pPr>
        <w:pStyle w:val="BodyText"/>
      </w:pPr>
      <w:r>
        <w:t xml:space="preserve">Le socle intègre également : magasin d’événements en ajout seul avec hachage et chaînage, protection anti-rejeu, limites par canal et par acteur, gestion des accès privilégiés (PAM), prévention des fuites de données (DLP) et contrôle d’intégrité des GPS et des photographies. L’objectif est de prévenir, détecter, contenir, enquêter, prouver, corriger et rapporter — sans jamais promettre « zéro fraude ».</w:t>
      </w:r>
    </w:p>
    <w:p>
      <w:pPr>
        <w:pStyle w:val="BodyText"/>
      </w:pPr>
      <w:r>
        <w:t xml:space="preserve">Vecteurs complémentaires couverts par les chapitres 15A et 18A : faux agent (badge vérifiable), sous-traitant qui encaisse (interdiction, signalement, résiliation), point de paiement qui retient les fonds (délai contractuel et rapprochement quotidien), objets fictifs créés pour la rémunération (contrôle qualité indépendant, récupération des sommes), enrôlement assisté sans consentement réel (lecture audio obligatoire, journalisation). La ligne de signalement et les contrôles mystère complètent la détection (§ 18A.8).</w:t>
      </w:r>
    </w:p>
    <w:p>
      <w:pPr>
        <w:pStyle w:val="BodyText"/>
      </w:pPr>
      <w:r>
        <w:rPr>
          <w:b/>
          <w:bCs/>
        </w:rPr>
        <w:t xml:space="preserve">Preuve inviolable en pratique.</w:t>
      </w:r>
      <w:r>
        <w:t xml:space="preserve"> </w:t>
      </w:r>
      <w:r>
        <w:t xml:space="preserve">Aucun système ne peut honnêtement promettre une inviolabilité absolue ; MOSOLO vise une preuve qu’il est pratiquement impossible de falsifier sans détection : hachage de chaque événement, chaînage cryptographique, signature serveur protégée par module matériel, horodatage, copie en stockage WORM,</w:t>
      </w:r>
      <w:r>
        <w:t xml:space="preserve"> </w:t>
      </w:r>
      <w:r>
        <w:rPr>
          <w:b/>
          <w:bCs/>
        </w:rPr>
        <w:t xml:space="preserve">racine quotidienne publiée dans un registre indépendant</w:t>
      </w:r>
      <w:r>
        <w:t xml:space="preserve"> </w:t>
      </w:r>
      <w:r>
        <w:t xml:space="preserve">et contrôles périodiques d’intégrité.</w:t>
      </w:r>
    </w:p>
    <w:bookmarkEnd w:id="220"/>
    <w:bookmarkEnd w:id="221"/>
    <w:bookmarkStart w:id="226" w:name="tableaux-de-bord"/>
    <w:p>
      <w:pPr>
        <w:pStyle w:val="Heading1"/>
      </w:pPr>
      <w:r>
        <w:t xml:space="preserve">26. Tableaux de bord</w:t>
      </w:r>
    </w:p>
    <w:bookmarkStart w:id="224" w:name="tableau-de-bord-du-gouverneur"/>
    <w:p>
      <w:pPr>
        <w:pStyle w:val="Heading2"/>
      </w:pPr>
      <w:r>
        <w:t xml:space="preserve">26.1 Tableau de bord du Gouverneur</w:t>
      </w:r>
    </w:p>
    <w:p>
      <w:pPr>
        <w:pStyle w:val="FirstParagraph"/>
      </w:pPr>
      <w:r>
        <w:t xml:space="preserve">Une distinction structure l'ensemble des écrans : potentiel estimé ;</w:t>
      </w:r>
      <w:r>
        <w:t xml:space="preserve"> </w:t>
      </w:r>
      <w:r>
        <w:t xml:space="preserve">recette constatée ; recette échue ; paiement initié ; paiement confirmé</w:t>
      </w:r>
      <w:r>
        <w:t xml:space="preserve"> </w:t>
      </w:r>
      <w:r>
        <w:t xml:space="preserve">; somme réglée en compte public ; recette rapprochée ; disponible pour</w:t>
      </w:r>
      <w:r>
        <w:t xml:space="preserve"> </w:t>
      </w:r>
      <w:r>
        <w:t xml:space="preserve">affectation budgétaire. Confondre ces états est la première source</w:t>
      </w:r>
      <w:r>
        <w:t xml:space="preserve"> </w:t>
      </w:r>
      <w:r>
        <w:t xml:space="preserve">d'illusion budgétaire.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00"/>
        <w:gridCol w:w="3484"/>
        <w:gridCol w:w="2323"/>
      </w:tblGrid>
      <w:tr>
        <w:trPr>
          <w:tblHeader w:val="true"/>
          <w:tblHeader/>
        </w:trPr>
        <w:tc>
          <w:tcPr>
            <w:shd w:val="clear" w:color="auto" w:fill="1BA996"/>
          </w:tcPr>
          <w:p>
            <w:pPr>
              <w:pStyle w:val="Compact"/>
              <w:spacing w:after="20" w:before="20" w:line="240" w:lineRule="auto"/>
              <w:jc w:val="left"/>
            </w:pPr>
            <w:r>
              <w:rPr>
                <w:b/>
                <w:bCs/>
                <w:color w:val="FFFFFF"/>
                <w:sz w:val="17"/>
              </w:rPr>
              <w:t xml:space="preserve">Bloc</w:t>
            </w:r>
          </w:p>
        </w:tc>
        <w:tc>
          <w:tcPr>
            <w:shd w:val="clear" w:color="auto" w:fill="1BA996"/>
          </w:tcPr>
          <w:p>
            <w:pPr>
              <w:pStyle w:val="Compact"/>
              <w:spacing w:after="20" w:before="20" w:line="240" w:lineRule="auto"/>
              <w:jc w:val="left"/>
            </w:pPr>
            <w:r>
              <w:rPr>
                <w:b/>
                <w:bCs/>
                <w:color w:val="FFFFFF"/>
                <w:sz w:val="17"/>
              </w:rPr>
              <w:t xml:space="preserve">Contenu</w:t>
            </w:r>
          </w:p>
        </w:tc>
        <w:tc>
          <w:tcPr>
            <w:shd w:val="clear" w:color="auto" w:fill="1BA996"/>
          </w:tcPr>
          <w:p>
            <w:pPr>
              <w:pStyle w:val="Compact"/>
              <w:spacing w:after="20" w:before="20" w:line="240" w:lineRule="auto"/>
              <w:jc w:val="left"/>
            </w:pPr>
            <w:r>
              <w:rPr>
                <w:b/>
                <w:bCs/>
                <w:color w:val="FFFFFF"/>
                <w:sz w:val="17"/>
              </w:rPr>
              <w:t xml:space="preserve">Action possible</w:t>
            </w:r>
          </w:p>
        </w:tc>
      </w:tr>
      <w:tr>
        <w:tc>
          <w:tcPr/>
          <w:p>
            <w:pPr>
              <w:pStyle w:val="Compact"/>
              <w:spacing w:after="20" w:before="20" w:line="240" w:lineRule="auto"/>
              <w:jc w:val="left"/>
            </w:pPr>
            <w:r>
              <w:rPr>
                <w:sz w:val="17"/>
              </w:rPr>
              <w:t xml:space="preserve">Encaissement du</w:t>
            </w:r>
            <w:r>
              <w:rPr>
                <w:sz w:val="17"/>
              </w:rPr>
              <w:t xml:space="preserve"> </w:t>
            </w:r>
            <w:r>
              <w:rPr>
                <w:sz w:val="17"/>
              </w:rPr>
              <w:t xml:space="preserve">jour</w:t>
            </w:r>
          </w:p>
        </w:tc>
        <w:tc>
          <w:tcPr/>
          <w:p>
            <w:pPr>
              <w:pStyle w:val="Compact"/>
              <w:spacing w:after="20" w:before="20" w:line="240" w:lineRule="auto"/>
              <w:jc w:val="left"/>
            </w:pPr>
            <w:r>
              <w:rPr>
                <w:sz w:val="17"/>
              </w:rPr>
              <w:t xml:space="preserve">Initié, confirmé, réglé,</w:t>
            </w:r>
            <w:r>
              <w:rPr>
                <w:sz w:val="17"/>
              </w:rPr>
              <w:t xml:space="preserve"> </w:t>
            </w:r>
            <w:r>
              <w:rPr>
                <w:sz w:val="17"/>
              </w:rPr>
              <w:t xml:space="preserve">rapproché</w:t>
            </w:r>
          </w:p>
        </w:tc>
        <w:tc>
          <w:tcPr/>
          <w:p>
            <w:pPr>
              <w:pStyle w:val="Compact"/>
              <w:spacing w:after="20" w:before="20" w:line="240" w:lineRule="auto"/>
              <w:jc w:val="left"/>
            </w:pPr>
            <w:r>
              <w:rPr>
                <w:sz w:val="17"/>
              </w:rPr>
              <w:t xml:space="preserve">Ouvrir les exceptions</w:t>
            </w:r>
          </w:p>
        </w:tc>
      </w:tr>
      <w:tr>
        <w:tc>
          <w:tcPr>
            <w:shd w:val="clear" w:color="auto" w:fill="F2F9F8"/>
          </w:tcPr>
          <w:p>
            <w:pPr>
              <w:pStyle w:val="Compact"/>
              <w:spacing w:after="20" w:before="20" w:line="240" w:lineRule="auto"/>
              <w:jc w:val="left"/>
            </w:pPr>
            <w:r>
              <w:rPr>
                <w:sz w:val="17"/>
              </w:rPr>
              <w:t xml:space="preserve">Par commune</w:t>
            </w:r>
          </w:p>
        </w:tc>
        <w:tc>
          <w:tcPr>
            <w:shd w:val="clear" w:color="auto" w:fill="F2F9F8"/>
          </w:tcPr>
          <w:p>
            <w:pPr>
              <w:pStyle w:val="Compact"/>
              <w:spacing w:after="20" w:before="20" w:line="240" w:lineRule="auto"/>
              <w:jc w:val="left"/>
            </w:pPr>
            <w:r>
              <w:rPr>
                <w:sz w:val="17"/>
              </w:rPr>
              <w:t xml:space="preserve">Carte de chaleur, écart à</w:t>
            </w:r>
            <w:r>
              <w:rPr>
                <w:sz w:val="17"/>
              </w:rPr>
              <w:t xml:space="preserve"> </w:t>
            </w:r>
            <w:r>
              <w:rPr>
                <w:sz w:val="17"/>
              </w:rPr>
              <w:t xml:space="preserve">l'assignation, couverture du</w:t>
            </w:r>
            <w:r>
              <w:rPr>
                <w:sz w:val="17"/>
              </w:rPr>
              <w:t xml:space="preserve"> </w:t>
            </w:r>
            <w:r>
              <w:rPr>
                <w:sz w:val="17"/>
              </w:rPr>
              <w:t xml:space="preserve">recensement</w:t>
            </w:r>
          </w:p>
        </w:tc>
        <w:tc>
          <w:tcPr>
            <w:shd w:val="clear" w:color="auto" w:fill="F2F9F8"/>
          </w:tcPr>
          <w:p>
            <w:pPr>
              <w:pStyle w:val="Compact"/>
              <w:spacing w:after="20" w:before="20" w:line="240" w:lineRule="auto"/>
              <w:jc w:val="left"/>
            </w:pPr>
            <w:r>
              <w:rPr>
                <w:sz w:val="17"/>
              </w:rPr>
              <w:t xml:space="preserve">Interpeller un</w:t>
            </w:r>
            <w:r>
              <w:rPr>
                <w:sz w:val="17"/>
              </w:rPr>
              <w:t xml:space="preserve"> </w:t>
            </w:r>
            <w:r>
              <w:rPr>
                <w:sz w:val="17"/>
              </w:rPr>
              <w:t xml:space="preserve">responsable de centre</w:t>
            </w:r>
          </w:p>
        </w:tc>
      </w:tr>
      <w:tr>
        <w:tc>
          <w:tcPr/>
          <w:p>
            <w:pPr>
              <w:pStyle w:val="Compact"/>
              <w:spacing w:after="20" w:before="20" w:line="240" w:lineRule="auto"/>
              <w:jc w:val="left"/>
            </w:pPr>
            <w:r>
              <w:rPr>
                <w:sz w:val="17"/>
              </w:rPr>
              <w:t xml:space="preserve">Par catégorie de</w:t>
            </w:r>
            <w:r>
              <w:rPr>
                <w:sz w:val="17"/>
              </w:rPr>
              <w:t xml:space="preserve"> </w:t>
            </w:r>
            <w:r>
              <w:rPr>
                <w:sz w:val="17"/>
              </w:rPr>
              <w:t xml:space="preserve">recette</w:t>
            </w:r>
          </w:p>
        </w:tc>
        <w:tc>
          <w:tcPr/>
          <w:p>
            <w:pPr>
              <w:pStyle w:val="Compact"/>
              <w:spacing w:after="20" w:before="20" w:line="240" w:lineRule="auto"/>
              <w:jc w:val="left"/>
            </w:pPr>
            <w:r>
              <w:rPr>
                <w:sz w:val="17"/>
              </w:rPr>
              <w:t xml:space="preserve">IF, IRL, véhicules, patente,</w:t>
            </w:r>
            <w:r>
              <w:rPr>
                <w:sz w:val="17"/>
              </w:rPr>
              <w:t xml:space="preserve"> </w:t>
            </w:r>
            <w:r>
              <w:rPr>
                <w:sz w:val="17"/>
              </w:rPr>
              <w:t xml:space="preserve">publicité, domaine public</w:t>
            </w:r>
          </w:p>
        </w:tc>
        <w:tc>
          <w:tcPr/>
          <w:p>
            <w:pPr>
              <w:pStyle w:val="Compact"/>
              <w:spacing w:after="20" w:before="20" w:line="240" w:lineRule="auto"/>
              <w:jc w:val="left"/>
            </w:pPr>
            <w:r>
              <w:rPr>
                <w:sz w:val="17"/>
              </w:rPr>
              <w:t xml:space="preserve">Comparer au potentiel</w:t>
            </w:r>
            <w:r>
              <w:rPr>
                <w:sz w:val="17"/>
              </w:rPr>
              <w:t xml:space="preserve"> </w:t>
            </w:r>
            <w:r>
              <w:rPr>
                <w:sz w:val="17"/>
              </w:rPr>
              <w:t xml:space="preserve">estimé</w:t>
            </w:r>
          </w:p>
        </w:tc>
      </w:tr>
      <w:tr>
        <w:tc>
          <w:tcPr>
            <w:shd w:val="clear" w:color="auto" w:fill="F2F9F8"/>
          </w:tcPr>
          <w:p>
            <w:pPr>
              <w:pStyle w:val="Compact"/>
              <w:spacing w:after="20" w:before="20" w:line="240" w:lineRule="auto"/>
              <w:jc w:val="left"/>
            </w:pPr>
            <w:r>
              <w:rPr>
                <w:sz w:val="17"/>
              </w:rPr>
              <w:t xml:space="preserve">Par régie et par</w:t>
            </w:r>
            <w:r>
              <w:rPr>
                <w:sz w:val="17"/>
              </w:rPr>
              <w:t xml:space="preserve"> </w:t>
            </w:r>
            <w:r>
              <w:rPr>
                <w:sz w:val="17"/>
              </w:rPr>
              <w:t xml:space="preserve">ministère</w:t>
            </w:r>
          </w:p>
        </w:tc>
        <w:tc>
          <w:tcPr>
            <w:shd w:val="clear" w:color="auto" w:fill="F2F9F8"/>
          </w:tcPr>
          <w:p>
            <w:pPr>
              <w:pStyle w:val="Compact"/>
              <w:spacing w:after="20" w:before="20" w:line="240" w:lineRule="auto"/>
              <w:jc w:val="left"/>
            </w:pPr>
            <w:r>
              <w:rPr>
                <w:sz w:val="17"/>
              </w:rPr>
              <w:t xml:space="preserve">Performance, délais, contentieux</w:t>
            </w:r>
          </w:p>
        </w:tc>
        <w:tc>
          <w:tcPr>
            <w:shd w:val="clear" w:color="auto" w:fill="F2F9F8"/>
          </w:tcPr>
          <w:p>
            <w:pPr>
              <w:pStyle w:val="Compact"/>
              <w:spacing w:after="20" w:before="20" w:line="240" w:lineRule="auto"/>
              <w:jc w:val="left"/>
            </w:pPr>
            <w:r>
              <w:rPr>
                <w:sz w:val="17"/>
              </w:rPr>
              <w:t xml:space="preserve">Demander un plan</w:t>
            </w:r>
            <w:r>
              <w:rPr>
                <w:sz w:val="17"/>
              </w:rPr>
              <w:t xml:space="preserve"> </w:t>
            </w:r>
            <w:r>
              <w:rPr>
                <w:sz w:val="17"/>
              </w:rPr>
              <w:t xml:space="preserve">d'action</w:t>
            </w:r>
          </w:p>
        </w:tc>
      </w:tr>
      <w:tr>
        <w:tc>
          <w:tcPr/>
          <w:p>
            <w:pPr>
              <w:pStyle w:val="Compact"/>
              <w:spacing w:after="20" w:before="20" w:line="240" w:lineRule="auto"/>
              <w:jc w:val="left"/>
            </w:pPr>
            <w:r>
              <w:rPr>
                <w:sz w:val="17"/>
              </w:rPr>
              <w:t xml:space="preserve">Couverture</w:t>
            </w:r>
            <w:r>
              <w:rPr>
                <w:sz w:val="17"/>
              </w:rPr>
              <w:t xml:space="preserve"> </w:t>
            </w:r>
            <w:r>
              <w:rPr>
                <w:sz w:val="17"/>
              </w:rPr>
              <w:t xml:space="preserve">locative</w:t>
            </w:r>
          </w:p>
        </w:tc>
        <w:tc>
          <w:tcPr/>
          <w:p>
            <w:pPr>
              <w:pStyle w:val="Compact"/>
              <w:spacing w:after="20" w:before="20" w:line="240" w:lineRule="auto"/>
              <w:jc w:val="left"/>
            </w:pPr>
            <w:r>
              <w:rPr>
                <w:sz w:val="17"/>
              </w:rPr>
              <w:t xml:space="preserve">Unités recensées, baux</w:t>
            </w:r>
            <w:r>
              <w:rPr>
                <w:sz w:val="17"/>
              </w:rPr>
              <w:t xml:space="preserve"> </w:t>
            </w:r>
            <w:r>
              <w:rPr>
                <w:sz w:val="17"/>
              </w:rPr>
              <w:t xml:space="preserve">enregistrés, taux de conformité</w:t>
            </w:r>
          </w:p>
        </w:tc>
        <w:tc>
          <w:tcPr/>
          <w:p>
            <w:pPr>
              <w:pStyle w:val="Compact"/>
              <w:spacing w:after="20" w:before="20" w:line="240" w:lineRule="auto"/>
              <w:jc w:val="left"/>
            </w:pPr>
            <w:r>
              <w:rPr>
                <w:sz w:val="17"/>
              </w:rPr>
              <w:t xml:space="preserve">Lancer une campagne</w:t>
            </w:r>
            <w:r>
              <w:rPr>
                <w:sz w:val="17"/>
              </w:rPr>
              <w:t xml:space="preserve"> </w:t>
            </w:r>
            <w:r>
              <w:rPr>
                <w:sz w:val="17"/>
              </w:rPr>
              <w:t xml:space="preserve">ciblée</w:t>
            </w:r>
          </w:p>
        </w:tc>
      </w:tr>
      <w:tr>
        <w:tc>
          <w:tcPr>
            <w:shd w:val="clear" w:color="auto" w:fill="F2F9F8"/>
          </w:tcPr>
          <w:p>
            <w:pPr>
              <w:pStyle w:val="Compact"/>
              <w:spacing w:after="20" w:before="20" w:line="240" w:lineRule="auto"/>
              <w:jc w:val="left"/>
            </w:pPr>
            <w:r>
              <w:rPr>
                <w:sz w:val="17"/>
              </w:rPr>
              <w:t xml:space="preserve">Risque et fraude</w:t>
            </w:r>
          </w:p>
        </w:tc>
        <w:tc>
          <w:tcPr>
            <w:shd w:val="clear" w:color="auto" w:fill="F2F9F8"/>
          </w:tcPr>
          <w:p>
            <w:pPr>
              <w:pStyle w:val="Compact"/>
              <w:spacing w:after="20" w:before="20" w:line="240" w:lineRule="auto"/>
              <w:jc w:val="left"/>
            </w:pPr>
            <w:r>
              <w:rPr>
                <w:sz w:val="17"/>
              </w:rPr>
              <w:t xml:space="preserve">Alertes ouvertes, anomalies,</w:t>
            </w:r>
            <w:r>
              <w:rPr>
                <w:sz w:val="17"/>
              </w:rPr>
              <w:t xml:space="preserve"> </w:t>
            </w:r>
            <w:r>
              <w:rPr>
                <w:sz w:val="17"/>
              </w:rPr>
              <w:t xml:space="preserve">délais d'instruction</w:t>
            </w:r>
          </w:p>
        </w:tc>
        <w:tc>
          <w:tcPr>
            <w:shd w:val="clear" w:color="auto" w:fill="F2F9F8"/>
          </w:tcPr>
          <w:p>
            <w:pPr>
              <w:pStyle w:val="Compact"/>
              <w:spacing w:after="20" w:before="20" w:line="240" w:lineRule="auto"/>
              <w:jc w:val="left"/>
            </w:pPr>
            <w:r>
              <w:rPr>
                <w:sz w:val="17"/>
              </w:rPr>
              <w:t xml:space="preserve">Saisir l'audit ou</w:t>
            </w:r>
            <w:r>
              <w:rPr>
                <w:sz w:val="17"/>
              </w:rPr>
              <w:t xml:space="preserve"> </w:t>
            </w:r>
            <w:r>
              <w:rPr>
                <w:sz w:val="17"/>
              </w:rPr>
              <w:t xml:space="preserve">l'inspection</w:t>
            </w:r>
          </w:p>
        </w:tc>
      </w:tr>
      <w:tr>
        <w:tc>
          <w:tcPr/>
          <w:p>
            <w:pPr>
              <w:pStyle w:val="Compact"/>
              <w:spacing w:after="20" w:before="20" w:line="240" w:lineRule="auto"/>
              <w:jc w:val="left"/>
            </w:pPr>
            <w:r>
              <w:rPr>
                <w:sz w:val="17"/>
              </w:rPr>
              <w:t xml:space="preserve">Prévision</w:t>
            </w:r>
          </w:p>
        </w:tc>
        <w:tc>
          <w:tcPr/>
          <w:p>
            <w:pPr>
              <w:pStyle w:val="Compact"/>
              <w:spacing w:after="20" w:before="20" w:line="240" w:lineRule="auto"/>
              <w:jc w:val="left"/>
            </w:pPr>
            <w:r>
              <w:rPr>
                <w:sz w:val="17"/>
              </w:rPr>
              <w:t xml:space="preserve">Scénarios et hypothèses</w:t>
            </w:r>
          </w:p>
        </w:tc>
        <w:tc>
          <w:tcPr/>
          <w:p>
            <w:pPr>
              <w:pStyle w:val="Compact"/>
              <w:spacing w:after="20" w:before="20" w:line="240" w:lineRule="auto"/>
              <w:jc w:val="left"/>
            </w:pPr>
            <w:r>
              <w:rPr>
                <w:sz w:val="17"/>
              </w:rPr>
              <w:t xml:space="preserve">Arbitrer les</w:t>
            </w:r>
            <w:r>
              <w:rPr>
                <w:sz w:val="17"/>
              </w:rPr>
              <w:t xml:space="preserve"> </w:t>
            </w:r>
            <w:r>
              <w:rPr>
                <w:sz w:val="17"/>
              </w:rPr>
              <w:t xml:space="preserve">assignations</w:t>
            </w:r>
          </w:p>
        </w:tc>
      </w:tr>
      <w:tr>
        <w:tc>
          <w:tcPr>
            <w:shd w:val="clear" w:color="auto" w:fill="F2F9F8"/>
          </w:tcPr>
          <w:p>
            <w:pPr>
              <w:pStyle w:val="Compact"/>
              <w:spacing w:after="20" w:before="20" w:line="240" w:lineRule="auto"/>
              <w:jc w:val="left"/>
            </w:pPr>
            <w:r>
              <w:rPr>
                <w:sz w:val="17"/>
              </w:rPr>
              <w:t xml:space="preserve">Capacité</w:t>
            </w:r>
            <w:r>
              <w:rPr>
                <w:sz w:val="17"/>
              </w:rPr>
              <w:t xml:space="preserve"> </w:t>
            </w:r>
            <w:r>
              <w:rPr>
                <w:sz w:val="17"/>
              </w:rPr>
              <w:t xml:space="preserve">d'affectation</w:t>
            </w:r>
          </w:p>
        </w:tc>
        <w:tc>
          <w:tcPr>
            <w:shd w:val="clear" w:color="auto" w:fill="F2F9F8"/>
          </w:tcPr>
          <w:p>
            <w:pPr>
              <w:pStyle w:val="Compact"/>
              <w:spacing w:after="20" w:before="20" w:line="240" w:lineRule="auto"/>
              <w:jc w:val="left"/>
            </w:pPr>
            <w:r>
              <w:rPr>
                <w:sz w:val="17"/>
              </w:rPr>
              <w:t xml:space="preserve">Fonds rapprochés et disponibles</w:t>
            </w:r>
            <w:r>
              <w:rPr>
                <w:sz w:val="17"/>
              </w:rPr>
              <w:t xml:space="preserve"> </w:t>
            </w:r>
            <w:r>
              <w:rPr>
                <w:sz w:val="17"/>
              </w:rPr>
              <w:t xml:space="preserve">selon le budget voté</w:t>
            </w:r>
          </w:p>
        </w:tc>
        <w:tc>
          <w:tcPr>
            <w:shd w:val="clear" w:color="auto" w:fill="F2F9F8"/>
          </w:tcPr>
          <w:p>
            <w:pPr>
              <w:pStyle w:val="Compact"/>
              <w:spacing w:after="20" w:before="20" w:line="240" w:lineRule="auto"/>
              <w:jc w:val="left"/>
            </w:pPr>
            <w:r>
              <w:rPr>
                <w:sz w:val="17"/>
              </w:rPr>
              <w:t xml:space="preserve">Ouvrir le module</w:t>
            </w:r>
            <w:r>
              <w:rPr>
                <w:sz w:val="17"/>
              </w:rPr>
              <w:t xml:space="preserve"> </w:t>
            </w:r>
            <w:r>
              <w:rPr>
                <w:sz w:val="17"/>
              </w:rPr>
              <w:t xml:space="preserve">d'affectation</w:t>
            </w:r>
          </w:p>
        </w:tc>
      </w:tr>
    </w:tbl>
    <w:bookmarkStart w:id="222" w:name="échelle-unifiée-des-états-de-la-recette"/>
    <w:p>
      <w:pPr>
        <w:pStyle w:val="Heading3"/>
      </w:pPr>
      <w:r>
        <w:t xml:space="preserve">Échelle unifiée des états de la recette</w:t>
      </w:r>
    </w:p>
    <w:p>
      <w:pPr>
        <w:pStyle w:val="FirstParagraph"/>
      </w:pPr>
      <w:r>
        <w:t xml:space="preserve">Tous les tableaux de bord, rapports et exports utilisent la même échelle. Elle remplace les listes à six, huit ou onze états des documents sources.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N°</w:t>
            </w:r>
          </w:p>
        </w:tc>
        <w:tc>
          <w:tcPr>
            <w:shd w:val="clear" w:color="auto" w:fill="1BA996"/>
          </w:tcPr>
          <w:p>
            <w:pPr>
              <w:pStyle w:val="Compact"/>
              <w:spacing w:after="20" w:before="20" w:line="240" w:lineRule="auto"/>
              <w:jc w:val="left"/>
            </w:pPr>
            <w:r>
              <w:rPr>
                <w:b/>
                <w:color w:val="FFFFFF"/>
                <w:sz w:val="17"/>
              </w:rPr>
              <w:t xml:space="preserve">État</w:t>
            </w:r>
          </w:p>
        </w:tc>
        <w:tc>
          <w:tcPr>
            <w:shd w:val="clear" w:color="auto" w:fill="1BA996"/>
          </w:tcPr>
          <w:p>
            <w:pPr>
              <w:pStyle w:val="Compact"/>
              <w:spacing w:after="20" w:before="20" w:line="240" w:lineRule="auto"/>
              <w:jc w:val="left"/>
            </w:pPr>
            <w:r>
              <w:rPr>
                <w:b/>
                <w:color w:val="FFFFFF"/>
                <w:sz w:val="17"/>
              </w:rPr>
              <w:t xml:space="preserve">Définition</w:t>
            </w:r>
          </w:p>
        </w:tc>
      </w:tr>
      <w:tr>
        <w:tc>
          <w:tcPr/>
          <w:p>
            <w:pPr>
              <w:pStyle w:val="Compact"/>
              <w:spacing w:after="20" w:before="20" w:line="240" w:lineRule="auto"/>
              <w:jc w:val="left"/>
            </w:pPr>
            <w:r>
              <w:rPr>
                <w:sz w:val="17"/>
              </w:rPr>
              <w:t xml:space="preserve">1</w:t>
            </w:r>
          </w:p>
        </w:tc>
        <w:tc>
          <w:tcPr/>
          <w:p>
            <w:pPr>
              <w:pStyle w:val="Compact"/>
              <w:spacing w:after="20" w:before="20" w:line="240" w:lineRule="auto"/>
              <w:jc w:val="left"/>
            </w:pPr>
            <w:r>
              <w:rPr>
                <w:sz w:val="17"/>
              </w:rPr>
              <w:t xml:space="preserve">Potentiel estimé</w:t>
            </w:r>
          </w:p>
        </w:tc>
        <w:tc>
          <w:tcPr/>
          <w:p>
            <w:pPr>
              <w:pStyle w:val="Compact"/>
              <w:spacing w:after="20" w:before="20" w:line="240" w:lineRule="auto"/>
              <w:jc w:val="left"/>
            </w:pPr>
            <w:r>
              <w:rPr>
                <w:sz w:val="17"/>
              </w:rPr>
              <w:t xml:space="preserve">Montant théorique issu du modèle de potentiel (§ 38.2)</w:t>
            </w:r>
          </w:p>
        </w:tc>
      </w:tr>
      <w:tr>
        <w:tc>
          <w:tcPr>
            <w:shd w:val="clear" w:color="auto" w:fill="F2F9F8"/>
          </w:tcPr>
          <w:p>
            <w:pPr>
              <w:pStyle w:val="Compact"/>
              <w:spacing w:after="20" w:before="20" w:line="240" w:lineRule="auto"/>
              <w:jc w:val="left"/>
            </w:pPr>
            <w:r>
              <w:rPr>
                <w:sz w:val="17"/>
              </w:rPr>
              <w:t xml:space="preserve">2</w:t>
            </w:r>
          </w:p>
        </w:tc>
        <w:tc>
          <w:tcPr>
            <w:shd w:val="clear" w:color="auto" w:fill="F2F9F8"/>
          </w:tcPr>
          <w:p>
            <w:pPr>
              <w:pStyle w:val="Compact"/>
              <w:spacing w:after="20" w:before="20" w:line="240" w:lineRule="auto"/>
              <w:jc w:val="left"/>
            </w:pPr>
            <w:r>
              <w:rPr>
                <w:sz w:val="17"/>
              </w:rPr>
              <w:t xml:space="preserve">Assiette vérifiée</w:t>
            </w:r>
          </w:p>
        </w:tc>
        <w:tc>
          <w:tcPr>
            <w:shd w:val="clear" w:color="auto" w:fill="F2F9F8"/>
          </w:tcPr>
          <w:p>
            <w:pPr>
              <w:pStyle w:val="Compact"/>
              <w:spacing w:after="20" w:before="20" w:line="240" w:lineRule="auto"/>
              <w:jc w:val="left"/>
            </w:pPr>
            <w:r>
              <w:rPr>
                <w:sz w:val="17"/>
              </w:rPr>
              <w:t xml:space="preserve">Objets et bases vérifiés, sans liquidation encore</w:t>
            </w:r>
          </w:p>
        </w:tc>
      </w:tr>
      <w:tr>
        <w:tc>
          <w:tcPr/>
          <w:p>
            <w:pPr>
              <w:pStyle w:val="Compact"/>
              <w:spacing w:after="20" w:before="20" w:line="240" w:lineRule="auto"/>
              <w:jc w:val="left"/>
            </w:pPr>
            <w:r>
              <w:rPr>
                <w:sz w:val="17"/>
              </w:rPr>
              <w:t xml:space="preserve">3</w:t>
            </w:r>
          </w:p>
        </w:tc>
        <w:tc>
          <w:tcPr/>
          <w:p>
            <w:pPr>
              <w:pStyle w:val="Compact"/>
              <w:spacing w:after="20" w:before="20" w:line="240" w:lineRule="auto"/>
              <w:jc w:val="left"/>
            </w:pPr>
            <w:r>
              <w:rPr>
                <w:sz w:val="17"/>
              </w:rPr>
              <w:t xml:space="preserve">Liquidé (constaté)</w:t>
            </w:r>
          </w:p>
        </w:tc>
        <w:tc>
          <w:tcPr/>
          <w:p>
            <w:pPr>
              <w:pStyle w:val="Compact"/>
              <w:spacing w:after="20" w:before="20" w:line="240" w:lineRule="auto"/>
              <w:jc w:val="left"/>
            </w:pPr>
            <w:r>
              <w:rPr>
                <w:sz w:val="17"/>
              </w:rPr>
              <w:t xml:space="preserve">Obligation calculée sur règle publiée</w:t>
            </w:r>
          </w:p>
        </w:tc>
      </w:tr>
      <w:tr>
        <w:tc>
          <w:tcPr>
            <w:shd w:val="clear" w:color="auto" w:fill="F2F9F8"/>
          </w:tcPr>
          <w:p>
            <w:pPr>
              <w:pStyle w:val="Compact"/>
              <w:spacing w:after="20" w:before="20" w:line="240" w:lineRule="auto"/>
              <w:jc w:val="left"/>
            </w:pPr>
            <w:r>
              <w:rPr>
                <w:sz w:val="17"/>
              </w:rPr>
              <w:t xml:space="preserve">4</w:t>
            </w:r>
          </w:p>
        </w:tc>
        <w:tc>
          <w:tcPr>
            <w:shd w:val="clear" w:color="auto" w:fill="F2F9F8"/>
          </w:tcPr>
          <w:p>
            <w:pPr>
              <w:pStyle w:val="Compact"/>
              <w:spacing w:after="20" w:before="20" w:line="240" w:lineRule="auto"/>
              <w:jc w:val="left"/>
            </w:pPr>
            <w:r>
              <w:rPr>
                <w:sz w:val="17"/>
              </w:rPr>
              <w:t xml:space="preserve">Exigible (échu)</w:t>
            </w:r>
          </w:p>
        </w:tc>
        <w:tc>
          <w:tcPr>
            <w:shd w:val="clear" w:color="auto" w:fill="F2F9F8"/>
          </w:tcPr>
          <w:p>
            <w:pPr>
              <w:pStyle w:val="Compact"/>
              <w:spacing w:after="20" w:before="20" w:line="240" w:lineRule="auto"/>
              <w:jc w:val="left"/>
            </w:pPr>
            <w:r>
              <w:rPr>
                <w:sz w:val="17"/>
              </w:rPr>
              <w:t xml:space="preserve">Obligation dont l’échéance légale est atteinte</w:t>
            </w:r>
          </w:p>
        </w:tc>
      </w:tr>
      <w:tr>
        <w:tc>
          <w:tcPr/>
          <w:p>
            <w:pPr>
              <w:pStyle w:val="Compact"/>
              <w:spacing w:after="20" w:before="20" w:line="240" w:lineRule="auto"/>
              <w:jc w:val="left"/>
            </w:pPr>
            <w:r>
              <w:rPr>
                <w:sz w:val="17"/>
              </w:rPr>
              <w:t xml:space="preserve">5</w:t>
            </w:r>
          </w:p>
        </w:tc>
        <w:tc>
          <w:tcPr/>
          <w:p>
            <w:pPr>
              <w:pStyle w:val="Compact"/>
              <w:spacing w:after="20" w:before="20" w:line="240" w:lineRule="auto"/>
              <w:jc w:val="left"/>
            </w:pPr>
            <w:r>
              <w:rPr>
                <w:sz w:val="17"/>
              </w:rPr>
              <w:t xml:space="preserve">En retard (impayé)</w:t>
            </w:r>
          </w:p>
        </w:tc>
        <w:tc>
          <w:tcPr/>
          <w:p>
            <w:pPr>
              <w:pStyle w:val="Compact"/>
              <w:spacing w:after="20" w:before="20" w:line="240" w:lineRule="auto"/>
              <w:jc w:val="left"/>
            </w:pPr>
            <w:r>
              <w:rPr>
                <w:sz w:val="17"/>
              </w:rPr>
              <w:t xml:space="preserve">Obligation exigible non payée</w:t>
            </w:r>
          </w:p>
        </w:tc>
      </w:tr>
      <w:tr>
        <w:tc>
          <w:tcPr>
            <w:shd w:val="clear" w:color="auto" w:fill="F2F9F8"/>
          </w:tcPr>
          <w:p>
            <w:pPr>
              <w:pStyle w:val="Compact"/>
              <w:spacing w:after="20" w:before="20" w:line="240" w:lineRule="auto"/>
              <w:jc w:val="left"/>
            </w:pPr>
            <w:r>
              <w:rPr>
                <w:sz w:val="17"/>
              </w:rPr>
              <w:t xml:space="preserve">6</w:t>
            </w:r>
          </w:p>
        </w:tc>
        <w:tc>
          <w:tcPr>
            <w:shd w:val="clear" w:color="auto" w:fill="F2F9F8"/>
          </w:tcPr>
          <w:p>
            <w:pPr>
              <w:pStyle w:val="Compact"/>
              <w:spacing w:after="20" w:before="20" w:line="240" w:lineRule="auto"/>
              <w:jc w:val="left"/>
            </w:pPr>
            <w:r>
              <w:rPr>
                <w:sz w:val="17"/>
              </w:rPr>
              <w:t xml:space="preserve">Paiement initié</w:t>
            </w:r>
          </w:p>
        </w:tc>
        <w:tc>
          <w:tcPr>
            <w:shd w:val="clear" w:color="auto" w:fill="F2F9F8"/>
          </w:tcPr>
          <w:p>
            <w:pPr>
              <w:pStyle w:val="Compact"/>
              <w:spacing w:after="20" w:before="20" w:line="240" w:lineRule="auto"/>
              <w:jc w:val="left"/>
            </w:pPr>
            <w:r>
              <w:rPr>
                <w:sz w:val="17"/>
              </w:rPr>
              <w:t xml:space="preserve">Instruction créée par le contribuable</w:t>
            </w:r>
          </w:p>
        </w:tc>
      </w:tr>
      <w:tr>
        <w:tc>
          <w:tcPr/>
          <w:p>
            <w:pPr>
              <w:pStyle w:val="Compact"/>
              <w:spacing w:after="20" w:before="20" w:line="240" w:lineRule="auto"/>
              <w:jc w:val="left"/>
            </w:pPr>
            <w:r>
              <w:rPr>
                <w:sz w:val="17"/>
              </w:rPr>
              <w:t xml:space="preserve">7</w:t>
            </w:r>
          </w:p>
        </w:tc>
        <w:tc>
          <w:tcPr/>
          <w:p>
            <w:pPr>
              <w:pStyle w:val="Compact"/>
              <w:spacing w:after="20" w:before="20" w:line="240" w:lineRule="auto"/>
              <w:jc w:val="left"/>
            </w:pPr>
            <w:r>
              <w:rPr>
                <w:sz w:val="17"/>
              </w:rPr>
              <w:t xml:space="preserve">Paiement confirmé</w:t>
            </w:r>
          </w:p>
        </w:tc>
        <w:tc>
          <w:tcPr/>
          <w:p>
            <w:pPr>
              <w:pStyle w:val="Compact"/>
              <w:spacing w:after="20" w:before="20" w:line="240" w:lineRule="auto"/>
              <w:jc w:val="left"/>
            </w:pPr>
            <w:r>
              <w:rPr>
                <w:sz w:val="17"/>
              </w:rPr>
              <w:t xml:space="preserve">Confirmation serveur à serveur du prestataire</w:t>
            </w:r>
          </w:p>
        </w:tc>
      </w:tr>
      <w:tr>
        <w:tc>
          <w:tcPr>
            <w:shd w:val="clear" w:color="auto" w:fill="F2F9F8"/>
          </w:tcPr>
          <w:p>
            <w:pPr>
              <w:pStyle w:val="Compact"/>
              <w:spacing w:after="20" w:before="20" w:line="240" w:lineRule="auto"/>
              <w:jc w:val="left"/>
            </w:pPr>
            <w:r>
              <w:rPr>
                <w:sz w:val="17"/>
              </w:rPr>
              <w:t xml:space="preserve">8</w:t>
            </w:r>
          </w:p>
        </w:tc>
        <w:tc>
          <w:tcPr>
            <w:shd w:val="clear" w:color="auto" w:fill="F2F9F8"/>
          </w:tcPr>
          <w:p>
            <w:pPr>
              <w:pStyle w:val="Compact"/>
              <w:spacing w:after="20" w:before="20" w:line="240" w:lineRule="auto"/>
              <w:jc w:val="left"/>
            </w:pPr>
            <w:r>
              <w:rPr>
                <w:sz w:val="17"/>
              </w:rPr>
              <w:t xml:space="preserve">Réglé en compte public (settled)</w:t>
            </w:r>
          </w:p>
        </w:tc>
        <w:tc>
          <w:tcPr>
            <w:shd w:val="clear" w:color="auto" w:fill="F2F9F8"/>
          </w:tcPr>
          <w:p>
            <w:pPr>
              <w:pStyle w:val="Compact"/>
              <w:spacing w:after="20" w:before="20" w:line="240" w:lineRule="auto"/>
              <w:jc w:val="left"/>
            </w:pPr>
            <w:r>
              <w:rPr>
                <w:sz w:val="17"/>
              </w:rPr>
              <w:t xml:space="preserve">Fonds arrivés sur le compte public désigné</w:t>
            </w:r>
          </w:p>
        </w:tc>
      </w:tr>
      <w:tr>
        <w:tc>
          <w:tcPr/>
          <w:p>
            <w:pPr>
              <w:pStyle w:val="Compact"/>
              <w:spacing w:after="20" w:before="20" w:line="240" w:lineRule="auto"/>
              <w:jc w:val="left"/>
            </w:pPr>
            <w:r>
              <w:rPr>
                <w:sz w:val="17"/>
              </w:rPr>
              <w:t xml:space="preserve">9</w:t>
            </w:r>
          </w:p>
        </w:tc>
        <w:tc>
          <w:tcPr/>
          <w:p>
            <w:pPr>
              <w:pStyle w:val="Compact"/>
              <w:spacing w:after="20" w:before="20" w:line="240" w:lineRule="auto"/>
              <w:jc w:val="left"/>
            </w:pPr>
            <w:r>
              <w:rPr>
                <w:sz w:val="17"/>
              </w:rPr>
              <w:t xml:space="preserve">Rapproché</w:t>
            </w:r>
          </w:p>
        </w:tc>
        <w:tc>
          <w:tcPr/>
          <w:p>
            <w:pPr>
              <w:pStyle w:val="Compact"/>
              <w:spacing w:after="20" w:before="20" w:line="240" w:lineRule="auto"/>
              <w:jc w:val="left"/>
            </w:pPr>
            <w:r>
              <w:rPr>
                <w:sz w:val="17"/>
              </w:rPr>
              <w:t xml:space="preserve">Appariement obligation–paiement–règlement réalisé</w:t>
            </w:r>
          </w:p>
        </w:tc>
      </w:tr>
      <w:tr>
        <w:tc>
          <w:tcPr>
            <w:shd w:val="clear" w:color="auto" w:fill="F2F9F8"/>
          </w:tcPr>
          <w:p>
            <w:pPr>
              <w:pStyle w:val="Compact"/>
              <w:spacing w:after="20" w:before="20" w:line="240" w:lineRule="auto"/>
              <w:jc w:val="left"/>
            </w:pPr>
            <w:r>
              <w:rPr>
                <w:sz w:val="17"/>
              </w:rPr>
              <w:t xml:space="preserve">10</w:t>
            </w:r>
          </w:p>
        </w:tc>
        <w:tc>
          <w:tcPr>
            <w:shd w:val="clear" w:color="auto" w:fill="F2F9F8"/>
          </w:tcPr>
          <w:p>
            <w:pPr>
              <w:pStyle w:val="Compact"/>
              <w:spacing w:after="20" w:before="20" w:line="240" w:lineRule="auto"/>
              <w:jc w:val="left"/>
            </w:pPr>
            <w:r>
              <w:rPr>
                <w:sz w:val="17"/>
              </w:rPr>
              <w:t xml:space="preserve">Comptabilisé</w:t>
            </w:r>
          </w:p>
        </w:tc>
        <w:tc>
          <w:tcPr>
            <w:shd w:val="clear" w:color="auto" w:fill="F2F9F8"/>
          </w:tcPr>
          <w:p>
            <w:pPr>
              <w:pStyle w:val="Compact"/>
              <w:spacing w:after="20" w:before="20" w:line="240" w:lineRule="auto"/>
              <w:jc w:val="left"/>
            </w:pPr>
            <w:r>
              <w:rPr>
                <w:sz w:val="17"/>
              </w:rPr>
              <w:t xml:space="preserve">Écriture imputée selon la nomenclature publique</w:t>
            </w:r>
          </w:p>
        </w:tc>
      </w:tr>
      <w:tr>
        <w:tc>
          <w:tcPr/>
          <w:p>
            <w:pPr>
              <w:pStyle w:val="Compact"/>
              <w:spacing w:after="20" w:before="20" w:line="240" w:lineRule="auto"/>
              <w:jc w:val="left"/>
            </w:pPr>
            <w:r>
              <w:rPr>
                <w:sz w:val="17"/>
              </w:rPr>
              <w:t xml:space="preserve">11</w:t>
            </w:r>
          </w:p>
        </w:tc>
        <w:tc>
          <w:tcPr/>
          <w:p>
            <w:pPr>
              <w:pStyle w:val="Compact"/>
              <w:spacing w:after="20" w:before="20" w:line="240" w:lineRule="auto"/>
              <w:jc w:val="left"/>
            </w:pPr>
            <w:r>
              <w:rPr>
                <w:sz w:val="17"/>
              </w:rPr>
              <w:t xml:space="preserve">Disponible pour affectation</w:t>
            </w:r>
          </w:p>
        </w:tc>
        <w:tc>
          <w:tcPr/>
          <w:p>
            <w:pPr>
              <w:pStyle w:val="Compact"/>
              <w:spacing w:after="20" w:before="20" w:line="240" w:lineRule="auto"/>
              <w:jc w:val="left"/>
            </w:pPr>
            <w:r>
              <w:rPr>
                <w:sz w:val="17"/>
              </w:rPr>
              <w:t xml:space="preserve">Fonds disponibles selon le budget voté et les règles de trésorerie</w:t>
            </w:r>
          </w:p>
        </w:tc>
      </w:tr>
    </w:tbl>
    <w:p>
      <w:pPr>
        <w:pStyle w:val="BodyText"/>
      </w:pPr>
      <w:r>
        <w:t xml:space="preserve">La consultation détaillée (drill-down) est possible par commune, recette, période, canal et administration, sous contrôle d’accès.</w:t>
      </w:r>
    </w:p>
    <w:bookmarkEnd w:id="222"/>
    <w:bookmarkStart w:id="223" w:name="Xe3026c3e457abb3ef1644e00e5e856af9164c6a"/>
    <w:p>
      <w:pPr>
        <w:pStyle w:val="Heading3"/>
      </w:pPr>
      <w:r>
        <w:t xml:space="preserve">Questions de décision du tableau exécutif</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Indicateur</w:t>
            </w:r>
          </w:p>
        </w:tc>
        <w:tc>
          <w:tcPr>
            <w:shd w:val="clear" w:color="auto" w:fill="1BA996"/>
          </w:tcPr>
          <w:p>
            <w:pPr>
              <w:pStyle w:val="Compact"/>
              <w:spacing w:after="20" w:before="20" w:line="240" w:lineRule="auto"/>
              <w:jc w:val="left"/>
            </w:pPr>
            <w:r>
              <w:rPr>
                <w:b/>
                <w:color w:val="FFFFFF"/>
                <w:sz w:val="17"/>
              </w:rPr>
              <w:t xml:space="preserve">Question de décision</w:t>
            </w:r>
          </w:p>
        </w:tc>
      </w:tr>
      <w:tr>
        <w:tc>
          <w:tcPr/>
          <w:p>
            <w:pPr>
              <w:pStyle w:val="Compact"/>
              <w:spacing w:after="20" w:before="20" w:line="240" w:lineRule="auto"/>
              <w:jc w:val="left"/>
            </w:pPr>
            <w:r>
              <w:rPr>
                <w:sz w:val="17"/>
              </w:rPr>
              <w:t xml:space="preserve">Potentiel fiscal estimé</w:t>
            </w:r>
          </w:p>
        </w:tc>
        <w:tc>
          <w:tcPr/>
          <w:p>
            <w:pPr>
              <w:pStyle w:val="Compact"/>
              <w:spacing w:after="20" w:before="20" w:line="240" w:lineRule="auto"/>
              <w:jc w:val="left"/>
            </w:pPr>
            <w:r>
              <w:rPr>
                <w:sz w:val="17"/>
              </w:rPr>
              <w:t xml:space="preserve">Quelle assiette reste invisible ou non qualifiée ?</w:t>
            </w:r>
          </w:p>
        </w:tc>
      </w:tr>
      <w:tr>
        <w:tc>
          <w:tcPr>
            <w:shd w:val="clear" w:color="auto" w:fill="F2F9F8"/>
          </w:tcPr>
          <w:p>
            <w:pPr>
              <w:pStyle w:val="Compact"/>
              <w:spacing w:after="20" w:before="20" w:line="240" w:lineRule="auto"/>
              <w:jc w:val="left"/>
            </w:pPr>
            <w:r>
              <w:rPr>
                <w:sz w:val="17"/>
              </w:rPr>
              <w:t xml:space="preserve">Montant légalement exigible</w:t>
            </w:r>
          </w:p>
        </w:tc>
        <w:tc>
          <w:tcPr>
            <w:shd w:val="clear" w:color="auto" w:fill="F2F9F8"/>
          </w:tcPr>
          <w:p>
            <w:pPr>
              <w:pStyle w:val="Compact"/>
              <w:spacing w:after="20" w:before="20" w:line="240" w:lineRule="auto"/>
              <w:jc w:val="left"/>
            </w:pPr>
            <w:r>
              <w:rPr>
                <w:sz w:val="17"/>
              </w:rPr>
              <w:t xml:space="preserve">Quelles créances sont arrivées à échéance ?</w:t>
            </w:r>
          </w:p>
        </w:tc>
      </w:tr>
      <w:tr>
        <w:tc>
          <w:tcPr/>
          <w:p>
            <w:pPr>
              <w:pStyle w:val="Compact"/>
              <w:spacing w:after="20" w:before="20" w:line="240" w:lineRule="auto"/>
              <w:jc w:val="left"/>
            </w:pPr>
            <w:r>
              <w:rPr>
                <w:sz w:val="17"/>
              </w:rPr>
              <w:t xml:space="preserve">Encaissement confirmé et dénoué</w:t>
            </w:r>
          </w:p>
        </w:tc>
        <w:tc>
          <w:tcPr/>
          <w:p>
            <w:pPr>
              <w:pStyle w:val="Compact"/>
              <w:spacing w:after="20" w:before="20" w:line="240" w:lineRule="auto"/>
              <w:jc w:val="left"/>
            </w:pPr>
            <w:r>
              <w:rPr>
                <w:sz w:val="17"/>
              </w:rPr>
              <w:t xml:space="preserve">Quel argent est effectivement arrivé aux comptes publics ?</w:t>
            </w:r>
          </w:p>
        </w:tc>
      </w:tr>
      <w:tr>
        <w:tc>
          <w:tcPr>
            <w:shd w:val="clear" w:color="auto" w:fill="F2F9F8"/>
          </w:tcPr>
          <w:p>
            <w:pPr>
              <w:pStyle w:val="Compact"/>
              <w:spacing w:after="20" w:before="20" w:line="240" w:lineRule="auto"/>
              <w:jc w:val="left"/>
            </w:pPr>
            <w:r>
              <w:rPr>
                <w:sz w:val="17"/>
              </w:rPr>
              <w:t xml:space="preserve">Écart de rapprochement</w:t>
            </w:r>
          </w:p>
        </w:tc>
        <w:tc>
          <w:tcPr>
            <w:shd w:val="clear" w:color="auto" w:fill="F2F9F8"/>
          </w:tcPr>
          <w:p>
            <w:pPr>
              <w:pStyle w:val="Compact"/>
              <w:spacing w:after="20" w:before="20" w:line="240" w:lineRule="auto"/>
              <w:jc w:val="left"/>
            </w:pPr>
            <w:r>
              <w:rPr>
                <w:sz w:val="17"/>
              </w:rPr>
              <w:t xml:space="preserve">Quels paiements exigent une investigation ?</w:t>
            </w:r>
          </w:p>
        </w:tc>
      </w:tr>
      <w:tr>
        <w:tc>
          <w:tcPr/>
          <w:p>
            <w:pPr>
              <w:pStyle w:val="Compact"/>
              <w:spacing w:after="20" w:before="20" w:line="240" w:lineRule="auto"/>
              <w:jc w:val="left"/>
            </w:pPr>
            <w:r>
              <w:rPr>
                <w:sz w:val="17"/>
              </w:rPr>
              <w:t xml:space="preserve">Couverture géofiscale</w:t>
            </w:r>
          </w:p>
        </w:tc>
        <w:tc>
          <w:tcPr/>
          <w:p>
            <w:pPr>
              <w:pStyle w:val="Compact"/>
              <w:spacing w:after="20" w:before="20" w:line="240" w:lineRule="auto"/>
              <w:jc w:val="left"/>
            </w:pPr>
            <w:r>
              <w:rPr>
                <w:sz w:val="17"/>
              </w:rPr>
              <w:t xml:space="preserve">Quelles zones sont insuffisamment recensées ?</w:t>
            </w:r>
          </w:p>
        </w:tc>
      </w:tr>
      <w:tr>
        <w:tc>
          <w:tcPr>
            <w:shd w:val="clear" w:color="auto" w:fill="F2F9F8"/>
          </w:tcPr>
          <w:p>
            <w:pPr>
              <w:pStyle w:val="Compact"/>
              <w:spacing w:after="20" w:before="20" w:line="240" w:lineRule="auto"/>
              <w:jc w:val="left"/>
            </w:pPr>
            <w:r>
              <w:rPr>
                <w:sz w:val="17"/>
              </w:rPr>
              <w:t xml:space="preserve">Conformité volontaire</w:t>
            </w:r>
          </w:p>
        </w:tc>
        <w:tc>
          <w:tcPr>
            <w:shd w:val="clear" w:color="auto" w:fill="F2F9F8"/>
          </w:tcPr>
          <w:p>
            <w:pPr>
              <w:pStyle w:val="Compact"/>
              <w:spacing w:after="20" w:before="20" w:line="240" w:lineRule="auto"/>
              <w:jc w:val="left"/>
            </w:pPr>
            <w:r>
              <w:rPr>
                <w:sz w:val="17"/>
              </w:rPr>
              <w:t xml:space="preserve">Les contribuables régularisent-ils sans coercition ?</w:t>
            </w:r>
          </w:p>
        </w:tc>
      </w:tr>
      <w:tr>
        <w:tc>
          <w:tcPr/>
          <w:p>
            <w:pPr>
              <w:pStyle w:val="Compact"/>
              <w:spacing w:after="20" w:before="20" w:line="240" w:lineRule="auto"/>
              <w:jc w:val="left"/>
            </w:pPr>
            <w:r>
              <w:rPr>
                <w:sz w:val="17"/>
              </w:rPr>
              <w:t xml:space="preserve">Déperdition évitée ou récupérée</w:t>
            </w:r>
          </w:p>
        </w:tc>
        <w:tc>
          <w:tcPr/>
          <w:p>
            <w:pPr>
              <w:pStyle w:val="Compact"/>
              <w:spacing w:after="20" w:before="20" w:line="240" w:lineRule="auto"/>
              <w:jc w:val="left"/>
            </w:pPr>
            <w:r>
              <w:rPr>
                <w:sz w:val="17"/>
              </w:rPr>
              <w:t xml:space="preserve">Quels contrôles créent un gain mesurable ?</w:t>
            </w:r>
          </w:p>
        </w:tc>
      </w:tr>
      <w:tr>
        <w:tc>
          <w:tcPr>
            <w:shd w:val="clear" w:color="auto" w:fill="F2F9F8"/>
          </w:tcPr>
          <w:p>
            <w:pPr>
              <w:pStyle w:val="Compact"/>
              <w:spacing w:after="20" w:before="20" w:line="240" w:lineRule="auto"/>
              <w:jc w:val="left"/>
            </w:pPr>
            <w:r>
              <w:rPr>
                <w:sz w:val="17"/>
              </w:rPr>
              <w:t xml:space="preserve">Coût de collecte</w:t>
            </w:r>
          </w:p>
        </w:tc>
        <w:tc>
          <w:tcPr>
            <w:shd w:val="clear" w:color="auto" w:fill="F2F9F8"/>
          </w:tcPr>
          <w:p>
            <w:pPr>
              <w:pStyle w:val="Compact"/>
              <w:spacing w:after="20" w:before="20" w:line="240" w:lineRule="auto"/>
              <w:jc w:val="left"/>
            </w:pPr>
            <w:r>
              <w:rPr>
                <w:sz w:val="17"/>
              </w:rPr>
              <w:t xml:space="preserve">Combien coûte chaque franc net mobilisé ?</w:t>
            </w:r>
          </w:p>
        </w:tc>
      </w:tr>
    </w:tbl>
    <w:p>
      <w:pPr>
        <w:pStyle w:val="BodyText"/>
      </w:pPr>
      <w:r>
        <w:t xml:space="preserve">La salle de contrôle financière surveille règlements, anomalies, modifications de paramètres, comptes privilégiés et alertes critiques, sans pouvoir de correction silencieuse ; chaque incident a un propriétaire, une sévérité, un délai et une preuve de clôture. La carte du Gouverneur se filtre par commune, quartier, catégorie, activité, situation fiscale, période, administration et type de recette.</w:t>
      </w:r>
    </w:p>
    <w:bookmarkEnd w:id="223"/>
    <w:bookmarkEnd w:id="224"/>
    <w:bookmarkStart w:id="225" w:name="autres-tableaux-de-bord"/>
    <w:p>
      <w:pPr>
        <w:pStyle w:val="Heading2"/>
      </w:pPr>
      <w:r>
        <w:t xml:space="preserve">26.2 Autres tableaux de bord</w:t>
      </w:r>
    </w:p>
    <w:p>
      <w:pPr>
        <w:pStyle w:val="FirstParagraph"/>
      </w:pPr>
      <w:r>
        <w:t xml:space="preserve">Directeur de cabinet : coordination et suivi des instructions.</w:t>
      </w:r>
      <w:r>
        <w:t xml:space="preserve"> </w:t>
      </w:r>
      <w:r>
        <w:t xml:space="preserve">Secrétaire du Gouvernement : décisions et mise en œuvre. Ministre :</w:t>
      </w:r>
      <w:r>
        <w:t xml:space="preserve"> </w:t>
      </w:r>
      <w:r>
        <w:t xml:space="preserve">périmètre légal propre. Directeurs de régie : assiette, recouvrement,</w:t>
      </w:r>
      <w:r>
        <w:t xml:space="preserve"> </w:t>
      </w:r>
      <w:r>
        <w:t xml:space="preserve">contentieux, performance des agents. Trésorerie : encaissements, écarts,</w:t>
      </w:r>
      <w:r>
        <w:t xml:space="preserve"> </w:t>
      </w:r>
      <w:r>
        <w:t xml:space="preserve">files d'exception. Juristes : état du référentiel, règles expirant,</w:t>
      </w:r>
      <w:r>
        <w:t xml:space="preserve"> </w:t>
      </w:r>
      <w:r>
        <w:t xml:space="preserve">conflits. Superviseurs : charge, productivité, qualité. Auditeurs :</w:t>
      </w:r>
      <w:r>
        <w:t xml:space="preserve"> </w:t>
      </w:r>
      <w:r>
        <w:t xml:space="preserve">pistes, échantillons, extractions. Enquêteurs : dossiers et liens.</w:t>
      </w:r>
      <w:r>
        <w:t xml:space="preserve"> </w:t>
      </w:r>
      <w:r>
        <w:t xml:space="preserve">Agents : missions et résultats. Contribuables : situation personnelle.</w:t>
      </w:r>
      <w:r>
        <w:t xml:space="preserve"> </w:t>
      </w:r>
      <w:r>
        <w:t xml:space="preserve">Administrateurs : santé technique. Public : recettes agrégées et</w:t>
      </w:r>
      <w:r>
        <w:t xml:space="preserve"> </w:t>
      </w:r>
      <w:r>
        <w:t xml:space="preserve">réalisations, sans aucune donnée personnelle.</w:t>
      </w:r>
    </w:p>
    <w:bookmarkEnd w:id="225"/>
    <w:bookmarkEnd w:id="226"/>
    <w:bookmarkStart w:id="230" w:name="X4aef5093910a2055244cca3a1961d2dd0246d2c"/>
    <w:p>
      <w:pPr>
        <w:pStyle w:val="Heading1"/>
      </w:pPr>
      <w:r>
        <w:t xml:space="preserve">27. Affectation des recettes et planification de l'investissement public</w:t>
      </w:r>
    </w:p>
    <w:p>
      <w:pPr>
        <w:pStyle w:val="FirstParagraph"/>
      </w:pPr>
      <w:r>
        <w:t xml:space="preserve">Le module sépare rigoureusement la collecte, la comptabilisation, la</w:t>
      </w:r>
      <w:r>
        <w:t xml:space="preserve"> </w:t>
      </w:r>
      <w:r>
        <w:t xml:space="preserve">répartition légale, la gestion de trésorerie, l'ouverture de crédits</w:t>
      </w:r>
      <w:r>
        <w:t xml:space="preserve"> </w:t>
      </w:r>
      <w:r>
        <w:t xml:space="preserve">budgétaires, l'autorisation de dépense, la planification</w:t>
      </w:r>
      <w:r>
        <w:t xml:space="preserve"> </w:t>
      </w:r>
      <w:r>
        <w:t xml:space="preserve">d'investissement et la dépense effective. Aucune recette ne peut être</w:t>
      </w:r>
      <w:r>
        <w:t xml:space="preserve"> </w:t>
      </w:r>
      <w:r>
        <w:t xml:space="preserve">répartie discrétionnairement entre le Gouvernement provincial, les</w:t>
      </w:r>
      <w:r>
        <w:t xml:space="preserve"> </w:t>
      </w:r>
      <w:r>
        <w:t xml:space="preserve">ministères, les régies, les agents, les administrateurs ou un partenaire</w:t>
      </w:r>
      <w:r>
        <w:t xml:space="preserve"> </w:t>
      </w:r>
      <w:r>
        <w:t xml:space="preserve">privé.</w:t>
      </w:r>
    </w:p>
    <w:bookmarkStart w:id="227" w:name="règles-daffectation"/>
    <w:p>
      <w:pPr>
        <w:pStyle w:val="Heading2"/>
      </w:pPr>
      <w:r>
        <w:t xml:space="preserve">27.1 Règles d'affectation</w:t>
      </w:r>
    </w:p>
    <w:p>
      <w:pPr>
        <w:numPr>
          <w:ilvl w:val="0"/>
          <w:numId w:val="1063"/>
        </w:numPr>
      </w:pPr>
      <w:r>
        <w:t xml:space="preserve">Toute affectation suit la loi applicable, le budget provincial voté,</w:t>
      </w:r>
      <w:r>
        <w:t xml:space="preserve"> </w:t>
      </w:r>
      <w:r>
        <w:t xml:space="preserve">les règles de trésorerie et la comptabilité publique.</w:t>
      </w:r>
    </w:p>
    <w:p>
      <w:pPr>
        <w:numPr>
          <w:ilvl w:val="0"/>
          <w:numId w:val="1063"/>
        </w:numPr>
      </w:pPr>
      <w:r>
        <w:t xml:space="preserve">Les clés de répartition légales entre province et entités</w:t>
      </w:r>
      <w:r>
        <w:t xml:space="preserve"> </w:t>
      </w:r>
      <w:r>
        <w:t xml:space="preserve">territoriales décentralisées sont paramétrées et versionnées.</w:t>
      </w:r>
    </w:p>
    <w:p>
      <w:pPr>
        <w:pStyle w:val="DefinitionTerm"/>
        <w:numPr>
          <w:ilvl w:val="0"/>
          <w:numId w:val="1063"/>
        </w:numPr>
      </w:pPr>
      <w:r>
        <w:t xml:space="preserve">Les incitations de performance éventuellement autorisées comportent</w:t>
      </w:r>
    </w:p>
    <w:p>
      <w:pPr>
        <w:pStyle w:val="Compact"/>
        <w:numPr>
          <w:ilvl w:val="0"/>
          <w:numId w:val="1000"/>
        </w:numPr>
      </w:pPr>
      <w:r>
        <w:t xml:space="preserve">base légale, formule approuvée, conditions, plafond, contrôle</w:t>
      </w:r>
      <w:r>
        <w:t xml:space="preserve"> </w:t>
      </w:r>
      <w:r>
        <w:t xml:space="preserve">anti-optimisation, traitement fiscal, circuit d'approbation et</w:t>
      </w:r>
      <w:r>
        <w:t xml:space="preserve"> </w:t>
      </w:r>
      <w:r>
        <w:t xml:space="preserve">comptabilisation.</w:t>
      </w:r>
    </w:p>
    <w:p>
      <w:pPr>
        <w:numPr>
          <w:ilvl w:val="0"/>
          <w:numId w:val="1063"/>
        </w:numPr>
      </w:pPr>
      <w:r>
        <w:t xml:space="preserve">La part de Groupe Nseya, investisseur et opérateur de la plateforme, est exclusivement celle fixée par la clé de répartition du § 37A, autorisée par acte juridique, calculée sur des recettes rapprochées et versée par la banque de règlement ; aucune autre part n’est perçue.</w:t>
      </w:r>
    </w:p>
    <w:p>
      <w:pPr>
        <w:pStyle w:val="FirstParagraph"/>
      </w:pPr>
      <w:r>
        <w:t xml:space="preserve">La clé de répartition du § 37A n’est pas une répartition discrétionnaire : elle est fixée par acte juridique, versionnée comme une règle du registre, appliquée automatiquement à des recettes rapprochées et auditable de bout en bout.</w:t>
      </w:r>
    </w:p>
    <w:bookmarkEnd w:id="227"/>
    <w:bookmarkStart w:id="228" w:name="recommandation-demploi-des-fonds"/>
    <w:p>
      <w:pPr>
        <w:pStyle w:val="Heading2"/>
      </w:pPr>
      <w:r>
        <w:t xml:space="preserve">27.2 Recommandation d'emploi des fonds</w:t>
      </w:r>
    </w:p>
    <w:p>
      <w:pPr>
        <w:pStyle w:val="FirstParagraph"/>
      </w:pPr>
      <w:r>
        <w:t xml:space="preserve">Le module présente à l'autorité ce que les fonds rapprochés</w:t>
      </w:r>
      <w:r>
        <w:t xml:space="preserve"> </w:t>
      </w:r>
      <w:r>
        <w:t xml:space="preserve">permettraient de financer : voirie, drainage, assainissement, gestion</w:t>
      </w:r>
      <w:r>
        <w:t xml:space="preserve"> </w:t>
      </w:r>
      <w:r>
        <w:t xml:space="preserve">des déchets, éclairage public, transport, modernisation des marchés,</w:t>
      </w:r>
      <w:r>
        <w:t xml:space="preserve"> </w:t>
      </w:r>
      <w:r>
        <w:t xml:space="preserve">écoles, centres de santé, services numériques, protection contre les</w:t>
      </w:r>
      <w:r>
        <w:t xml:space="preserve"> </w:t>
      </w:r>
      <w:r>
        <w:t xml:space="preserve">inondations, programmes d'emploi, sécurité publique. Chaque scénario</w:t>
      </w:r>
      <w:r>
        <w:t xml:space="preserve"> </w:t>
      </w:r>
      <w:r>
        <w:t xml:space="preserve">indique : montant disponible, source légale des fonds, affectation</w:t>
      </w:r>
      <w:r>
        <w:t xml:space="preserve"> </w:t>
      </w:r>
      <w:r>
        <w:t xml:space="preserve">proposée, bénéficiaires, impact géographique, résultat attendu, maturité</w:t>
      </w:r>
      <w:r>
        <w:t xml:space="preserve"> </w:t>
      </w:r>
      <w:r>
        <w:t xml:space="preserve">du projet, coût récurrent, exigence de passation de marché, risques et</w:t>
      </w:r>
      <w:r>
        <w:t xml:space="preserve"> </w:t>
      </w:r>
      <w:r>
        <w:t xml:space="preserve">autorité d'approbation.</w:t>
      </w:r>
    </w:p>
    <w:p>
      <w:pPr>
        <w:pStyle w:val="BlockText"/>
      </w:pPr>
      <w:r>
        <w:rPr>
          <w:b/>
          <w:bCs/>
        </w:rPr>
        <w:t xml:space="preserve">Limite de l'IA d'affectation.</w:t>
      </w:r>
      <w:r>
        <w:t xml:space="preserve"> </w:t>
      </w:r>
      <w:r>
        <w:t xml:space="preserve">L'agent d'affectation propose</w:t>
      </w:r>
      <w:r>
        <w:t xml:space="preserve"> </w:t>
      </w:r>
      <w:r>
        <w:t xml:space="preserve">des scénarios classés ; il n'approuve aucune dépense et ne déplace</w:t>
      </w:r>
      <w:r>
        <w:t xml:space="preserve"> </w:t>
      </w:r>
      <w:r>
        <w:t xml:space="preserve">aucun franc. La décision appartient aux autorités budgétaires, selon</w:t>
      </w:r>
      <w:r>
        <w:t xml:space="preserve"> </w:t>
      </w:r>
      <w:r>
        <w:t xml:space="preserve">les procédures publiques.</w:t>
      </w:r>
    </w:p>
    <w:bookmarkEnd w:id="228"/>
    <w:bookmarkStart w:id="229" w:name="transparence"/>
    <w:p>
      <w:pPr>
        <w:pStyle w:val="Heading2"/>
      </w:pPr>
      <w:r>
        <w:t xml:space="preserve">27.3 Transparence</w:t>
      </w:r>
    </w:p>
    <w:p>
      <w:pPr>
        <w:pStyle w:val="FirstParagraph"/>
      </w:pPr>
      <w:r>
        <w:t xml:space="preserve">Un tableau public présente, par commune, les recettes agrégées et les</w:t>
      </w:r>
      <w:r>
        <w:t xml:space="preserve"> </w:t>
      </w:r>
      <w:r>
        <w:t xml:space="preserve">réalisations financées, sans aucune donnée individuelle. Le lien visible</w:t>
      </w:r>
      <w:r>
        <w:t xml:space="preserve"> </w:t>
      </w:r>
      <w:r>
        <w:t xml:space="preserve">entre impôt payé et service rendu est le principal levier durable de</w:t>
      </w:r>
      <w:r>
        <w:t xml:space="preserve"> </w:t>
      </w:r>
      <w:r>
        <w:t xml:space="preserve">civisme fiscal.</w:t>
      </w:r>
    </w:p>
    <w:p>
      <w:pPr>
        <w:pStyle w:val="BodyText"/>
      </w:pPr>
      <w:r>
        <w:t xml:space="preserve">Séquence complète à respecter : collecte → comptabilité → partage légal → Trésor → appropriation budgétaire → autorisation de dépense → engagement → planification → dépense réelle. L’IA peut comparer des scénarios (routes, drainage, déchets, éclairage, mobilité, marchés, santé, éducation, numérique, inondations, emploi), mais aucun transfert ni engagement n’est automatique.</w:t>
      </w:r>
    </w:p>
    <w:bookmarkEnd w:id="229"/>
    <w:bookmarkEnd w:id="230"/>
    <w:bookmarkStart w:id="237" w:name="Xf31cd15f3a7b787d8ef284303343aef656b1b96"/>
    <w:p>
      <w:pPr>
        <w:pStyle w:val="Heading1"/>
      </w:pPr>
      <w:r>
        <w:t xml:space="preserve">27A. Contrôle de la dépense publique et des comptes publics (module CALCU)</w:t>
      </w:r>
    </w:p>
    <w:p>
      <w:pPr>
        <w:pStyle w:val="FirstParagraph"/>
      </w:pPr>
      <w:r>
        <w:t xml:space="preserve">MOSOLO trace le franc public de son fait générateur jusqu’au budget. CALCU (</w:t>
      </w:r>
      <w:r>
        <w:rPr>
          <w:i/>
          <w:iCs/>
        </w:rPr>
        <w:t xml:space="preserve">Central Automated Ledger for Control &amp; Understanding</w:t>
      </w:r>
      <w:r>
        <w:t xml:space="preserve">) prolonge cette traçabilité jusqu’à la dépense : il transforme le contrôle financier public d’un système réactif et manuel en un système</w:t>
      </w:r>
      <w:r>
        <w:t xml:space="preserve"> </w:t>
      </w:r>
      <w:r>
        <w:rPr>
          <w:b/>
          <w:bCs/>
        </w:rPr>
        <w:t xml:space="preserve">préventif, numérique et fondé sur la donnée</w:t>
      </w:r>
      <w:r>
        <w:t xml:space="preserve">.</w:t>
      </w:r>
      <w:r>
        <w:t xml:space="preserve"> </w:t>
      </w:r>
      <w:r>
        <w:rPr>
          <w:i/>
          <w:iCs/>
        </w:rPr>
        <w:t xml:space="preserve">Chaque franc public devient traçable, justifiable et contrôlable en temps réel.</w:t>
      </w:r>
      <w:r>
        <w:t xml:space="preserve"> </w:t>
      </w:r>
      <w:r>
        <w:t xml:space="preserve">Le dossier source désigne l’organe de contrôle bénéficiaire sous le nom « Hôtel de Ville » ; au niveau provincial, il s’agit de l’organe de contrôle et d’inspection compétent de la Ville, et, en cas d’extension nationale, de l’Inspection générale des finances en coordination avec le Ministère des Finances et la Banque Centrale du Congo.</w:t>
      </w:r>
    </w:p>
    <w:bookmarkStart w:id="231" w:name="a.1-problèmes-et-objectifs"/>
    <w:p>
      <w:pPr>
        <w:pStyle w:val="Heading2"/>
      </w:pPr>
      <w:r>
        <w:t xml:space="preserve">27A.1 Problèmes et objectifs</w:t>
      </w:r>
    </w:p>
    <w:p>
      <w:pPr>
        <w:pStyle w:val="FirstParagraph"/>
      </w:pPr>
      <w:r>
        <w:t xml:space="preserve">Problèmes : comptes bancaires publics non déclarés ; absence de traçabilité en temps réel ; dépendance au papier ; contrôle souvent a posteriori, sans effet préventif. Objectifs : enregistrer un nombre illimité d’entités publiques et de comptes ; tracer chaque sortie de fonds en temps réel ; lier toute dépense à des preuves numériques obligatoires ; détecter automatiquement les anomalies ; renforcer la transparence et la redevabilité.</w:t>
      </w:r>
    </w:p>
    <w:p>
      <w:pPr>
        <w:pStyle w:val="BodyText"/>
      </w:pPr>
      <w:r>
        <w:t xml:space="preserve">Champ d’application : entreprises et établissements publics, ministères, province, entités territoriales décentralisées, projets financés par l’État ou par des partenaires.</w:t>
      </w:r>
    </w:p>
    <w:bookmarkEnd w:id="231"/>
    <w:bookmarkStart w:id="232" w:name="a.2-registre-des-comptes-publics"/>
    <w:p>
      <w:pPr>
        <w:pStyle w:val="Heading2"/>
      </w:pPr>
      <w:r>
        <w:t xml:space="preserve">27A.2 Registre des comptes publics</w:t>
      </w:r>
    </w:p>
    <w:p>
      <w:pPr>
        <w:pStyle w:val="Compact"/>
        <w:numPr>
          <w:ilvl w:val="0"/>
          <w:numId w:val="1064"/>
        </w:numPr>
      </w:pPr>
      <w:r>
        <w:t xml:space="preserve">Chaque entité dispose d’un espace et d’un nombre illimité de comptes, classés par type : fonctionnement, investissement, projet, spécial.</w:t>
      </w:r>
    </w:p>
    <w:p>
      <w:pPr>
        <w:pStyle w:val="Compact"/>
        <w:numPr>
          <w:ilvl w:val="0"/>
          <w:numId w:val="1064"/>
        </w:numPr>
      </w:pPr>
      <w:r>
        <w:t xml:space="preserve">Déclaration obligatoire : banque, numéro de compte, devise, type, responsables et signataires autorisés, validée conjointement par les Finances et l’organe de contrôle.</w:t>
      </w:r>
    </w:p>
    <w:p>
      <w:pPr>
        <w:pStyle w:val="Compact"/>
        <w:numPr>
          <w:ilvl w:val="0"/>
          <w:numId w:val="1064"/>
        </w:numPr>
      </w:pPr>
      <w:r>
        <w:rPr>
          <w:b/>
          <w:bCs/>
        </w:rPr>
        <w:t xml:space="preserve">Tout compte non enregistré est réputé irrégulier</w:t>
      </w:r>
      <w:r>
        <w:t xml:space="preserve"> </w:t>
      </w:r>
      <w:r>
        <w:t xml:space="preserve">; une fois validé, le compte est surveillé en permanence.</w:t>
      </w:r>
    </w:p>
    <w:bookmarkEnd w:id="232"/>
    <w:bookmarkStart w:id="233" w:name="a.3-interconnexion-bancaire"/>
    <w:p>
      <w:pPr>
        <w:pStyle w:val="Heading2"/>
      </w:pPr>
      <w:r>
        <w:t xml:space="preserve">27A.3 Interconnexion bancaire</w:t>
      </w:r>
    </w:p>
    <w:p>
      <w:pPr>
        <w:pStyle w:val="FirstParagraph"/>
      </w:pPr>
      <w:r>
        <w:t xml:space="preserve">Les banques transmettent, par une passerelle sécurisée, les transactions des comptes déclarés : montant, date et heure, bénéficiaire, référence, compte émetteur. La passerelle standardise et sécurise les flux mais</w:t>
      </w:r>
      <w:r>
        <w:t xml:space="preserve"> </w:t>
      </w:r>
      <w:r>
        <w:rPr>
          <w:b/>
          <w:bCs/>
        </w:rPr>
        <w:t xml:space="preserve">n’effectue aucune analyse</w:t>
      </w:r>
      <w:r>
        <w:t xml:space="preserve">. Le système</w:t>
      </w:r>
      <w:r>
        <w:t xml:space="preserve"> </w:t>
      </w:r>
      <w:r>
        <w:rPr>
          <w:b/>
          <w:bCs/>
        </w:rPr>
        <w:t xml:space="preserve">ne bloque pas les paiements</w:t>
      </w:r>
      <w:r>
        <w:t xml:space="preserve">, ne remplace pas les banques et n’interfère pas avec le secret bancaire : il rend chaque transaction traçable instantanément.</w:t>
      </w:r>
    </w:p>
    <w:bookmarkEnd w:id="233"/>
    <w:bookmarkStart w:id="234" w:name="X900dac187f1d2f15279e6f0b25aa988e3ecba6f"/>
    <w:p>
      <w:pPr>
        <w:pStyle w:val="Heading2"/>
      </w:pPr>
      <w:r>
        <w:t xml:space="preserve">27A.4 Justificatifs numériques et moteur de correspondance</w:t>
      </w:r>
    </w:p>
    <w:p>
      <w:pPr>
        <w:pStyle w:val="Compact"/>
        <w:numPr>
          <w:ilvl w:val="0"/>
          <w:numId w:val="1065"/>
        </w:numPr>
      </w:pPr>
      <w:r>
        <w:t xml:space="preserve">Avant paiement, l’entité enregistre ses pièces : devis, bon de commande, engagement budgétaire, contrat, fournisseur enregistré ; chaque opération reçoit un identifiant unique. Les pièces (photo ou scan) sont horodatées, géolocalisées et liées à la transaction.</w:t>
      </w:r>
    </w:p>
    <w:p>
      <w:pPr>
        <w:pStyle w:val="Compact"/>
        <w:numPr>
          <w:ilvl w:val="0"/>
          <w:numId w:val="1065"/>
        </w:numPr>
      </w:pPr>
      <w:r>
        <w:t xml:space="preserve">À chaque transaction, le moteur vérifie : compte enregistré ou non (sinon signalement administratif) ; existence d’un devis, d’un bon de commande, d’un engagement et d’un fournisseur enregistré ; cohérence de montant et de date ; conformité budgétaire.</w:t>
      </w:r>
    </w:p>
    <w:p>
      <w:pPr>
        <w:pStyle w:val="Compact"/>
        <w:numPr>
          <w:ilvl w:val="0"/>
          <w:numId w:val="1065"/>
        </w:numPr>
      </w:pPr>
      <w:r>
        <w:t xml:space="preserve">Il détecte surfacturation, fractionnement, paiements répétés et dépenses hors objet, et attribue un score :</w:t>
      </w:r>
      <w:r>
        <w:t xml:space="preserve"> </w:t>
      </w:r>
      <w:r>
        <w:rPr>
          <w:b/>
          <w:bCs/>
        </w:rPr>
        <w:t xml:space="preserve">vert</w:t>
      </w:r>
      <w:r>
        <w:t xml:space="preserve"> </w:t>
      </w:r>
      <w:r>
        <w:t xml:space="preserve">conformité totale ;</w:t>
      </w:r>
      <w:r>
        <w:t xml:space="preserve"> </w:t>
      </w:r>
      <w:r>
        <w:rPr>
          <w:b/>
          <w:bCs/>
        </w:rPr>
        <w:t xml:space="preserve">orange</w:t>
      </w:r>
      <w:r>
        <w:t xml:space="preserve"> </w:t>
      </w:r>
      <w:r>
        <w:t xml:space="preserve">correspondance partielle ;</w:t>
      </w:r>
      <w:r>
        <w:t xml:space="preserve"> </w:t>
      </w:r>
      <w:r>
        <w:rPr>
          <w:b/>
          <w:bCs/>
        </w:rPr>
        <w:t xml:space="preserve">rouge</w:t>
      </w:r>
      <w:r>
        <w:t xml:space="preserve"> </w:t>
      </w:r>
      <w:r>
        <w:t xml:space="preserve">aucune correspondance ou anomalie grave.</w:t>
      </w:r>
    </w:p>
    <w:p>
      <w:pPr>
        <w:pStyle w:val="Compact"/>
        <w:numPr>
          <w:ilvl w:val="0"/>
          <w:numId w:val="1065"/>
        </w:numPr>
      </w:pPr>
      <w:r>
        <w:t xml:space="preserve">Toute anomalie produit un rapport horodaté au numéro unique, avec le détail de l’écart, téléchargeable en PDF, consultable par l’organe de contrôle, les Finances et les organes habilités.</w:t>
      </w:r>
    </w:p>
    <w:bookmarkEnd w:id="234"/>
    <w:bookmarkStart w:id="235" w:name="X3d587ea9b9b04ff9ae35a63a7ccf2dc15c74705"/>
    <w:p>
      <w:pPr>
        <w:pStyle w:val="Heading2"/>
      </w:pPr>
      <w:r>
        <w:t xml:space="preserve">27A.5 Pouvoirs de l’organe de contrôle et tableaux de bord</w:t>
      </w:r>
    </w:p>
    <w:p>
      <w:pPr>
        <w:pStyle w:val="FirstParagraph"/>
      </w:pPr>
      <w:r>
        <w:t xml:space="preserve">L’organe de contrôle voit les transactions en temps réel, ouvre des missions ciblées sans déplacement, accède aux preuves, peut</w:t>
      </w:r>
      <w:r>
        <w:t xml:space="preserve"> </w:t>
      </w:r>
      <w:r>
        <w:rPr>
          <w:b/>
          <w:bCs/>
        </w:rPr>
        <w:t xml:space="preserve">geler administrativement</w:t>
      </w:r>
      <w:r>
        <w:t xml:space="preserve"> </w:t>
      </w:r>
      <w:r>
        <w:t xml:space="preserve">un dossier à risque selon ses pouvoirs légaux et transmettre à la justice. Tableaux de bord : montants contrôlés et récupérés, institutions à risque, zones à forte exposition, taux d’exécution des recommandations.</w:t>
      </w:r>
    </w:p>
    <w:bookmarkEnd w:id="235"/>
    <w:bookmarkStart w:id="236" w:name="X9684aff07157dc93f03163ca8244071f50d324b"/>
    <w:p>
      <w:pPr>
        <w:pStyle w:val="Heading2"/>
      </w:pPr>
      <w:r>
        <w:t xml:space="preserve">27A.6 Sécurité, cadre juridique et déploiement</w:t>
      </w:r>
    </w:p>
    <w:p>
      <w:pPr>
        <w:pStyle w:val="Compact"/>
        <w:numPr>
          <w:ilvl w:val="0"/>
          <w:numId w:val="1066"/>
        </w:numPr>
      </w:pPr>
      <w:r>
        <w:t xml:space="preserve">Hébergement souverain, chiffrement, journal d’accès inviolable, sauvegardes quotidiennes, audit externe annuel (§ 31, § 33).</w:t>
      </w:r>
    </w:p>
    <w:p>
      <w:pPr>
        <w:pStyle w:val="Compact"/>
        <w:numPr>
          <w:ilvl w:val="0"/>
          <w:numId w:val="1066"/>
        </w:numPr>
      </w:pPr>
      <w:r>
        <w:t xml:space="preserve">Cadre à adopter : texte rendant le registre des comptes obligatoire, reconnaissance de la preuve numérique, responsabilité personnelle des gestionnaires, sanctions en cas de non-déclaration ou de falsification (Annexe B, point 27).</w:t>
      </w:r>
    </w:p>
    <w:p>
      <w:pPr>
        <w:pStyle w:val="Compact"/>
        <w:numPr>
          <w:ilvl w:val="0"/>
          <w:numId w:val="1066"/>
        </w:numPr>
      </w:pPr>
      <w:r>
        <w:t xml:space="preserve">Déploiement : phase 1 (0–3 mois) cadre légal, développement, formation ; phase 2 (3–6 mois) connexion des banques, enregistrement des entités et comptes ; phase 3 (6–12 mois) automatisation avancée et extension. Démarrage recommandé par un pilote sur une entité, avec intégration progressive des banques et coordination avec la Banque Centrale.</w:t>
      </w:r>
    </w:p>
    <w:p>
      <w:pPr>
        <w:pStyle w:val="FirstParagraph"/>
      </w:pPr>
      <w:r>
        <w:t xml:space="preserve">Impact attendu : réduction des détournements, fin des comptes cachés, contrôle permanent, crédibilité renforcée auprès des partenaires, meilleure gouvernance financière. CALCU boucle la chaîne MOSOLO :</w:t>
      </w:r>
      <w:r>
        <w:t xml:space="preserve"> </w:t>
      </w:r>
      <w:r>
        <w:rPr>
          <w:b/>
          <w:bCs/>
        </w:rPr>
        <w:t xml:space="preserve">recette tracée, affectation tracée, dépense tracée.</w:t>
      </w:r>
    </w:p>
    <w:bookmarkEnd w:id="236"/>
    <w:bookmarkEnd w:id="237"/>
    <w:bookmarkStart w:id="244" w:name="architecture-technique"/>
    <w:p>
      <w:pPr>
        <w:pStyle w:val="Heading1"/>
      </w:pPr>
      <w:r>
        <w:t xml:space="preserve">28. Architecture technique</w:t>
      </w:r>
    </w:p>
    <w:bookmarkStart w:id="238" w:name="recommandation-darchitecture"/>
    <w:p>
      <w:pPr>
        <w:pStyle w:val="Heading2"/>
      </w:pPr>
      <w:r>
        <w:t xml:space="preserve">28.1 Recommandation d'architecture</w:t>
      </w:r>
    </w:p>
    <w:p>
      <w:pPr>
        <w:pStyle w:val="FirstParagraph"/>
      </w:pPr>
      <w:r>
        <w:t xml:space="preserve">La recommandation est un monolithe modulaire orienté domaines, avec deux</w:t>
      </w:r>
      <w:r>
        <w:t xml:space="preserve"> </w:t>
      </w:r>
      <w:r>
        <w:t xml:space="preserve">exceptions événementielles : le domaine des paiements et le journal</w:t>
      </w:r>
      <w:r>
        <w:t xml:space="preserve"> </w:t>
      </w:r>
      <w:r>
        <w:t xml:space="preserve">d'audit, traités en flux d'événements avec séparation lecture-écriture</w:t>
      </w:r>
      <w:r>
        <w:t xml:space="preserve"> </w:t>
      </w:r>
      <w:r>
        <w:t xml:space="preserve">et sourcing d'événements. Ce choix est dicté par le contexte :</w:t>
      </w:r>
      <w:r>
        <w:t xml:space="preserve"> </w:t>
      </w:r>
      <w:r>
        <w:t xml:space="preserve">connectivité irrégulière, équipes d'exploitation à construire, exigence</w:t>
      </w:r>
      <w:r>
        <w:t xml:space="preserve"> </w:t>
      </w:r>
      <w:r>
        <w:t xml:space="preserve">de preuve inaltérable, budget contrôlé et nécessité de livrer un pilote</w:t>
      </w:r>
      <w:r>
        <w:t xml:space="preserve"> </w:t>
      </w:r>
      <w:r>
        <w:t xml:space="preserve">en moins de six mois.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771"/>
        <w:gridCol w:w="1980"/>
        <w:gridCol w:w="2396"/>
        <w:gridCol w:w="1563"/>
      </w:tblGrid>
      <w:tr>
        <w:trPr>
          <w:tblHeader w:val="true"/>
          <w:tblHeader/>
        </w:trPr>
        <w:tc>
          <w:tcPr>
            <w:shd w:val="clear" w:color="auto" w:fill="1BA996"/>
          </w:tcPr>
          <w:p>
            <w:pPr>
              <w:pStyle w:val="Compact"/>
              <w:spacing w:after="20" w:before="20" w:line="240" w:lineRule="auto"/>
              <w:jc w:val="left"/>
            </w:pPr>
            <w:r>
              <w:rPr>
                <w:b/>
                <w:bCs/>
                <w:color w:val="FFFFFF"/>
                <w:sz w:val="17"/>
              </w:rPr>
              <w:t xml:space="preserve">Option</w:t>
            </w:r>
          </w:p>
        </w:tc>
        <w:tc>
          <w:tcPr>
            <w:shd w:val="clear" w:color="auto" w:fill="1BA996"/>
          </w:tcPr>
          <w:p>
            <w:pPr>
              <w:pStyle w:val="Compact"/>
              <w:spacing w:after="20" w:before="20" w:line="240" w:lineRule="auto"/>
              <w:jc w:val="left"/>
            </w:pPr>
            <w:r>
              <w:rPr>
                <w:b/>
                <w:bCs/>
                <w:color w:val="FFFFFF"/>
                <w:sz w:val="17"/>
              </w:rPr>
              <w:t xml:space="preserve">Avantage</w:t>
            </w:r>
          </w:p>
        </w:tc>
        <w:tc>
          <w:tcPr>
            <w:shd w:val="clear" w:color="auto" w:fill="1BA996"/>
          </w:tcPr>
          <w:p>
            <w:pPr>
              <w:pStyle w:val="Compact"/>
              <w:spacing w:after="20" w:before="20" w:line="240" w:lineRule="auto"/>
              <w:jc w:val="left"/>
            </w:pPr>
            <w:r>
              <w:rPr>
                <w:b/>
                <w:bCs/>
                <w:color w:val="FFFFFF"/>
                <w:sz w:val="17"/>
              </w:rPr>
              <w:t xml:space="preserve">Risque à Kinshasa</w:t>
            </w:r>
          </w:p>
        </w:tc>
        <w:tc>
          <w:tcPr>
            <w:shd w:val="clear" w:color="auto" w:fill="1BA996"/>
          </w:tcPr>
          <w:p>
            <w:pPr>
              <w:pStyle w:val="Compact"/>
              <w:spacing w:after="20" w:before="20" w:line="240" w:lineRule="auto"/>
              <w:jc w:val="left"/>
            </w:pPr>
            <w:r>
              <w:rPr>
                <w:b/>
                <w:bCs/>
                <w:color w:val="FFFFFF"/>
                <w:sz w:val="17"/>
              </w:rPr>
              <w:t xml:space="preserve">Décision</w:t>
            </w:r>
          </w:p>
        </w:tc>
      </w:tr>
      <w:tr>
        <w:tc>
          <w:tcPr/>
          <w:p>
            <w:pPr>
              <w:pStyle w:val="Compact"/>
              <w:spacing w:after="20" w:before="20" w:line="240" w:lineRule="auto"/>
              <w:jc w:val="left"/>
            </w:pPr>
            <w:r>
              <w:rPr>
                <w:sz w:val="17"/>
              </w:rPr>
              <w:t xml:space="preserve">Monolithe</w:t>
            </w:r>
            <w:r>
              <w:rPr>
                <w:sz w:val="17"/>
              </w:rPr>
              <w:t xml:space="preserve"> </w:t>
            </w:r>
            <w:r>
              <w:rPr>
                <w:sz w:val="17"/>
              </w:rPr>
              <w:t xml:space="preserve">modulaire</w:t>
            </w:r>
          </w:p>
        </w:tc>
        <w:tc>
          <w:tcPr/>
          <w:p>
            <w:pPr>
              <w:pStyle w:val="Compact"/>
              <w:spacing w:after="20" w:before="20" w:line="240" w:lineRule="auto"/>
              <w:jc w:val="left"/>
            </w:pPr>
            <w:r>
              <w:rPr>
                <w:sz w:val="17"/>
              </w:rPr>
              <w:t xml:space="preserve">Livraison rapide,</w:t>
            </w:r>
            <w:r>
              <w:rPr>
                <w:sz w:val="17"/>
              </w:rPr>
              <w:t xml:space="preserve"> </w:t>
            </w:r>
            <w:r>
              <w:rPr>
                <w:sz w:val="17"/>
              </w:rPr>
              <w:t xml:space="preserve">exploitation</w:t>
            </w:r>
            <w:r>
              <w:rPr>
                <w:sz w:val="17"/>
              </w:rPr>
              <w:t xml:space="preserve"> </w:t>
            </w:r>
            <w:r>
              <w:rPr>
                <w:sz w:val="17"/>
              </w:rPr>
              <w:t xml:space="preserve">simple, coût</w:t>
            </w:r>
            <w:r>
              <w:rPr>
                <w:sz w:val="17"/>
              </w:rPr>
              <w:t xml:space="preserve"> </w:t>
            </w:r>
            <w:r>
              <w:rPr>
                <w:sz w:val="17"/>
              </w:rPr>
              <w:t xml:space="preserve">maîtrisé</w:t>
            </w:r>
          </w:p>
        </w:tc>
        <w:tc>
          <w:tcPr/>
          <w:p>
            <w:pPr>
              <w:pStyle w:val="Compact"/>
              <w:spacing w:after="20" w:before="20" w:line="240" w:lineRule="auto"/>
              <w:jc w:val="left"/>
            </w:pPr>
            <w:r>
              <w:rPr>
                <w:sz w:val="17"/>
              </w:rPr>
              <w:t xml:space="preserve">Couplage si la</w:t>
            </w:r>
            <w:r>
              <w:rPr>
                <w:sz w:val="17"/>
              </w:rPr>
              <w:t xml:space="preserve"> </w:t>
            </w:r>
            <w:r>
              <w:rPr>
                <w:sz w:val="17"/>
              </w:rPr>
              <w:t xml:space="preserve">discipline de modules</w:t>
            </w:r>
            <w:r>
              <w:rPr>
                <w:sz w:val="17"/>
              </w:rPr>
              <w:t xml:space="preserve"> </w:t>
            </w:r>
            <w:r>
              <w:rPr>
                <w:sz w:val="17"/>
              </w:rPr>
              <w:t xml:space="preserve">n'est pas tenue</w:t>
            </w:r>
          </w:p>
        </w:tc>
        <w:tc>
          <w:tcPr/>
          <w:p>
            <w:pPr>
              <w:pStyle w:val="Compact"/>
              <w:spacing w:after="20" w:before="20" w:line="240" w:lineRule="auto"/>
              <w:jc w:val="left"/>
            </w:pPr>
            <w:r>
              <w:rPr>
                <w:sz w:val="17"/>
              </w:rPr>
              <w:t xml:space="preserve">Retenu pour le</w:t>
            </w:r>
            <w:r>
              <w:rPr>
                <w:sz w:val="17"/>
              </w:rPr>
              <w:t xml:space="preserve"> </w:t>
            </w:r>
            <w:r>
              <w:rPr>
                <w:sz w:val="17"/>
              </w:rPr>
              <w:t xml:space="preserve">socle</w:t>
            </w:r>
          </w:p>
        </w:tc>
      </w:tr>
      <w:tr>
        <w:tc>
          <w:tcPr>
            <w:shd w:val="clear" w:color="auto" w:fill="F2F9F8"/>
          </w:tcPr>
          <w:p>
            <w:pPr>
              <w:pStyle w:val="Compact"/>
              <w:spacing w:after="20" w:before="20" w:line="240" w:lineRule="auto"/>
              <w:jc w:val="left"/>
            </w:pPr>
            <w:r>
              <w:rPr>
                <w:sz w:val="17"/>
              </w:rPr>
              <w:t xml:space="preserve">Microservices</w:t>
            </w:r>
            <w:r>
              <w:rPr>
                <w:sz w:val="17"/>
              </w:rPr>
              <w:t xml:space="preserve"> </w:t>
            </w:r>
            <w:r>
              <w:rPr>
                <w:sz w:val="17"/>
              </w:rPr>
              <w:t xml:space="preserve">complets</w:t>
            </w:r>
          </w:p>
        </w:tc>
        <w:tc>
          <w:tcPr>
            <w:shd w:val="clear" w:color="auto" w:fill="F2F9F8"/>
          </w:tcPr>
          <w:p>
            <w:pPr>
              <w:pStyle w:val="Compact"/>
              <w:spacing w:after="20" w:before="20" w:line="240" w:lineRule="auto"/>
              <w:jc w:val="left"/>
            </w:pPr>
            <w:r>
              <w:rPr>
                <w:sz w:val="17"/>
              </w:rPr>
              <w:t xml:space="preserve">Découplage fort</w:t>
            </w:r>
          </w:p>
        </w:tc>
        <w:tc>
          <w:tcPr>
            <w:shd w:val="clear" w:color="auto" w:fill="F2F9F8"/>
          </w:tcPr>
          <w:p>
            <w:pPr>
              <w:pStyle w:val="Compact"/>
              <w:spacing w:after="20" w:before="20" w:line="240" w:lineRule="auto"/>
              <w:jc w:val="left"/>
            </w:pPr>
            <w:r>
              <w:rPr>
                <w:sz w:val="17"/>
              </w:rPr>
              <w:t xml:space="preserve">Complexité</w:t>
            </w:r>
            <w:r>
              <w:rPr>
                <w:sz w:val="17"/>
              </w:rPr>
              <w:t xml:space="preserve"> </w:t>
            </w:r>
            <w:r>
              <w:rPr>
                <w:sz w:val="17"/>
              </w:rPr>
              <w:t xml:space="preserve">d'exploitation</w:t>
            </w:r>
            <w:r>
              <w:rPr>
                <w:sz w:val="17"/>
              </w:rPr>
              <w:t xml:space="preserve"> </w:t>
            </w:r>
            <w:r>
              <w:rPr>
                <w:sz w:val="17"/>
              </w:rPr>
              <w:t xml:space="preserve">disproportionnée, coût</w:t>
            </w:r>
            <w:r>
              <w:rPr>
                <w:sz w:val="17"/>
              </w:rPr>
              <w:t xml:space="preserve"> </w:t>
            </w:r>
            <w:r>
              <w:rPr>
                <w:sz w:val="17"/>
              </w:rPr>
              <w:t xml:space="preserve">réseau, risque de</w:t>
            </w:r>
            <w:r>
              <w:rPr>
                <w:sz w:val="17"/>
              </w:rPr>
              <w:t xml:space="preserve"> </w:t>
            </w:r>
            <w:r>
              <w:rPr>
                <w:sz w:val="17"/>
              </w:rPr>
              <w:t xml:space="preserve">panne systémique</w:t>
            </w:r>
          </w:p>
        </w:tc>
        <w:tc>
          <w:tcPr>
            <w:shd w:val="clear" w:color="auto" w:fill="F2F9F8"/>
          </w:tcPr>
          <w:p>
            <w:pPr>
              <w:pStyle w:val="Compact"/>
              <w:spacing w:after="20" w:before="20" w:line="240" w:lineRule="auto"/>
              <w:jc w:val="left"/>
            </w:pPr>
            <w:r>
              <w:rPr>
                <w:sz w:val="17"/>
              </w:rPr>
              <w:t xml:space="preserve">Écarté au</w:t>
            </w:r>
            <w:r>
              <w:rPr>
                <w:sz w:val="17"/>
              </w:rPr>
              <w:t xml:space="preserve"> </w:t>
            </w:r>
            <w:r>
              <w:rPr>
                <w:sz w:val="17"/>
              </w:rPr>
              <w:t xml:space="preserve">démarrage</w:t>
            </w:r>
          </w:p>
        </w:tc>
      </w:tr>
      <w:tr>
        <w:tc>
          <w:tcPr/>
          <w:p>
            <w:pPr>
              <w:pStyle w:val="Compact"/>
              <w:spacing w:after="20" w:before="20" w:line="240" w:lineRule="auto"/>
              <w:jc w:val="left"/>
            </w:pPr>
            <w:r>
              <w:rPr>
                <w:sz w:val="17"/>
              </w:rPr>
              <w:t xml:space="preserve">Événementiel +</w:t>
            </w:r>
            <w:r>
              <w:rPr>
                <w:sz w:val="17"/>
              </w:rPr>
              <w:t xml:space="preserve"> </w:t>
            </w:r>
            <w:r>
              <w:rPr>
                <w:sz w:val="17"/>
              </w:rPr>
              <w:t xml:space="preserve">CQRS</w:t>
            </w:r>
          </w:p>
        </w:tc>
        <w:tc>
          <w:tcPr/>
          <w:p>
            <w:pPr>
              <w:pStyle w:val="Compact"/>
              <w:spacing w:after="20" w:before="20" w:line="240" w:lineRule="auto"/>
              <w:jc w:val="left"/>
            </w:pPr>
            <w:r>
              <w:rPr>
                <w:sz w:val="17"/>
              </w:rPr>
              <w:t xml:space="preserve">Traçabilité, pics</w:t>
            </w:r>
            <w:r>
              <w:rPr>
                <w:sz w:val="17"/>
              </w:rPr>
              <w:t xml:space="preserve"> </w:t>
            </w:r>
            <w:r>
              <w:rPr>
                <w:sz w:val="17"/>
              </w:rPr>
              <w:t xml:space="preserve">de paiement,</w:t>
            </w:r>
            <w:r>
              <w:rPr>
                <w:sz w:val="17"/>
              </w:rPr>
              <w:t xml:space="preserve"> </w:t>
            </w:r>
            <w:r>
              <w:rPr>
                <w:sz w:val="17"/>
              </w:rPr>
              <w:t xml:space="preserve">rapprochement</w:t>
            </w:r>
          </w:p>
        </w:tc>
        <w:tc>
          <w:tcPr/>
          <w:p>
            <w:pPr>
              <w:pStyle w:val="Compact"/>
              <w:spacing w:after="20" w:before="20" w:line="240" w:lineRule="auto"/>
              <w:jc w:val="left"/>
            </w:pPr>
            <w:r>
              <w:rPr>
                <w:sz w:val="17"/>
              </w:rPr>
              <w:t xml:space="preserve">Courbe</w:t>
            </w:r>
            <w:r>
              <w:rPr>
                <w:sz w:val="17"/>
              </w:rPr>
              <w:t xml:space="preserve"> </w:t>
            </w:r>
            <w:r>
              <w:rPr>
                <w:sz w:val="17"/>
              </w:rPr>
              <w:t xml:space="preserve">d'apprentissage</w:t>
            </w:r>
          </w:p>
        </w:tc>
        <w:tc>
          <w:tcPr/>
          <w:p>
            <w:pPr>
              <w:pStyle w:val="Compact"/>
              <w:spacing w:after="20" w:before="20" w:line="240" w:lineRule="auto"/>
              <w:jc w:val="left"/>
            </w:pPr>
            <w:r>
              <w:rPr>
                <w:sz w:val="17"/>
              </w:rPr>
              <w:t xml:space="preserve">Retenu pour</w:t>
            </w:r>
            <w:r>
              <w:rPr>
                <w:sz w:val="17"/>
              </w:rPr>
              <w:t xml:space="preserve"> </w:t>
            </w:r>
            <w:r>
              <w:rPr>
                <w:sz w:val="17"/>
              </w:rPr>
              <w:t xml:space="preserve">paiements,</w:t>
            </w:r>
            <w:r>
              <w:rPr>
                <w:sz w:val="17"/>
              </w:rPr>
              <w:t xml:space="preserve"> </w:t>
            </w:r>
            <w:r>
              <w:rPr>
                <w:sz w:val="17"/>
              </w:rPr>
              <w:t xml:space="preserve">quittances et</w:t>
            </w:r>
            <w:r>
              <w:rPr>
                <w:sz w:val="17"/>
              </w:rPr>
              <w:t xml:space="preserve"> </w:t>
            </w:r>
            <w:r>
              <w:rPr>
                <w:sz w:val="17"/>
              </w:rPr>
              <w:t xml:space="preserve">audit</w:t>
            </w:r>
          </w:p>
        </w:tc>
      </w:tr>
      <w:tr>
        <w:tc>
          <w:tcPr>
            <w:shd w:val="clear" w:color="auto" w:fill="F2F9F8"/>
          </w:tcPr>
          <w:p>
            <w:pPr>
              <w:pStyle w:val="Compact"/>
              <w:spacing w:after="20" w:before="20" w:line="240" w:lineRule="auto"/>
              <w:jc w:val="left"/>
            </w:pPr>
            <w:r>
              <w:rPr>
                <w:sz w:val="17"/>
              </w:rPr>
              <w:t xml:space="preserve">Sourcing</w:t>
            </w:r>
            <w:r>
              <w:rPr>
                <w:sz w:val="17"/>
              </w:rPr>
              <w:t xml:space="preserve"> </w:t>
            </w:r>
            <w:r>
              <w:rPr>
                <w:sz w:val="17"/>
              </w:rPr>
              <w:t xml:space="preserve">d'événements</w:t>
            </w:r>
          </w:p>
        </w:tc>
        <w:tc>
          <w:tcPr>
            <w:shd w:val="clear" w:color="auto" w:fill="F2F9F8"/>
          </w:tcPr>
          <w:p>
            <w:pPr>
              <w:pStyle w:val="Compact"/>
              <w:spacing w:after="20" w:before="20" w:line="240" w:lineRule="auto"/>
              <w:jc w:val="left"/>
            </w:pPr>
            <w:r>
              <w:rPr>
                <w:sz w:val="17"/>
              </w:rPr>
              <w:t xml:space="preserve">Historique</w:t>
            </w:r>
            <w:r>
              <w:rPr>
                <w:sz w:val="17"/>
              </w:rPr>
              <w:t xml:space="preserve"> </w:t>
            </w:r>
            <w:r>
              <w:rPr>
                <w:sz w:val="17"/>
              </w:rPr>
              <w:t xml:space="preserve">inaltérable,</w:t>
            </w:r>
            <w:r>
              <w:rPr>
                <w:sz w:val="17"/>
              </w:rPr>
              <w:t xml:space="preserve"> </w:t>
            </w:r>
            <w:r>
              <w:rPr>
                <w:sz w:val="17"/>
              </w:rPr>
              <w:t xml:space="preserve">reconstitution</w:t>
            </w:r>
            <w:r>
              <w:rPr>
                <w:sz w:val="17"/>
              </w:rPr>
              <w:t xml:space="preserve"> </w:t>
            </w:r>
            <w:r>
              <w:rPr>
                <w:sz w:val="17"/>
              </w:rPr>
              <w:t xml:space="preserve">intégrale</w:t>
            </w:r>
          </w:p>
        </w:tc>
        <w:tc>
          <w:tcPr>
            <w:shd w:val="clear" w:color="auto" w:fill="F2F9F8"/>
          </w:tcPr>
          <w:p>
            <w:pPr>
              <w:pStyle w:val="Compact"/>
              <w:spacing w:after="20" w:before="20" w:line="240" w:lineRule="auto"/>
              <w:jc w:val="left"/>
            </w:pPr>
            <w:r>
              <w:rPr>
                <w:sz w:val="17"/>
              </w:rPr>
              <w:t xml:space="preserve">Volume et gouvernance</w:t>
            </w:r>
            <w:r>
              <w:rPr>
                <w:sz w:val="17"/>
              </w:rPr>
              <w:t xml:space="preserve"> </w:t>
            </w:r>
            <w:r>
              <w:rPr>
                <w:sz w:val="17"/>
              </w:rPr>
              <w:t xml:space="preserve">des schémas</w:t>
            </w:r>
          </w:p>
        </w:tc>
        <w:tc>
          <w:tcPr>
            <w:shd w:val="clear" w:color="auto" w:fill="F2F9F8"/>
          </w:tcPr>
          <w:p>
            <w:pPr>
              <w:pStyle w:val="Compact"/>
              <w:spacing w:after="20" w:before="20" w:line="240" w:lineRule="auto"/>
              <w:jc w:val="left"/>
            </w:pPr>
            <w:r>
              <w:rPr>
                <w:sz w:val="17"/>
              </w:rPr>
              <w:t xml:space="preserve">Retenu pour</w:t>
            </w:r>
            <w:r>
              <w:rPr>
                <w:sz w:val="17"/>
              </w:rPr>
              <w:t xml:space="preserve"> </w:t>
            </w:r>
            <w:r>
              <w:rPr>
                <w:sz w:val="17"/>
              </w:rPr>
              <w:t xml:space="preserve">l'audit et le</w:t>
            </w:r>
            <w:r>
              <w:rPr>
                <w:sz w:val="17"/>
              </w:rPr>
              <w:t xml:space="preserve"> </w:t>
            </w:r>
            <w:r>
              <w:rPr>
                <w:sz w:val="17"/>
              </w:rPr>
              <w:t xml:space="preserve">registre</w:t>
            </w:r>
            <w:r>
              <w:rPr>
                <w:sz w:val="17"/>
              </w:rPr>
              <w:t xml:space="preserve"> </w:t>
            </w:r>
            <w:r>
              <w:rPr>
                <w:sz w:val="17"/>
              </w:rPr>
              <w:t xml:space="preserve">financier</w:t>
            </w:r>
          </w:p>
        </w:tc>
      </w:tr>
    </w:tbl>
    <w:p>
      <w:pPr>
        <w:pStyle w:val="BodyText"/>
      </w:pPr>
      <w:r>
        <w:t xml:space="preserve">L’approche est hybride et orientée domaines : monolithe modulaire et services de domaine au démarrage, extraction progressive en services indépendants seulement lorsque la charge, la sécurité ou l’autonomie d’une équipe le justifient.</w:t>
      </w:r>
    </w:p>
    <w:bookmarkEnd w:id="238"/>
    <w:bookmarkStart w:id="239" w:name="composants-cibles"/>
    <w:p>
      <w:pPr>
        <w:pStyle w:val="Heading2"/>
      </w:pPr>
      <w:r>
        <w:t xml:space="preserve">28.2 Composants cibles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542"/>
        <w:gridCol w:w="6171"/>
      </w:tblGrid>
      <w:tr>
        <w:trPr>
          <w:tblHeader w:val="true"/>
          <w:tblHeader/>
        </w:trPr>
        <w:tc>
          <w:tcPr>
            <w:shd w:val="clear" w:color="auto" w:fill="1BA996"/>
          </w:tcPr>
          <w:p>
            <w:pPr>
              <w:pStyle w:val="Compact"/>
              <w:spacing w:after="20" w:before="20" w:line="240" w:lineRule="auto"/>
              <w:jc w:val="left"/>
            </w:pPr>
            <w:r>
              <w:rPr>
                <w:b/>
                <w:bCs/>
                <w:color w:val="FFFFFF"/>
                <w:sz w:val="17"/>
              </w:rPr>
              <w:t xml:space="preserve">Couche</w:t>
            </w:r>
          </w:p>
        </w:tc>
        <w:tc>
          <w:tcPr>
            <w:shd w:val="clear" w:color="auto" w:fill="1BA996"/>
          </w:tcPr>
          <w:p>
            <w:pPr>
              <w:pStyle w:val="Compact"/>
              <w:spacing w:after="20" w:before="20" w:line="240" w:lineRule="auto"/>
              <w:jc w:val="left"/>
            </w:pPr>
            <w:r>
              <w:rPr>
                <w:b/>
                <w:bCs/>
                <w:color w:val="FFFFFF"/>
                <w:sz w:val="17"/>
              </w:rPr>
              <w:t xml:space="preserve">Composants</w:t>
            </w:r>
          </w:p>
        </w:tc>
      </w:tr>
      <w:tr>
        <w:tc>
          <w:tcPr/>
          <w:p>
            <w:pPr>
              <w:pStyle w:val="Compact"/>
              <w:spacing w:after="20" w:before="20" w:line="240" w:lineRule="auto"/>
              <w:jc w:val="left"/>
            </w:pPr>
            <w:r>
              <w:rPr>
                <w:sz w:val="17"/>
              </w:rPr>
              <w:t xml:space="preserve">Accès</w:t>
            </w:r>
          </w:p>
        </w:tc>
        <w:tc>
          <w:tcPr/>
          <w:p>
            <w:pPr>
              <w:pStyle w:val="Compact"/>
              <w:spacing w:after="20" w:before="20" w:line="240" w:lineRule="auto"/>
              <w:jc w:val="left"/>
            </w:pPr>
            <w:r>
              <w:rPr>
                <w:sz w:val="17"/>
              </w:rPr>
              <w:t xml:space="preserve">Application Android citoyenne, application terrain Android</w:t>
            </w:r>
            <w:r>
              <w:rPr>
                <w:sz w:val="17"/>
              </w:rPr>
              <w:t xml:space="preserve"> </w:t>
            </w:r>
            <w:r>
              <w:rPr>
                <w:sz w:val="17"/>
              </w:rPr>
              <w:t xml:space="preserve">hors ligne, portail web, USSD et SMS, passerelle d'API</w:t>
            </w:r>
          </w:p>
        </w:tc>
      </w:tr>
      <w:tr>
        <w:tc>
          <w:tcPr>
            <w:shd w:val="clear" w:color="auto" w:fill="F2F9F8"/>
          </w:tcPr>
          <w:p>
            <w:pPr>
              <w:pStyle w:val="Compact"/>
              <w:spacing w:after="20" w:before="20" w:line="240" w:lineRule="auto"/>
              <w:jc w:val="left"/>
            </w:pPr>
            <w:r>
              <w:rPr>
                <w:sz w:val="17"/>
              </w:rPr>
              <w:t xml:space="preserve">Identité</w:t>
            </w:r>
          </w:p>
        </w:tc>
        <w:tc>
          <w:tcPr>
            <w:shd w:val="clear" w:color="auto" w:fill="F2F9F8"/>
          </w:tcPr>
          <w:p>
            <w:pPr>
              <w:pStyle w:val="Compact"/>
              <w:spacing w:after="20" w:before="20" w:line="240" w:lineRule="auto"/>
              <w:jc w:val="left"/>
            </w:pPr>
            <w:r>
              <w:rPr>
                <w:sz w:val="17"/>
              </w:rPr>
              <w:t xml:space="preserve">Gestion des identités et des accès, authentification</w:t>
            </w:r>
            <w:r>
              <w:rPr>
                <w:sz w:val="17"/>
              </w:rPr>
              <w:t xml:space="preserve"> </w:t>
            </w:r>
            <w:r>
              <w:rPr>
                <w:sz w:val="17"/>
              </w:rPr>
              <w:t xml:space="preserve">multifacteur, clés d'accès résistantes au hameçonnage,</w:t>
            </w:r>
            <w:r>
              <w:rPr>
                <w:sz w:val="17"/>
              </w:rPr>
              <w:t xml:space="preserve"> </w:t>
            </w:r>
            <w:r>
              <w:rPr>
                <w:sz w:val="17"/>
              </w:rPr>
              <w:t xml:space="preserve">gestion des appareils</w:t>
            </w:r>
          </w:p>
        </w:tc>
      </w:tr>
      <w:tr>
        <w:tc>
          <w:tcPr/>
          <w:p>
            <w:pPr>
              <w:pStyle w:val="Compact"/>
              <w:spacing w:after="20" w:before="20" w:line="240" w:lineRule="auto"/>
              <w:jc w:val="left"/>
            </w:pPr>
            <w:r>
              <w:rPr>
                <w:sz w:val="17"/>
              </w:rPr>
              <w:t xml:space="preserve">Domaines</w:t>
            </w:r>
          </w:p>
        </w:tc>
        <w:tc>
          <w:tcPr/>
          <w:p>
            <w:pPr>
              <w:pStyle w:val="Compact"/>
              <w:spacing w:after="20" w:before="20" w:line="240" w:lineRule="auto"/>
              <w:jc w:val="left"/>
            </w:pPr>
            <w:r>
              <w:rPr>
                <w:sz w:val="17"/>
              </w:rPr>
              <w:t xml:space="preserve">Registre des contribuables, registre des objets fiscaux,</w:t>
            </w:r>
            <w:r>
              <w:rPr>
                <w:sz w:val="17"/>
              </w:rPr>
              <w:t xml:space="preserve"> </w:t>
            </w:r>
            <w:r>
              <w:rPr>
                <w:sz w:val="17"/>
              </w:rPr>
              <w:t xml:space="preserve">base spatiale, moteur de règles, moteur de liquidation,</w:t>
            </w:r>
            <w:r>
              <w:rPr>
                <w:sz w:val="17"/>
              </w:rPr>
              <w:t xml:space="preserve"> </w:t>
            </w:r>
            <w:r>
              <w:rPr>
                <w:sz w:val="17"/>
              </w:rPr>
              <w:t xml:space="preserve">orchestration des paiements, registre financier,</w:t>
            </w:r>
            <w:r>
              <w:rPr>
                <w:sz w:val="17"/>
              </w:rPr>
              <w:t xml:space="preserve"> </w:t>
            </w:r>
            <w:r>
              <w:rPr>
                <w:sz w:val="17"/>
              </w:rPr>
              <w:t xml:space="preserve">rapprochement, quittances, contrôle et contentieux</w:t>
            </w:r>
          </w:p>
        </w:tc>
      </w:tr>
      <w:tr>
        <w:tc>
          <w:tcPr>
            <w:shd w:val="clear" w:color="auto" w:fill="F2F9F8"/>
          </w:tcPr>
          <w:p>
            <w:pPr>
              <w:pStyle w:val="Compact"/>
              <w:spacing w:after="20" w:before="20" w:line="240" w:lineRule="auto"/>
              <w:jc w:val="left"/>
            </w:pPr>
            <w:r>
              <w:rPr>
                <w:sz w:val="17"/>
              </w:rPr>
              <w:t xml:space="preserve">Données</w:t>
            </w:r>
          </w:p>
        </w:tc>
        <w:tc>
          <w:tcPr>
            <w:shd w:val="clear" w:color="auto" w:fill="F2F9F8"/>
          </w:tcPr>
          <w:p>
            <w:pPr>
              <w:pStyle w:val="Compact"/>
              <w:spacing w:after="20" w:before="20" w:line="240" w:lineRule="auto"/>
              <w:jc w:val="left"/>
            </w:pPr>
            <w:r>
              <w:rPr>
                <w:sz w:val="17"/>
              </w:rPr>
              <w:t xml:space="preserve">Base relationnelle transactionnelle avec extension</w:t>
            </w:r>
            <w:r>
              <w:rPr>
                <w:sz w:val="17"/>
              </w:rPr>
              <w:t xml:space="preserve"> </w:t>
            </w:r>
            <w:r>
              <w:rPr>
                <w:sz w:val="17"/>
              </w:rPr>
              <w:t xml:space="preserve">spatiale, entrepôt analytique, stockage documentaire</w:t>
            </w:r>
            <w:r>
              <w:rPr>
                <w:sz w:val="17"/>
              </w:rPr>
              <w:t xml:space="preserve"> </w:t>
            </w:r>
            <w:r>
              <w:rPr>
                <w:sz w:val="17"/>
              </w:rPr>
              <w:t xml:space="preserve">chiffré, magasin d'événements d'audit en écriture unique</w:t>
            </w:r>
          </w:p>
        </w:tc>
      </w:tr>
      <w:tr>
        <w:tc>
          <w:tcPr/>
          <w:p>
            <w:pPr>
              <w:pStyle w:val="Compact"/>
              <w:spacing w:after="20" w:before="20" w:line="240" w:lineRule="auto"/>
              <w:jc w:val="left"/>
            </w:pPr>
            <w:r>
              <w:rPr>
                <w:sz w:val="17"/>
              </w:rPr>
              <w:t xml:space="preserve">Intelligence</w:t>
            </w:r>
          </w:p>
        </w:tc>
        <w:tc>
          <w:tcPr/>
          <w:p>
            <w:pPr>
              <w:pStyle w:val="Compact"/>
              <w:spacing w:after="20" w:before="20" w:line="240" w:lineRule="auto"/>
              <w:jc w:val="left"/>
            </w:pPr>
            <w:r>
              <w:rPr>
                <w:sz w:val="17"/>
              </w:rPr>
              <w:t xml:space="preserve">Orchestration des agents, passerelle IA mesurée, registre</w:t>
            </w:r>
            <w:r>
              <w:rPr>
                <w:sz w:val="17"/>
              </w:rPr>
              <w:t xml:space="preserve"> </w:t>
            </w:r>
            <w:r>
              <w:rPr>
                <w:sz w:val="17"/>
              </w:rPr>
              <w:t xml:space="preserve">des modèles, journal des décisions assistées</w:t>
            </w:r>
          </w:p>
        </w:tc>
      </w:tr>
      <w:tr>
        <w:tc>
          <w:tcPr>
            <w:shd w:val="clear" w:color="auto" w:fill="F2F9F8"/>
          </w:tcPr>
          <w:p>
            <w:pPr>
              <w:pStyle w:val="Compact"/>
              <w:spacing w:after="20" w:before="20" w:line="240" w:lineRule="auto"/>
              <w:jc w:val="left"/>
            </w:pPr>
            <w:r>
              <w:rPr>
                <w:sz w:val="17"/>
              </w:rPr>
              <w:t xml:space="preserve">Exploitation</w:t>
            </w:r>
          </w:p>
        </w:tc>
        <w:tc>
          <w:tcPr>
            <w:shd w:val="clear" w:color="auto" w:fill="F2F9F8"/>
          </w:tcPr>
          <w:p>
            <w:pPr>
              <w:pStyle w:val="Compact"/>
              <w:spacing w:after="20" w:before="20" w:line="240" w:lineRule="auto"/>
              <w:jc w:val="left"/>
            </w:pPr>
            <w:r>
              <w:rPr>
                <w:sz w:val="17"/>
              </w:rPr>
              <w:t xml:space="preserve">Supervision, journalisation centralisée, détection de</w:t>
            </w:r>
            <w:r>
              <w:rPr>
                <w:sz w:val="17"/>
              </w:rPr>
              <w:t xml:space="preserve"> </w:t>
            </w:r>
            <w:r>
              <w:rPr>
                <w:sz w:val="17"/>
              </w:rPr>
              <w:t xml:space="preserve">sécurité, sauvegarde, reprise après sinistre</w:t>
            </w:r>
          </w:p>
        </w:tc>
      </w:tr>
    </w:tbl>
    <w:p>
      <w:pPr>
        <w:pStyle w:val="BodyText"/>
      </w:pPr>
      <w:r>
        <w:t xml:space="preserve">Désignation technique des composants logiques : gestion des identités et des accès (IAM), registre des identités et des objets (Identity Registry), GIS, registre juridique (Legal Registry), liquidation (Assessment), paiement (Payment), rapprochement (Reconciliation), grand livre (Ledger), documents et preuves (Document/Evidence), workflow, notification, audit, analytique (Analytics), passerelle IA (AI Gateway), passerelle d’API (API Gateway), bus d’événements (Event Bus), magasin d’événements (event store).</w:t>
      </w:r>
    </w:p>
    <w:bookmarkEnd w:id="239"/>
    <w:bookmarkStart w:id="240" w:name="séquences-critiques"/>
    <w:p>
      <w:pPr>
        <w:pStyle w:val="Heading2"/>
      </w:pPr>
      <w:r>
        <w:t xml:space="preserve">28.3 Séquences critiques</w:t>
      </w:r>
    </w:p>
    <w:p>
      <w:pPr>
        <w:pStyle w:val="FirstParagraph"/>
      </w:pPr>
      <w:r>
        <w:t xml:space="preserve">Paiement : avis de paiement → référence unique → initiation par le canal</w:t>
      </w:r>
      <w:r>
        <w:t xml:space="preserve"> </w:t>
      </w:r>
      <w:r>
        <w:t xml:space="preserve">→ confirmation signée du prestataire → règlement en compte public →</w:t>
      </w:r>
      <w:r>
        <w:t xml:space="preserve"> </w:t>
      </w:r>
      <w:r>
        <w:t xml:space="preserve">rapprochement → quittance → comptabilisation. Chaque transition produit</w:t>
      </w:r>
      <w:r>
        <w:t xml:space="preserve"> </w:t>
      </w:r>
      <w:r>
        <w:t xml:space="preserve">un événement immuable ; l'idempotence est garantie par la référence</w:t>
      </w:r>
      <w:r>
        <w:t xml:space="preserve"> </w:t>
      </w:r>
      <w:r>
        <w:t xml:space="preserve">unique.</w:t>
      </w:r>
    </w:p>
    <w:p>
      <w:pPr>
        <w:pStyle w:val="BodyText"/>
      </w:pPr>
      <w:r>
        <w:t xml:space="preserve">Synchronisation terrain : attribution de mission → téléchargement</w:t>
      </w:r>
      <w:r>
        <w:t xml:space="preserve"> </w:t>
      </w:r>
      <w:r>
        <w:t xml:space="preserve">chiffré et borné → travail hors ligne → file locale d'événements →</w:t>
      </w:r>
      <w:r>
        <w:t xml:space="preserve"> </w:t>
      </w:r>
      <w:r>
        <w:t xml:space="preserve">reconnexion → transmission → résolution de conflits selon règles →</w:t>
      </w:r>
      <w:r>
        <w:t xml:space="preserve"> </w:t>
      </w:r>
      <w:r>
        <w:t xml:space="preserve">confirmation et purge locale à expiration.</w:t>
      </w:r>
    </w:p>
    <w:p>
      <w:pPr>
        <w:pStyle w:val="BodyText"/>
      </w:pPr>
      <w:r>
        <w:t xml:space="preserve">Contrôle d'accès : demande → vérification du rôle et des attributs</w:t>
      </w:r>
      <w:r>
        <w:t xml:space="preserve"> </w:t>
      </w:r>
      <w:r>
        <w:t xml:space="preserve">(territoire, dossier, horaire, appareil, sensibilité) → élévation</w:t>
      </w:r>
      <w:r>
        <w:t xml:space="preserve"> </w:t>
      </w:r>
      <w:r>
        <w:t xml:space="preserve">temporaire éventuelle avec motif → journalisation de la consultation →</w:t>
      </w:r>
      <w:r>
        <w:t xml:space="preserve"> </w:t>
      </w:r>
      <w:r>
        <w:t xml:space="preserve">expiration automatique.</w:t>
      </w:r>
    </w:p>
    <w:bookmarkEnd w:id="240"/>
    <w:bookmarkStart w:id="241" w:name="diagrammes-à-produire-au-démarrage"/>
    <w:p>
      <w:pPr>
        <w:pStyle w:val="Heading2"/>
      </w:pPr>
      <w:r>
        <w:t xml:space="preserve">28.4 Diagrammes à produire au démarrage</w:t>
      </w:r>
    </w:p>
    <w:p>
      <w:pPr>
        <w:pStyle w:val="FirstParagraph"/>
      </w:pPr>
      <w:r>
        <w:t xml:space="preserve">Diagramme de contexte ; diagramme de conteneurs ; architecture de</w:t>
      </w:r>
      <w:r>
        <w:t xml:space="preserve"> </w:t>
      </w:r>
      <w:r>
        <w:t xml:space="preserve">domaines ; flux de données ; séquence de paiement ; séquence de</w:t>
      </w:r>
      <w:r>
        <w:t xml:space="preserve"> </w:t>
      </w:r>
      <w:r>
        <w:t xml:space="preserve">synchronisation terrain ; flux d'habilitation ; chaîne de décision</w:t>
      </w:r>
      <w:r>
        <w:t xml:space="preserve"> </w:t>
      </w:r>
      <w:r>
        <w:t xml:space="preserve">assistée par IA ; architecture de reprise après sinistre. Ces artefacts</w:t>
      </w:r>
      <w:r>
        <w:t xml:space="preserve"> </w:t>
      </w:r>
      <w:r>
        <w:t xml:space="preserve">font partie des livrables de la phase 1 et conditionnent le passage à la</w:t>
      </w:r>
      <w:r>
        <w:t xml:space="preserve"> </w:t>
      </w:r>
      <w:r>
        <w:t xml:space="preserve">phase 2.</w:t>
      </w:r>
    </w:p>
    <w:bookmarkEnd w:id="241"/>
    <w:bookmarkStart w:id="242" w:name="architecture-des-données"/>
    <w:p>
      <w:pPr>
        <w:pStyle w:val="Heading2"/>
      </w:pPr>
      <w:r>
        <w:t xml:space="preserve">28.5 Architecture des données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Magasin</w:t>
            </w:r>
          </w:p>
        </w:tc>
        <w:tc>
          <w:tcPr>
            <w:shd w:val="clear" w:color="auto" w:fill="1BA996"/>
          </w:tcPr>
          <w:p>
            <w:pPr>
              <w:pStyle w:val="Compact"/>
              <w:spacing w:after="20" w:before="20" w:line="240" w:lineRule="auto"/>
              <w:jc w:val="left"/>
            </w:pPr>
            <w:r>
              <w:rPr>
                <w:b/>
                <w:color w:val="FFFFFF"/>
                <w:sz w:val="17"/>
              </w:rPr>
              <w:t xml:space="preserve">Usage</w:t>
            </w:r>
          </w:p>
        </w:tc>
      </w:tr>
      <w:tr>
        <w:tc>
          <w:tcPr/>
          <w:p>
            <w:pPr>
              <w:pStyle w:val="Compact"/>
              <w:spacing w:after="20" w:before="20" w:line="240" w:lineRule="auto"/>
              <w:jc w:val="left"/>
            </w:pPr>
            <w:r>
              <w:rPr>
                <w:sz w:val="17"/>
              </w:rPr>
              <w:t xml:space="preserve">PostgreSQL / PostGIS</w:t>
            </w:r>
          </w:p>
        </w:tc>
        <w:tc>
          <w:tcPr/>
          <w:p>
            <w:pPr>
              <w:pStyle w:val="Compact"/>
              <w:spacing w:after="20" w:before="20" w:line="240" w:lineRule="auto"/>
              <w:jc w:val="left"/>
            </w:pPr>
            <w:r>
              <w:rPr>
                <w:sz w:val="17"/>
              </w:rPr>
              <w:t xml:space="preserve">Base transactionnelle et spatiale</w:t>
            </w:r>
          </w:p>
        </w:tc>
      </w:tr>
      <w:tr>
        <w:tc>
          <w:tcPr>
            <w:shd w:val="clear" w:color="auto" w:fill="F2F9F8"/>
          </w:tcPr>
          <w:p>
            <w:pPr>
              <w:pStyle w:val="Compact"/>
              <w:spacing w:after="20" w:before="20" w:line="240" w:lineRule="auto"/>
              <w:jc w:val="left"/>
            </w:pPr>
            <w:r>
              <w:rPr>
                <w:sz w:val="17"/>
              </w:rPr>
              <w:t xml:space="preserve">Magasin d’événements en ajout seul (event store)</w:t>
            </w:r>
          </w:p>
        </w:tc>
        <w:tc>
          <w:tcPr>
            <w:shd w:val="clear" w:color="auto" w:fill="F2F9F8"/>
          </w:tcPr>
          <w:p>
            <w:pPr>
              <w:pStyle w:val="Compact"/>
              <w:spacing w:after="20" w:before="20" w:line="240" w:lineRule="auto"/>
              <w:jc w:val="left"/>
            </w:pPr>
            <w:r>
              <w:rPr>
                <w:sz w:val="17"/>
              </w:rPr>
              <w:t xml:space="preserve">Audit, paiements, grand livre</w:t>
            </w:r>
          </w:p>
        </w:tc>
      </w:tr>
      <w:tr>
        <w:tc>
          <w:tcPr/>
          <w:p>
            <w:pPr>
              <w:pStyle w:val="Compact"/>
              <w:spacing w:after="20" w:before="20" w:line="240" w:lineRule="auto"/>
              <w:jc w:val="left"/>
            </w:pPr>
            <w:r>
              <w:rPr>
                <w:sz w:val="17"/>
              </w:rPr>
              <w:t xml:space="preserve">Stockage objet chiffré</w:t>
            </w:r>
          </w:p>
        </w:tc>
        <w:tc>
          <w:tcPr/>
          <w:p>
            <w:pPr>
              <w:pStyle w:val="Compact"/>
              <w:spacing w:after="20" w:before="20" w:line="240" w:lineRule="auto"/>
              <w:jc w:val="left"/>
            </w:pPr>
            <w:r>
              <w:rPr>
                <w:sz w:val="17"/>
              </w:rPr>
              <w:t xml:space="preserve">Pièces, photographies, preuves</w:t>
            </w:r>
          </w:p>
        </w:tc>
      </w:tr>
      <w:tr>
        <w:tc>
          <w:tcPr>
            <w:shd w:val="clear" w:color="auto" w:fill="F2F9F8"/>
          </w:tcPr>
          <w:p>
            <w:pPr>
              <w:pStyle w:val="Compact"/>
              <w:spacing w:after="20" w:before="20" w:line="240" w:lineRule="auto"/>
              <w:jc w:val="left"/>
            </w:pPr>
            <w:r>
              <w:rPr>
                <w:sz w:val="17"/>
              </w:rPr>
              <w:t xml:space="preserve">Entrepôt analytique (warehouse)</w:t>
            </w:r>
          </w:p>
        </w:tc>
        <w:tc>
          <w:tcPr>
            <w:shd w:val="clear" w:color="auto" w:fill="F2F9F8"/>
          </w:tcPr>
          <w:p>
            <w:pPr>
              <w:pStyle w:val="Compact"/>
              <w:spacing w:after="20" w:before="20" w:line="240" w:lineRule="auto"/>
              <w:jc w:val="left"/>
            </w:pPr>
            <w:r>
              <w:rPr>
                <w:sz w:val="17"/>
              </w:rPr>
              <w:t xml:space="preserve">Tableaux de bord, prévisions, IA</w:t>
            </w:r>
          </w:p>
        </w:tc>
      </w:tr>
      <w:tr>
        <w:tc>
          <w:tcPr/>
          <w:p>
            <w:pPr>
              <w:pStyle w:val="Compact"/>
              <w:spacing w:after="20" w:before="20" w:line="240" w:lineRule="auto"/>
              <w:jc w:val="left"/>
            </w:pPr>
            <w:r>
              <w:rPr>
                <w:sz w:val="17"/>
              </w:rPr>
              <w:t xml:space="preserve">Index de recherche</w:t>
            </w:r>
          </w:p>
        </w:tc>
        <w:tc>
          <w:tcPr/>
          <w:p>
            <w:pPr>
              <w:pStyle w:val="Compact"/>
              <w:spacing w:after="20" w:before="20" w:line="240" w:lineRule="auto"/>
              <w:jc w:val="left"/>
            </w:pPr>
            <w:r>
              <w:rPr>
                <w:sz w:val="17"/>
              </w:rPr>
              <w:t xml:space="preserve">Recherche de contribuables, objets et dossiers</w:t>
            </w:r>
          </w:p>
        </w:tc>
      </w:tr>
    </w:tbl>
    <w:p>
      <w:pPr>
        <w:pStyle w:val="BodyText"/>
      </w:pPr>
      <w:r>
        <w:t xml:space="preserve">Les données opérationnelles, les preuves, l’audit et l’analytique sont séparés, avec des politiques de conservation propres à chaque classe.</w:t>
      </w:r>
    </w:p>
    <w:bookmarkEnd w:id="242"/>
    <w:bookmarkStart w:id="243" w:name="Xd330c1f4313744497f5e6e11d23dfe7cb0cc74d"/>
    <w:p>
      <w:pPr>
        <w:pStyle w:val="Heading2"/>
      </w:pPr>
      <w:r>
        <w:t xml:space="preserve">28.6 Disponibilité, continuité et pile technique recommandée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Exigence</w:t>
            </w:r>
          </w:p>
        </w:tc>
        <w:tc>
          <w:tcPr>
            <w:shd w:val="clear" w:color="auto" w:fill="1BA996"/>
          </w:tcPr>
          <w:p>
            <w:pPr>
              <w:pStyle w:val="Compact"/>
              <w:spacing w:after="20" w:before="20" w:line="240" w:lineRule="auto"/>
              <w:jc w:val="left"/>
            </w:pPr>
            <w:r>
              <w:rPr>
                <w:b/>
                <w:color w:val="FFFFFF"/>
                <w:sz w:val="17"/>
              </w:rPr>
              <w:t xml:space="preserve">Cible initiale</w:t>
            </w:r>
          </w:p>
        </w:tc>
      </w:tr>
      <w:tr>
        <w:tc>
          <w:tcPr/>
          <w:p>
            <w:pPr>
              <w:pStyle w:val="Compact"/>
              <w:spacing w:after="20" w:before="20" w:line="240" w:lineRule="auto"/>
              <w:jc w:val="left"/>
            </w:pPr>
            <w:r>
              <w:rPr>
                <w:sz w:val="17"/>
              </w:rPr>
              <w:t xml:space="preserve">Disponibilité citoyen et paiement</w:t>
            </w:r>
          </w:p>
        </w:tc>
        <w:tc>
          <w:tcPr/>
          <w:p>
            <w:pPr>
              <w:pStyle w:val="Compact"/>
              <w:spacing w:after="20" w:before="20" w:line="240" w:lineRule="auto"/>
              <w:jc w:val="left"/>
            </w:pPr>
            <w:r>
              <w:rPr>
                <w:sz w:val="17"/>
              </w:rPr>
              <w:t xml:space="preserve">99,9 % par mois hors maintenance annoncée</w:t>
            </w:r>
          </w:p>
        </w:tc>
      </w:tr>
      <w:tr>
        <w:tc>
          <w:tcPr>
            <w:shd w:val="clear" w:color="auto" w:fill="F2F9F8"/>
          </w:tcPr>
          <w:p>
            <w:pPr>
              <w:pStyle w:val="Compact"/>
              <w:spacing w:after="20" w:before="20" w:line="240" w:lineRule="auto"/>
              <w:jc w:val="left"/>
            </w:pPr>
            <w:r>
              <w:rPr>
                <w:sz w:val="17"/>
              </w:rPr>
              <w:t xml:space="preserve">Point de reprise du grand livre</w:t>
            </w:r>
          </w:p>
        </w:tc>
        <w:tc>
          <w:tcPr>
            <w:shd w:val="clear" w:color="auto" w:fill="F2F9F8"/>
          </w:tcPr>
          <w:p>
            <w:pPr>
              <w:pStyle w:val="Compact"/>
              <w:spacing w:after="20" w:before="20" w:line="240" w:lineRule="auto"/>
              <w:jc w:val="left"/>
            </w:pPr>
            <w:r>
              <w:rPr>
                <w:sz w:val="17"/>
              </w:rPr>
              <w:t xml:space="preserve">Perte logique proche de zéro ; réplication synchrone selon site</w:t>
            </w:r>
          </w:p>
        </w:tc>
      </w:tr>
      <w:tr>
        <w:tc>
          <w:tcPr/>
          <w:p>
            <w:pPr>
              <w:pStyle w:val="Compact"/>
              <w:spacing w:after="20" w:before="20" w:line="240" w:lineRule="auto"/>
              <w:jc w:val="left"/>
            </w:pPr>
            <w:r>
              <w:rPr>
                <w:sz w:val="17"/>
              </w:rPr>
              <w:t xml:space="preserve">Temps de reprise critique</w:t>
            </w:r>
          </w:p>
        </w:tc>
        <w:tc>
          <w:tcPr/>
          <w:p>
            <w:pPr>
              <w:pStyle w:val="Compact"/>
              <w:spacing w:after="20" w:before="20" w:line="240" w:lineRule="auto"/>
              <w:jc w:val="left"/>
            </w:pPr>
            <w:r>
              <w:rPr>
                <w:sz w:val="17"/>
              </w:rPr>
              <w:t xml:space="preserve">4 heures maximum au pilote, 1 heure à maturité</w:t>
            </w:r>
          </w:p>
        </w:tc>
      </w:tr>
      <w:tr>
        <w:tc>
          <w:tcPr>
            <w:shd w:val="clear" w:color="auto" w:fill="F2F9F8"/>
          </w:tcPr>
          <w:p>
            <w:pPr>
              <w:pStyle w:val="Compact"/>
              <w:spacing w:after="20" w:before="20" w:line="240" w:lineRule="auto"/>
              <w:jc w:val="left"/>
            </w:pPr>
            <w:r>
              <w:rPr>
                <w:sz w:val="17"/>
              </w:rPr>
              <w:t xml:space="preserve">Sauvegardes</w:t>
            </w:r>
          </w:p>
        </w:tc>
        <w:tc>
          <w:tcPr>
            <w:shd w:val="clear" w:color="auto" w:fill="F2F9F8"/>
          </w:tcPr>
          <w:p>
            <w:pPr>
              <w:pStyle w:val="Compact"/>
              <w:spacing w:after="20" w:before="20" w:line="240" w:lineRule="auto"/>
              <w:jc w:val="left"/>
            </w:pPr>
            <w:r>
              <w:rPr>
                <w:sz w:val="17"/>
              </w:rPr>
              <w:t xml:space="preserve">Chiffrées, immuables, hors domaine principal, restauration testée chaque trimestre</w:t>
            </w:r>
          </w:p>
        </w:tc>
      </w:tr>
      <w:tr>
        <w:tc>
          <w:tcPr/>
          <w:p>
            <w:pPr>
              <w:pStyle w:val="Compact"/>
              <w:spacing w:after="20" w:before="20" w:line="240" w:lineRule="auto"/>
              <w:jc w:val="left"/>
            </w:pPr>
            <w:r>
              <w:rPr>
                <w:sz w:val="17"/>
              </w:rPr>
              <w:t xml:space="preserve">Mode dégradé</w:t>
            </w:r>
          </w:p>
        </w:tc>
        <w:tc>
          <w:tcPr/>
          <w:p>
            <w:pPr>
              <w:pStyle w:val="Compact"/>
              <w:spacing w:after="20" w:before="20" w:line="240" w:lineRule="auto"/>
              <w:jc w:val="left"/>
            </w:pPr>
            <w:r>
              <w:rPr>
                <w:sz w:val="17"/>
              </w:rPr>
              <w:t xml:space="preserve">Consultation limitée et collecte terrain hors connexion</w:t>
            </w:r>
          </w:p>
        </w:tc>
      </w:tr>
      <w:tr>
        <w:tc>
          <w:tcPr>
            <w:shd w:val="clear" w:color="auto" w:fill="F2F9F8"/>
          </w:tcPr>
          <w:p>
            <w:pPr>
              <w:pStyle w:val="Compact"/>
              <w:spacing w:after="20" w:before="20" w:line="240" w:lineRule="auto"/>
              <w:jc w:val="left"/>
            </w:pPr>
            <w:r>
              <w:rPr>
                <w:sz w:val="17"/>
              </w:rPr>
              <w:t xml:space="preserve">Capacité</w:t>
            </w:r>
          </w:p>
        </w:tc>
        <w:tc>
          <w:tcPr>
            <w:shd w:val="clear" w:color="auto" w:fill="F2F9F8"/>
          </w:tcPr>
          <w:p>
            <w:pPr>
              <w:pStyle w:val="Compact"/>
              <w:spacing w:after="20" w:before="20" w:line="240" w:lineRule="auto"/>
              <w:jc w:val="left"/>
            </w:pPr>
            <w:r>
              <w:rPr>
                <w:sz w:val="17"/>
              </w:rPr>
              <w:t xml:space="preserve">Tests au pic prévu avec une marge minimale de 3 fois</w:t>
            </w:r>
          </w:p>
        </w:tc>
      </w:tr>
    </w:tbl>
    <w:p>
      <w:pPr>
        <w:pStyle w:val="BodyText"/>
      </w:pPr>
      <w:r>
        <w:t xml:space="preserve">Pile recommandée par le plan directeur KIN-RECETTES : portails web en Next.js, services en NestJS, PostgreSQL avec PostGIS pour le cadastre fiscal, flux d’événements Kafka avec</w:t>
      </w:r>
      <w:r>
        <w:t xml:space="preserve"> </w:t>
      </w:r>
      <w:r>
        <w:rPr>
          <w:i/>
          <w:iCs/>
        </w:rPr>
        <w:t xml:space="preserve">outbox</w:t>
      </w:r>
      <w:r>
        <w:t xml:space="preserve"> </w:t>
      </w:r>
      <w:r>
        <w:t xml:space="preserve">transactionnelle et files de reprise, enregistrements en</w:t>
      </w:r>
      <w:r>
        <w:t xml:space="preserve"> </w:t>
      </w:r>
      <w:r>
        <w:rPr>
          <w:i/>
          <w:iCs/>
        </w:rPr>
        <w:t xml:space="preserve">event sourcing</w:t>
      </w:r>
      <w:r>
        <w:t xml:space="preserve"> </w:t>
      </w:r>
      <w:r>
        <w:t xml:space="preserve">pour que le journal d’audit soit le système de référence ; fonctions d’IA (assistant lingala-français, signaux d’imagerie, classement des anomalies) derrière une passerelle IA mesurée, le moteur fiscal fonctionnant sans elles. BitriPay peut agir comme agrégateur et commutateur QR sans jamais détenir de fonds, avec KODA pour la vérification des confirmations Mobile Money ; la plateforme accepte aussi directement toute banque et tout opérateur agréés, pour éviter toute perception de dépendance. Aucun fournisseur ne dispose d’un accès permanent aux données de production.</w:t>
      </w:r>
    </w:p>
    <w:bookmarkEnd w:id="243"/>
    <w:bookmarkEnd w:id="244"/>
    <w:bookmarkStart w:id="248" w:name="modèle-de-données-conceptuel"/>
    <w:p>
      <w:pPr>
        <w:pStyle w:val="Heading1"/>
      </w:pPr>
      <w:r>
        <w:t xml:space="preserve">29. Modèle de données conceptuel</w:t>
      </w:r>
    </w:p>
    <w:p>
      <w:pPr>
        <w:pStyle w:val="FirstParagraph"/>
      </w:pPr>
      <w:r>
        <w:t xml:space="preserve">Chaque entité porte : finalité ; champs principaux ; relations ; règles</w:t>
      </w:r>
      <w:r>
        <w:t xml:space="preserve"> </w:t>
      </w:r>
      <w:r>
        <w:t xml:space="preserve">de validation ; cycle de vie ; exigences d'audit ; durée de</w:t>
      </w:r>
      <w:r>
        <w:t xml:space="preserve"> </w:t>
      </w:r>
      <w:r>
        <w:t xml:space="preserve">conservation ; classification de confidentialité. Le tableau ci-dessous</w:t>
      </w:r>
      <w:r>
        <w:t xml:space="preserve"> </w:t>
      </w:r>
      <w:r>
        <w:t xml:space="preserve">fixe le noyau ; le dictionnaire de données détaillé est un livrable de</w:t>
      </w:r>
      <w:r>
        <w:t xml:space="preserve"> </w:t>
      </w:r>
      <w:r>
        <w:t xml:space="preserve">la phase 1.</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274"/>
        <w:gridCol w:w="1432"/>
        <w:gridCol w:w="2190"/>
        <w:gridCol w:w="1853"/>
      </w:tblGrid>
      <w:tr>
        <w:trPr>
          <w:tblHeader w:val="true"/>
          <w:tblHeader/>
        </w:trPr>
        <w:tc>
          <w:tcPr>
            <w:shd w:val="clear" w:color="auto" w:fill="1BA996"/>
          </w:tcPr>
          <w:p>
            <w:pPr>
              <w:pStyle w:val="Compact"/>
              <w:spacing w:after="20" w:before="20" w:line="240" w:lineRule="auto"/>
              <w:jc w:val="left"/>
            </w:pPr>
            <w:r>
              <w:rPr>
                <w:b/>
                <w:bCs/>
                <w:color w:val="FFFFFF"/>
                <w:sz w:val="17"/>
              </w:rPr>
              <w:t xml:space="preserve">Entité</w:t>
            </w:r>
          </w:p>
        </w:tc>
        <w:tc>
          <w:tcPr>
            <w:shd w:val="clear" w:color="auto" w:fill="1BA996"/>
          </w:tcPr>
          <w:p>
            <w:pPr>
              <w:pStyle w:val="Compact"/>
              <w:spacing w:after="20" w:before="20" w:line="240" w:lineRule="auto"/>
              <w:jc w:val="left"/>
            </w:pPr>
            <w:r>
              <w:rPr>
                <w:b/>
                <w:bCs/>
                <w:color w:val="FFFFFF"/>
                <w:sz w:val="17"/>
              </w:rPr>
              <w:t xml:space="preserve">Finalité</w:t>
            </w:r>
          </w:p>
        </w:tc>
        <w:tc>
          <w:tcPr>
            <w:shd w:val="clear" w:color="auto" w:fill="1BA996"/>
          </w:tcPr>
          <w:p>
            <w:pPr>
              <w:pStyle w:val="Compact"/>
              <w:spacing w:after="20" w:before="20" w:line="240" w:lineRule="auto"/>
              <w:jc w:val="left"/>
            </w:pPr>
            <w:r>
              <w:rPr>
                <w:b/>
                <w:bCs/>
                <w:color w:val="FFFFFF"/>
                <w:sz w:val="17"/>
              </w:rPr>
              <w:t xml:space="preserve">Relations et cycle de</w:t>
            </w:r>
            <w:r>
              <w:rPr>
                <w:b/>
                <w:bCs/>
                <w:color w:val="FFFFFF"/>
                <w:sz w:val="17"/>
              </w:rPr>
              <w:t xml:space="preserve"> </w:t>
            </w:r>
            <w:r>
              <w:rPr>
                <w:b/>
                <w:bCs/>
                <w:color w:val="FFFFFF"/>
                <w:sz w:val="17"/>
              </w:rPr>
              <w:t xml:space="preserve">vie</w:t>
            </w:r>
          </w:p>
        </w:tc>
        <w:tc>
          <w:tcPr>
            <w:shd w:val="clear" w:color="auto" w:fill="1BA996"/>
          </w:tcPr>
          <w:p>
            <w:pPr>
              <w:pStyle w:val="Compact"/>
              <w:spacing w:after="20" w:before="20" w:line="240" w:lineRule="auto"/>
              <w:jc w:val="left"/>
            </w:pPr>
            <w:r>
              <w:rPr>
                <w:b/>
                <w:bCs/>
                <w:color w:val="FFFFFF"/>
                <w:sz w:val="17"/>
              </w:rPr>
              <w:t xml:space="preserve">Confidentialité</w:t>
            </w:r>
          </w:p>
        </w:tc>
      </w:tr>
      <w:tr>
        <w:tc>
          <w:tcPr/>
          <w:p>
            <w:pPr>
              <w:pStyle w:val="Compact"/>
              <w:spacing w:after="20" w:before="20" w:line="240" w:lineRule="auto"/>
              <w:jc w:val="left"/>
            </w:pPr>
            <w:r>
              <w:rPr>
                <w:sz w:val="17"/>
              </w:rPr>
              <w:t xml:space="preserve">Utilisateur</w:t>
            </w:r>
          </w:p>
        </w:tc>
        <w:tc>
          <w:tcPr/>
          <w:p>
            <w:pPr>
              <w:pStyle w:val="Compact"/>
              <w:spacing w:after="20" w:before="20" w:line="240" w:lineRule="auto"/>
              <w:jc w:val="left"/>
            </w:pPr>
            <w:r>
              <w:rPr>
                <w:sz w:val="17"/>
              </w:rPr>
              <w:t xml:space="preserve">Accès au système</w:t>
            </w:r>
          </w:p>
        </w:tc>
        <w:tc>
          <w:tcPr/>
          <w:p>
            <w:pPr>
              <w:pStyle w:val="Compact"/>
              <w:spacing w:after="20" w:before="20" w:line="240" w:lineRule="auto"/>
              <w:jc w:val="left"/>
            </w:pPr>
            <w:r>
              <w:rPr>
                <w:sz w:val="17"/>
              </w:rPr>
              <w:t xml:space="preserve">Lié à Identité, Rôles,</w:t>
            </w:r>
            <w:r>
              <w:rPr>
                <w:sz w:val="17"/>
              </w:rPr>
              <w:t xml:space="preserve"> </w:t>
            </w:r>
            <w:r>
              <w:rPr>
                <w:sz w:val="17"/>
              </w:rPr>
              <w:t xml:space="preserve">Appareils ; actif,</w:t>
            </w:r>
            <w:r>
              <w:rPr>
                <w:sz w:val="17"/>
              </w:rPr>
              <w:t xml:space="preserve"> </w:t>
            </w:r>
            <w:r>
              <w:rPr>
                <w:sz w:val="17"/>
              </w:rPr>
              <w:t xml:space="preserve">suspendu, clos</w:t>
            </w:r>
          </w:p>
        </w:tc>
        <w:tc>
          <w:tcPr/>
          <w:p>
            <w:pPr>
              <w:pStyle w:val="Compact"/>
              <w:spacing w:after="20" w:before="20" w:line="240" w:lineRule="auto"/>
              <w:jc w:val="left"/>
            </w:pPr>
            <w:r>
              <w:rPr>
                <w:sz w:val="17"/>
              </w:rPr>
              <w:t xml:space="preserve">Personnel</w:t>
            </w:r>
          </w:p>
        </w:tc>
      </w:tr>
      <w:tr>
        <w:tc>
          <w:tcPr>
            <w:shd w:val="clear" w:color="auto" w:fill="F2F9F8"/>
          </w:tcPr>
          <w:p>
            <w:pPr>
              <w:pStyle w:val="Compact"/>
              <w:spacing w:after="20" w:before="20" w:line="240" w:lineRule="auto"/>
              <w:jc w:val="left"/>
            </w:pPr>
            <w:r>
              <w:rPr>
                <w:sz w:val="17"/>
              </w:rPr>
              <w:t xml:space="preserve">Contribuable</w:t>
            </w:r>
          </w:p>
        </w:tc>
        <w:tc>
          <w:tcPr>
            <w:shd w:val="clear" w:color="auto" w:fill="F2F9F8"/>
          </w:tcPr>
          <w:p>
            <w:pPr>
              <w:pStyle w:val="Compact"/>
              <w:spacing w:after="20" w:before="20" w:line="240" w:lineRule="auto"/>
              <w:jc w:val="left"/>
            </w:pPr>
            <w:r>
              <w:rPr>
                <w:sz w:val="17"/>
              </w:rPr>
              <w:t xml:space="preserve">Sujet fiscal</w:t>
            </w:r>
            <w:r>
              <w:rPr>
                <w:sz w:val="17"/>
              </w:rPr>
              <w:t xml:space="preserve"> </w:t>
            </w:r>
            <w:r>
              <w:rPr>
                <w:sz w:val="17"/>
              </w:rPr>
              <w:t xml:space="preserve">unique</w:t>
            </w:r>
          </w:p>
        </w:tc>
        <w:tc>
          <w:tcPr>
            <w:shd w:val="clear" w:color="auto" w:fill="F2F9F8"/>
          </w:tcPr>
          <w:p>
            <w:pPr>
              <w:pStyle w:val="Compact"/>
              <w:spacing w:after="20" w:before="20" w:line="240" w:lineRule="auto"/>
              <w:jc w:val="left"/>
            </w:pPr>
            <w:r>
              <w:rPr>
                <w:sz w:val="17"/>
              </w:rPr>
              <w:t xml:space="preserve">Lié à Identité, Objets,</w:t>
            </w:r>
            <w:r>
              <w:rPr>
                <w:sz w:val="17"/>
              </w:rPr>
              <w:t xml:space="preserve"> </w:t>
            </w:r>
            <w:r>
              <w:rPr>
                <w:sz w:val="17"/>
              </w:rPr>
              <w:t xml:space="preserve">Obligations ; provisoire,</w:t>
            </w:r>
            <w:r>
              <w:rPr>
                <w:sz w:val="17"/>
              </w:rPr>
              <w:t xml:space="preserve"> </w:t>
            </w:r>
            <w:r>
              <w:rPr>
                <w:sz w:val="17"/>
              </w:rPr>
              <w:t xml:space="preserve">vérifié, fusionné</w:t>
            </w:r>
          </w:p>
        </w:tc>
        <w:tc>
          <w:tcPr>
            <w:shd w:val="clear" w:color="auto" w:fill="F2F9F8"/>
          </w:tcPr>
          <w:p>
            <w:pPr>
              <w:pStyle w:val="Compact"/>
              <w:spacing w:after="20" w:before="20" w:line="240" w:lineRule="auto"/>
              <w:jc w:val="left"/>
            </w:pPr>
            <w:r>
              <w:rPr>
                <w:sz w:val="17"/>
              </w:rPr>
              <w:t xml:space="preserve">Fiscal sensible</w:t>
            </w:r>
          </w:p>
        </w:tc>
      </w:tr>
      <w:tr>
        <w:tc>
          <w:tcPr/>
          <w:p>
            <w:pPr>
              <w:pStyle w:val="Compact"/>
              <w:spacing w:after="20" w:before="20" w:line="240" w:lineRule="auto"/>
              <w:jc w:val="left"/>
            </w:pPr>
            <w:r>
              <w:rPr>
                <w:sz w:val="17"/>
              </w:rPr>
              <w:t xml:space="preserve">Identité</w:t>
            </w:r>
          </w:p>
        </w:tc>
        <w:tc>
          <w:tcPr/>
          <w:p>
            <w:pPr>
              <w:pStyle w:val="Compact"/>
              <w:spacing w:after="20" w:before="20" w:line="240" w:lineRule="auto"/>
              <w:jc w:val="left"/>
            </w:pPr>
            <w:r>
              <w:rPr>
                <w:sz w:val="17"/>
              </w:rPr>
              <w:t xml:space="preserve">Preuve</w:t>
            </w:r>
            <w:r>
              <w:rPr>
                <w:sz w:val="17"/>
              </w:rPr>
              <w:t xml:space="preserve"> </w:t>
            </w:r>
            <w:r>
              <w:rPr>
                <w:sz w:val="17"/>
              </w:rPr>
              <w:t xml:space="preserve">d'identité</w:t>
            </w:r>
          </w:p>
        </w:tc>
        <w:tc>
          <w:tcPr/>
          <w:p>
            <w:pPr>
              <w:pStyle w:val="Compact"/>
              <w:spacing w:after="20" w:before="20" w:line="240" w:lineRule="auto"/>
              <w:jc w:val="left"/>
            </w:pPr>
            <w:r>
              <w:rPr>
                <w:sz w:val="17"/>
              </w:rPr>
              <w:t xml:space="preserve">Pièces, niveau de</w:t>
            </w:r>
            <w:r>
              <w:rPr>
                <w:sz w:val="17"/>
              </w:rPr>
              <w:t xml:space="preserve"> </w:t>
            </w:r>
            <w:r>
              <w:rPr>
                <w:sz w:val="17"/>
              </w:rPr>
              <w:t xml:space="preserve">vérification ; N0 à N3</w:t>
            </w:r>
          </w:p>
        </w:tc>
        <w:tc>
          <w:tcPr/>
          <w:p>
            <w:pPr>
              <w:pStyle w:val="Compact"/>
              <w:spacing w:after="20" w:before="20" w:line="240" w:lineRule="auto"/>
              <w:jc w:val="left"/>
            </w:pPr>
            <w:r>
              <w:rPr>
                <w:sz w:val="17"/>
              </w:rPr>
              <w:t xml:space="preserve">Personnel sensible</w:t>
            </w:r>
          </w:p>
        </w:tc>
      </w:tr>
      <w:tr>
        <w:tc>
          <w:tcPr>
            <w:shd w:val="clear" w:color="auto" w:fill="F2F9F8"/>
          </w:tcPr>
          <w:p>
            <w:pPr>
              <w:pStyle w:val="Compact"/>
              <w:spacing w:after="20" w:before="20" w:line="240" w:lineRule="auto"/>
              <w:jc w:val="left"/>
            </w:pPr>
            <w:r>
              <w:rPr>
                <w:sz w:val="17"/>
              </w:rPr>
              <w:t xml:space="preserve">Organisation</w:t>
            </w:r>
          </w:p>
        </w:tc>
        <w:tc>
          <w:tcPr>
            <w:shd w:val="clear" w:color="auto" w:fill="F2F9F8"/>
          </w:tcPr>
          <w:p>
            <w:pPr>
              <w:pStyle w:val="Compact"/>
              <w:spacing w:after="20" w:before="20" w:line="240" w:lineRule="auto"/>
              <w:jc w:val="left"/>
            </w:pPr>
            <w:r>
              <w:rPr>
                <w:sz w:val="17"/>
              </w:rPr>
              <w:t xml:space="preserve">Personne morale</w:t>
            </w:r>
          </w:p>
        </w:tc>
        <w:tc>
          <w:tcPr>
            <w:shd w:val="clear" w:color="auto" w:fill="F2F9F8"/>
          </w:tcPr>
          <w:p>
            <w:pPr>
              <w:pStyle w:val="Compact"/>
              <w:spacing w:after="20" w:before="20" w:line="240" w:lineRule="auto"/>
              <w:jc w:val="left"/>
            </w:pPr>
            <w:r>
              <w:rPr>
                <w:sz w:val="17"/>
              </w:rPr>
              <w:t xml:space="preserve">NIF, registre,</w:t>
            </w:r>
            <w:r>
              <w:rPr>
                <w:sz w:val="17"/>
              </w:rPr>
              <w:t xml:space="preserve"> </w:t>
            </w:r>
            <w:r>
              <w:rPr>
                <w:sz w:val="17"/>
              </w:rPr>
              <w:t xml:space="preserve">mandataires,</w:t>
            </w:r>
            <w:r>
              <w:rPr>
                <w:sz w:val="17"/>
              </w:rPr>
              <w:t xml:space="preserve"> </w:t>
            </w:r>
            <w:r>
              <w:rPr>
                <w:sz w:val="17"/>
              </w:rPr>
              <w:t xml:space="preserve">établissements</w:t>
            </w:r>
          </w:p>
        </w:tc>
        <w:tc>
          <w:tcPr>
            <w:shd w:val="clear" w:color="auto" w:fill="F2F9F8"/>
          </w:tcPr>
          <w:p>
            <w:pPr>
              <w:pStyle w:val="Compact"/>
              <w:spacing w:after="20" w:before="20" w:line="240" w:lineRule="auto"/>
              <w:jc w:val="left"/>
            </w:pPr>
            <w:r>
              <w:rPr>
                <w:sz w:val="17"/>
              </w:rPr>
              <w:t xml:space="preserve">Fiscal</w:t>
            </w:r>
          </w:p>
        </w:tc>
      </w:tr>
      <w:tr>
        <w:tc>
          <w:tcPr/>
          <w:p>
            <w:pPr>
              <w:pStyle w:val="Compact"/>
              <w:spacing w:after="20" w:before="20" w:line="240" w:lineRule="auto"/>
              <w:jc w:val="left"/>
            </w:pPr>
            <w:r>
              <w:rPr>
                <w:sz w:val="17"/>
              </w:rPr>
              <w:t xml:space="preserve">Adresse</w:t>
            </w:r>
          </w:p>
        </w:tc>
        <w:tc>
          <w:tcPr/>
          <w:p>
            <w:pPr>
              <w:pStyle w:val="Compact"/>
              <w:spacing w:after="20" w:before="20" w:line="240" w:lineRule="auto"/>
              <w:jc w:val="left"/>
            </w:pPr>
            <w:r>
              <w:rPr>
                <w:sz w:val="17"/>
              </w:rPr>
              <w:t xml:space="preserve">Localisation</w:t>
            </w:r>
            <w:r>
              <w:rPr>
                <w:sz w:val="17"/>
              </w:rPr>
              <w:t xml:space="preserve"> </w:t>
            </w:r>
            <w:r>
              <w:rPr>
                <w:sz w:val="17"/>
              </w:rPr>
              <w:t xml:space="preserve">administrative</w:t>
            </w:r>
          </w:p>
        </w:tc>
        <w:tc>
          <w:tcPr/>
          <w:p>
            <w:pPr>
              <w:pStyle w:val="Compact"/>
              <w:spacing w:after="20" w:before="20" w:line="240" w:lineRule="auto"/>
              <w:jc w:val="left"/>
            </w:pPr>
            <w:r>
              <w:rPr>
                <w:sz w:val="17"/>
              </w:rPr>
              <w:t xml:space="preserve">Commune, quartier, avenue</w:t>
            </w:r>
            <w:r>
              <w:rPr>
                <w:sz w:val="17"/>
              </w:rPr>
              <w:t xml:space="preserve"> </w:t>
            </w:r>
            <w:r>
              <w:rPr>
                <w:sz w:val="17"/>
              </w:rPr>
              <w:t xml:space="preserve">; déclarée, vérifiée</w:t>
            </w:r>
          </w:p>
        </w:tc>
        <w:tc>
          <w:tcPr/>
          <w:p>
            <w:pPr>
              <w:pStyle w:val="Compact"/>
              <w:spacing w:after="20" w:before="20" w:line="240" w:lineRule="auto"/>
              <w:jc w:val="left"/>
            </w:pPr>
            <w:r>
              <w:rPr>
                <w:sz w:val="17"/>
              </w:rPr>
              <w:t xml:space="preserve">Personnel</w:t>
            </w:r>
          </w:p>
        </w:tc>
      </w:tr>
      <w:tr>
        <w:tc>
          <w:tcPr>
            <w:shd w:val="clear" w:color="auto" w:fill="F2F9F8"/>
          </w:tcPr>
          <w:p>
            <w:pPr>
              <w:pStyle w:val="Compact"/>
              <w:spacing w:after="20" w:before="20" w:line="240" w:lineRule="auto"/>
              <w:jc w:val="left"/>
            </w:pPr>
            <w:r>
              <w:rPr>
                <w:sz w:val="17"/>
              </w:rPr>
              <w:t xml:space="preserve">Géolocalisation</w:t>
            </w:r>
          </w:p>
        </w:tc>
        <w:tc>
          <w:tcPr>
            <w:shd w:val="clear" w:color="auto" w:fill="F2F9F8"/>
          </w:tcPr>
          <w:p>
            <w:pPr>
              <w:pStyle w:val="Compact"/>
              <w:spacing w:after="20" w:before="20" w:line="240" w:lineRule="auto"/>
              <w:jc w:val="left"/>
            </w:pPr>
            <w:r>
              <w:rPr>
                <w:sz w:val="17"/>
              </w:rPr>
              <w:t xml:space="preserve">Point et emprise</w:t>
            </w:r>
          </w:p>
        </w:tc>
        <w:tc>
          <w:tcPr>
            <w:shd w:val="clear" w:color="auto" w:fill="F2F9F8"/>
          </w:tcPr>
          <w:p>
            <w:pPr>
              <w:pStyle w:val="Compact"/>
              <w:spacing w:after="20" w:before="20" w:line="240" w:lineRule="auto"/>
              <w:jc w:val="left"/>
            </w:pPr>
            <w:r>
              <w:rPr>
                <w:sz w:val="17"/>
              </w:rPr>
              <w:t xml:space="preserve">Objet, précision, source</w:t>
            </w:r>
          </w:p>
        </w:tc>
        <w:tc>
          <w:tcPr>
            <w:shd w:val="clear" w:color="auto" w:fill="F2F9F8"/>
          </w:tcPr>
          <w:p>
            <w:pPr>
              <w:pStyle w:val="Compact"/>
              <w:spacing w:after="20" w:before="20" w:line="240" w:lineRule="auto"/>
              <w:jc w:val="left"/>
            </w:pPr>
            <w:r>
              <w:rPr>
                <w:sz w:val="17"/>
              </w:rPr>
              <w:t xml:space="preserve">Interne</w:t>
            </w:r>
          </w:p>
        </w:tc>
      </w:tr>
      <w:tr>
        <w:tc>
          <w:tcPr/>
          <w:p>
            <w:pPr>
              <w:pStyle w:val="Compact"/>
              <w:spacing w:after="20" w:before="20" w:line="240" w:lineRule="auto"/>
              <w:jc w:val="left"/>
            </w:pPr>
            <w:r>
              <w:rPr>
                <w:sz w:val="17"/>
              </w:rPr>
              <w:t xml:space="preserve">ObjetFiscal</w:t>
            </w:r>
          </w:p>
        </w:tc>
        <w:tc>
          <w:tcPr/>
          <w:p>
            <w:pPr>
              <w:pStyle w:val="Compact"/>
              <w:spacing w:after="20" w:before="20" w:line="240" w:lineRule="auto"/>
              <w:jc w:val="left"/>
            </w:pPr>
            <w:r>
              <w:rPr>
                <w:sz w:val="17"/>
              </w:rPr>
              <w:t xml:space="preserve">Toute chose</w:t>
            </w:r>
            <w:r>
              <w:rPr>
                <w:sz w:val="17"/>
              </w:rPr>
              <w:t xml:space="preserve"> </w:t>
            </w:r>
            <w:r>
              <w:rPr>
                <w:sz w:val="17"/>
              </w:rPr>
              <w:t xml:space="preserve">imposable</w:t>
            </w:r>
          </w:p>
        </w:tc>
        <w:tc>
          <w:tcPr/>
          <w:p>
            <w:pPr>
              <w:pStyle w:val="Compact"/>
              <w:spacing w:after="20" w:before="20" w:line="240" w:lineRule="auto"/>
              <w:jc w:val="left"/>
            </w:pPr>
            <w:r>
              <w:rPr>
                <w:sz w:val="17"/>
              </w:rPr>
              <w:t xml:space="preserve">Parent de Parcelle,</w:t>
            </w:r>
            <w:r>
              <w:rPr>
                <w:sz w:val="17"/>
              </w:rPr>
              <w:t xml:space="preserve"> </w:t>
            </w:r>
            <w:r>
              <w:rPr>
                <w:sz w:val="17"/>
              </w:rPr>
              <w:t xml:space="preserve">Unité, Activité,</w:t>
            </w:r>
            <w:r>
              <w:rPr>
                <w:sz w:val="17"/>
              </w:rPr>
              <w:t xml:space="preserve"> </w:t>
            </w:r>
            <w:r>
              <w:rPr>
                <w:sz w:val="17"/>
              </w:rPr>
              <w:t xml:space="preserve">Véhicule, Panneau,</w:t>
            </w:r>
            <w:r>
              <w:rPr>
                <w:sz w:val="17"/>
              </w:rPr>
              <w:t xml:space="preserve"> </w:t>
            </w:r>
            <w:r>
              <w:rPr>
                <w:sz w:val="17"/>
              </w:rPr>
              <w:t xml:space="preserve">Antenne, Embarcation,</w:t>
            </w:r>
            <w:r>
              <w:rPr>
                <w:sz w:val="17"/>
              </w:rPr>
              <w:t xml:space="preserve"> </w:t>
            </w:r>
            <w:r>
              <w:rPr>
                <w:sz w:val="17"/>
              </w:rPr>
              <w:t xml:space="preserve">Concession ; provisoire,</w:t>
            </w:r>
            <w:r>
              <w:rPr>
                <w:sz w:val="17"/>
              </w:rPr>
              <w:t xml:space="preserve"> </w:t>
            </w:r>
            <w:r>
              <w:rPr>
                <w:sz w:val="17"/>
              </w:rPr>
              <w:t xml:space="preserve">actif, suspendu, clos</w:t>
            </w:r>
          </w:p>
        </w:tc>
        <w:tc>
          <w:tcPr/>
          <w:p>
            <w:pPr>
              <w:pStyle w:val="Compact"/>
              <w:spacing w:after="20" w:before="20" w:line="240" w:lineRule="auto"/>
              <w:jc w:val="left"/>
            </w:pPr>
            <w:r>
              <w:rPr>
                <w:sz w:val="17"/>
              </w:rPr>
              <w:t xml:space="preserve">Fiscal</w:t>
            </w:r>
          </w:p>
        </w:tc>
      </w:tr>
      <w:tr>
        <w:tc>
          <w:tcPr>
            <w:shd w:val="clear" w:color="auto" w:fill="F2F9F8"/>
          </w:tcPr>
          <w:p>
            <w:pPr>
              <w:pStyle w:val="Compact"/>
              <w:spacing w:after="20" w:before="20" w:line="240" w:lineRule="auto"/>
              <w:jc w:val="left"/>
            </w:pPr>
            <w:r>
              <w:rPr>
                <w:sz w:val="17"/>
              </w:rPr>
              <w:t xml:space="preserve">Parcelle / Bâtiment /</w:t>
            </w:r>
            <w:r>
              <w:rPr>
                <w:sz w:val="17"/>
              </w:rPr>
              <w:t xml:space="preserve"> </w:t>
            </w:r>
            <w:r>
              <w:rPr>
                <w:sz w:val="17"/>
              </w:rPr>
              <w:t xml:space="preserve">UnitéLocative</w:t>
            </w:r>
          </w:p>
        </w:tc>
        <w:tc>
          <w:tcPr>
            <w:shd w:val="clear" w:color="auto" w:fill="F2F9F8"/>
          </w:tcPr>
          <w:p>
            <w:pPr>
              <w:pStyle w:val="Compact"/>
              <w:spacing w:after="20" w:before="20" w:line="240" w:lineRule="auto"/>
              <w:jc w:val="left"/>
            </w:pPr>
            <w:r>
              <w:rPr>
                <w:sz w:val="17"/>
              </w:rPr>
              <w:t xml:space="preserve">Assiette</w:t>
            </w:r>
            <w:r>
              <w:rPr>
                <w:sz w:val="17"/>
              </w:rPr>
              <w:t xml:space="preserve"> </w:t>
            </w:r>
            <w:r>
              <w:rPr>
                <w:sz w:val="17"/>
              </w:rPr>
              <w:t xml:space="preserve">foncière et</w:t>
            </w:r>
            <w:r>
              <w:rPr>
                <w:sz w:val="17"/>
              </w:rPr>
              <w:t xml:space="preserve"> </w:t>
            </w:r>
            <w:r>
              <w:rPr>
                <w:sz w:val="17"/>
              </w:rPr>
              <w:t xml:space="preserve">locative</w:t>
            </w:r>
          </w:p>
        </w:tc>
        <w:tc>
          <w:tcPr>
            <w:shd w:val="clear" w:color="auto" w:fill="F2F9F8"/>
          </w:tcPr>
          <w:p>
            <w:pPr>
              <w:pStyle w:val="Compact"/>
              <w:spacing w:after="20" w:before="20" w:line="240" w:lineRule="auto"/>
              <w:jc w:val="left"/>
            </w:pPr>
            <w:r>
              <w:rPr>
                <w:sz w:val="17"/>
              </w:rPr>
              <w:t xml:space="preserve">Hiérarchie parcelle →</w:t>
            </w:r>
            <w:r>
              <w:rPr>
                <w:sz w:val="17"/>
              </w:rPr>
              <w:t xml:space="preserve"> </w:t>
            </w:r>
            <w:r>
              <w:rPr>
                <w:sz w:val="17"/>
              </w:rPr>
              <w:t xml:space="preserve">bâtiment → unité</w:t>
            </w:r>
          </w:p>
        </w:tc>
        <w:tc>
          <w:tcPr>
            <w:shd w:val="clear" w:color="auto" w:fill="F2F9F8"/>
          </w:tcPr>
          <w:p>
            <w:pPr>
              <w:pStyle w:val="Compact"/>
              <w:spacing w:after="20" w:before="20" w:line="240" w:lineRule="auto"/>
              <w:jc w:val="left"/>
            </w:pPr>
            <w:r>
              <w:rPr>
                <w:sz w:val="17"/>
              </w:rPr>
              <w:t xml:space="preserve">Fiscal</w:t>
            </w:r>
          </w:p>
        </w:tc>
      </w:tr>
      <w:tr>
        <w:tc>
          <w:tcPr/>
          <w:p>
            <w:pPr>
              <w:pStyle w:val="Compact"/>
              <w:spacing w:after="20" w:before="20" w:line="240" w:lineRule="auto"/>
              <w:jc w:val="left"/>
            </w:pPr>
            <w:r>
              <w:rPr>
                <w:sz w:val="17"/>
              </w:rPr>
              <w:t xml:space="preserve">Bail</w:t>
            </w:r>
          </w:p>
        </w:tc>
        <w:tc>
          <w:tcPr/>
          <w:p>
            <w:pPr>
              <w:pStyle w:val="Compact"/>
              <w:spacing w:after="20" w:before="20" w:line="240" w:lineRule="auto"/>
              <w:jc w:val="left"/>
            </w:pPr>
            <w:r>
              <w:rPr>
                <w:sz w:val="17"/>
              </w:rPr>
              <w:t xml:space="preserve">Base de l'IRL</w:t>
            </w:r>
          </w:p>
        </w:tc>
        <w:tc>
          <w:tcPr/>
          <w:p>
            <w:pPr>
              <w:pStyle w:val="Compact"/>
              <w:spacing w:after="20" w:before="20" w:line="240" w:lineRule="auto"/>
              <w:jc w:val="left"/>
            </w:pPr>
            <w:r>
              <w:rPr>
                <w:sz w:val="17"/>
              </w:rPr>
              <w:t xml:space="preserve">Bailleur, locataire,</w:t>
            </w:r>
            <w:r>
              <w:rPr>
                <w:sz w:val="17"/>
              </w:rPr>
              <w:t xml:space="preserve"> </w:t>
            </w:r>
            <w:r>
              <w:rPr>
                <w:sz w:val="17"/>
              </w:rPr>
              <w:t xml:space="preserve">unité, loyer, période ;</w:t>
            </w:r>
            <w:r>
              <w:rPr>
                <w:sz w:val="17"/>
              </w:rPr>
              <w:t xml:space="preserve"> </w:t>
            </w:r>
            <w:r>
              <w:rPr>
                <w:sz w:val="17"/>
              </w:rPr>
              <w:t xml:space="preserve">déclaré, vérifié,</w:t>
            </w:r>
            <w:r>
              <w:rPr>
                <w:sz w:val="17"/>
              </w:rPr>
              <w:t xml:space="preserve"> </w:t>
            </w:r>
            <w:r>
              <w:rPr>
                <w:sz w:val="17"/>
              </w:rPr>
              <w:t xml:space="preserve">résilié, contesté</w:t>
            </w:r>
          </w:p>
        </w:tc>
        <w:tc>
          <w:tcPr/>
          <w:p>
            <w:pPr>
              <w:pStyle w:val="Compact"/>
              <w:spacing w:after="20" w:before="20" w:line="240" w:lineRule="auto"/>
              <w:jc w:val="left"/>
            </w:pPr>
            <w:r>
              <w:rPr>
                <w:sz w:val="17"/>
              </w:rPr>
              <w:t xml:space="preserve">Fiscal sensible</w:t>
            </w:r>
          </w:p>
        </w:tc>
      </w:tr>
      <w:tr>
        <w:tc>
          <w:tcPr>
            <w:shd w:val="clear" w:color="auto" w:fill="F2F9F8"/>
          </w:tcPr>
          <w:p>
            <w:pPr>
              <w:pStyle w:val="Compact"/>
              <w:spacing w:after="20" w:before="20" w:line="240" w:lineRule="auto"/>
              <w:jc w:val="left"/>
            </w:pPr>
            <w:r>
              <w:rPr>
                <w:sz w:val="17"/>
              </w:rPr>
              <w:t xml:space="preserve">Activité / Établissement</w:t>
            </w:r>
          </w:p>
        </w:tc>
        <w:tc>
          <w:tcPr>
            <w:shd w:val="clear" w:color="auto" w:fill="F2F9F8"/>
          </w:tcPr>
          <w:p>
            <w:pPr>
              <w:pStyle w:val="Compact"/>
              <w:spacing w:after="20" w:before="20" w:line="240" w:lineRule="auto"/>
              <w:jc w:val="left"/>
            </w:pPr>
            <w:r>
              <w:rPr>
                <w:sz w:val="17"/>
              </w:rPr>
              <w:t xml:space="preserve">Base de la</w:t>
            </w:r>
            <w:r>
              <w:rPr>
                <w:sz w:val="17"/>
              </w:rPr>
              <w:t xml:space="preserve"> </w:t>
            </w:r>
            <w:r>
              <w:rPr>
                <w:sz w:val="17"/>
              </w:rPr>
              <w:t xml:space="preserve">patente et des</w:t>
            </w:r>
            <w:r>
              <w:rPr>
                <w:sz w:val="17"/>
              </w:rPr>
              <w:t xml:space="preserve"> </w:t>
            </w:r>
            <w:r>
              <w:rPr>
                <w:sz w:val="17"/>
              </w:rPr>
              <w:t xml:space="preserve">autorisations</w:t>
            </w:r>
          </w:p>
        </w:tc>
        <w:tc>
          <w:tcPr>
            <w:shd w:val="clear" w:color="auto" w:fill="F2F9F8"/>
          </w:tcPr>
          <w:p>
            <w:pPr>
              <w:pStyle w:val="Compact"/>
              <w:spacing w:after="20" w:before="20" w:line="240" w:lineRule="auto"/>
              <w:jc w:val="left"/>
            </w:pPr>
            <w:r>
              <w:rPr>
                <w:sz w:val="17"/>
              </w:rPr>
              <w:t xml:space="preserve">Contribuable,</w:t>
            </w:r>
            <w:r>
              <w:rPr>
                <w:sz w:val="17"/>
              </w:rPr>
              <w:t xml:space="preserve"> </w:t>
            </w:r>
            <w:r>
              <w:rPr>
                <w:sz w:val="17"/>
              </w:rPr>
              <w:t xml:space="preserve">localisation, catégorie</w:t>
            </w:r>
          </w:p>
        </w:tc>
        <w:tc>
          <w:tcPr>
            <w:shd w:val="clear" w:color="auto" w:fill="F2F9F8"/>
          </w:tcPr>
          <w:p>
            <w:pPr>
              <w:pStyle w:val="Compact"/>
              <w:spacing w:after="20" w:before="20" w:line="240" w:lineRule="auto"/>
              <w:jc w:val="left"/>
            </w:pPr>
            <w:r>
              <w:rPr>
                <w:sz w:val="17"/>
              </w:rPr>
              <w:t xml:space="preserve">Fiscal</w:t>
            </w:r>
          </w:p>
        </w:tc>
      </w:tr>
      <w:tr>
        <w:tc>
          <w:tcPr/>
          <w:p>
            <w:pPr>
              <w:pStyle w:val="Compact"/>
              <w:spacing w:after="20" w:before="20" w:line="240" w:lineRule="auto"/>
              <w:jc w:val="left"/>
            </w:pPr>
            <w:r>
              <w:rPr>
                <w:sz w:val="17"/>
              </w:rPr>
              <w:t xml:space="preserve">Véhicule</w:t>
            </w:r>
          </w:p>
        </w:tc>
        <w:tc>
          <w:tcPr/>
          <w:p>
            <w:pPr>
              <w:pStyle w:val="Compact"/>
              <w:spacing w:after="20" w:before="20" w:line="240" w:lineRule="auto"/>
              <w:jc w:val="left"/>
            </w:pPr>
            <w:r>
              <w:rPr>
                <w:sz w:val="17"/>
              </w:rPr>
              <w:t xml:space="preserve">Base vignette et</w:t>
            </w:r>
            <w:r>
              <w:rPr>
                <w:sz w:val="17"/>
              </w:rPr>
              <w:t xml:space="preserve"> </w:t>
            </w:r>
            <w:r>
              <w:rPr>
                <w:sz w:val="17"/>
              </w:rPr>
              <w:t xml:space="preserve">circulation</w:t>
            </w:r>
          </w:p>
        </w:tc>
        <w:tc>
          <w:tcPr/>
          <w:p>
            <w:pPr>
              <w:pStyle w:val="Compact"/>
              <w:spacing w:after="20" w:before="20" w:line="240" w:lineRule="auto"/>
              <w:jc w:val="left"/>
            </w:pPr>
            <w:r>
              <w:rPr>
                <w:sz w:val="17"/>
              </w:rPr>
              <w:t xml:space="preserve">Plaque, propriétaire,</w:t>
            </w:r>
            <w:r>
              <w:rPr>
                <w:sz w:val="17"/>
              </w:rPr>
              <w:t xml:space="preserve"> </w:t>
            </w:r>
            <w:r>
              <w:rPr>
                <w:sz w:val="17"/>
              </w:rPr>
              <w:t xml:space="preserve">mutations</w:t>
            </w:r>
          </w:p>
        </w:tc>
        <w:tc>
          <w:tcPr/>
          <w:p>
            <w:pPr>
              <w:pStyle w:val="Compact"/>
              <w:spacing w:after="20" w:before="20" w:line="240" w:lineRule="auto"/>
              <w:jc w:val="left"/>
            </w:pPr>
            <w:r>
              <w:rPr>
                <w:sz w:val="17"/>
              </w:rPr>
              <w:t xml:space="preserve">Fiscal</w:t>
            </w:r>
          </w:p>
        </w:tc>
      </w:tr>
      <w:tr>
        <w:tc>
          <w:tcPr>
            <w:shd w:val="clear" w:color="auto" w:fill="F2F9F8"/>
          </w:tcPr>
          <w:p>
            <w:pPr>
              <w:pStyle w:val="Compact"/>
              <w:spacing w:after="20" w:before="20" w:line="240" w:lineRule="auto"/>
              <w:jc w:val="left"/>
            </w:pPr>
            <w:r>
              <w:rPr>
                <w:sz w:val="17"/>
              </w:rPr>
              <w:t xml:space="preserve">Panneau / Antenne /</w:t>
            </w:r>
            <w:r>
              <w:rPr>
                <w:sz w:val="17"/>
              </w:rPr>
              <w:t xml:space="preserve"> </w:t>
            </w:r>
            <w:r>
              <w:rPr>
                <w:sz w:val="17"/>
              </w:rPr>
              <w:t xml:space="preserve">Embarcation / Concession</w:t>
            </w:r>
          </w:p>
        </w:tc>
        <w:tc>
          <w:tcPr>
            <w:shd w:val="clear" w:color="auto" w:fill="F2F9F8"/>
          </w:tcPr>
          <w:p>
            <w:pPr>
              <w:pStyle w:val="Compact"/>
              <w:spacing w:after="20" w:before="20" w:line="240" w:lineRule="auto"/>
              <w:jc w:val="left"/>
            </w:pPr>
            <w:r>
              <w:rPr>
                <w:sz w:val="17"/>
              </w:rPr>
              <w:t xml:space="preserve">Objets</w:t>
            </w:r>
            <w:r>
              <w:rPr>
                <w:sz w:val="17"/>
              </w:rPr>
              <w:t xml:space="preserve"> </w:t>
            </w:r>
            <w:r>
              <w:rPr>
                <w:sz w:val="17"/>
              </w:rPr>
              <w:t xml:space="preserve">spécifiques</w:t>
            </w:r>
          </w:p>
        </w:tc>
        <w:tc>
          <w:tcPr>
            <w:shd w:val="clear" w:color="auto" w:fill="F2F9F8"/>
          </w:tcPr>
          <w:p>
            <w:pPr>
              <w:pStyle w:val="Compact"/>
              <w:spacing w:after="20" w:before="20" w:line="240" w:lineRule="auto"/>
              <w:jc w:val="left"/>
            </w:pPr>
            <w:r>
              <w:rPr>
                <w:sz w:val="17"/>
              </w:rPr>
              <w:t xml:space="preserve">Opérateur, surface, site,</w:t>
            </w:r>
            <w:r>
              <w:rPr>
                <w:sz w:val="17"/>
              </w:rPr>
              <w:t xml:space="preserve"> </w:t>
            </w:r>
            <w:r>
              <w:rPr>
                <w:sz w:val="17"/>
              </w:rPr>
              <w:t xml:space="preserve">titre</w:t>
            </w:r>
          </w:p>
        </w:tc>
        <w:tc>
          <w:tcPr>
            <w:shd w:val="clear" w:color="auto" w:fill="F2F9F8"/>
          </w:tcPr>
          <w:p>
            <w:pPr>
              <w:pStyle w:val="Compact"/>
              <w:spacing w:after="20" w:before="20" w:line="240" w:lineRule="auto"/>
              <w:jc w:val="left"/>
            </w:pPr>
            <w:r>
              <w:rPr>
                <w:sz w:val="17"/>
              </w:rPr>
              <w:t xml:space="preserve">Fiscal</w:t>
            </w:r>
          </w:p>
        </w:tc>
      </w:tr>
      <w:tr>
        <w:tc>
          <w:tcPr/>
          <w:p>
            <w:pPr>
              <w:pStyle w:val="Compact"/>
              <w:spacing w:after="20" w:before="20" w:line="240" w:lineRule="auto"/>
              <w:jc w:val="left"/>
            </w:pPr>
            <w:r>
              <w:rPr>
                <w:sz w:val="17"/>
              </w:rPr>
              <w:t xml:space="preserve">Licence / Permis</w:t>
            </w:r>
          </w:p>
        </w:tc>
        <w:tc>
          <w:tcPr/>
          <w:p>
            <w:pPr>
              <w:pStyle w:val="Compact"/>
              <w:spacing w:after="20" w:before="20" w:line="240" w:lineRule="auto"/>
              <w:jc w:val="left"/>
            </w:pPr>
            <w:r>
              <w:rPr>
                <w:sz w:val="17"/>
              </w:rPr>
              <w:t xml:space="preserve">Autorisation</w:t>
            </w:r>
            <w:r>
              <w:rPr>
                <w:sz w:val="17"/>
              </w:rPr>
              <w:t xml:space="preserve"> </w:t>
            </w:r>
            <w:r>
              <w:rPr>
                <w:sz w:val="17"/>
              </w:rPr>
              <w:t xml:space="preserve">administrative</w:t>
            </w:r>
          </w:p>
        </w:tc>
        <w:tc>
          <w:tcPr/>
          <w:p>
            <w:pPr>
              <w:pStyle w:val="Compact"/>
              <w:spacing w:after="20" w:before="20" w:line="240" w:lineRule="auto"/>
              <w:jc w:val="left"/>
            </w:pPr>
            <w:r>
              <w:rPr>
                <w:sz w:val="17"/>
              </w:rPr>
              <w:t xml:space="preserve">Objet, validité,</w:t>
            </w:r>
            <w:r>
              <w:rPr>
                <w:sz w:val="17"/>
              </w:rPr>
              <w:t xml:space="preserve"> </w:t>
            </w:r>
            <w:r>
              <w:rPr>
                <w:sz w:val="17"/>
              </w:rPr>
              <w:t xml:space="preserve">conditions</w:t>
            </w:r>
          </w:p>
        </w:tc>
        <w:tc>
          <w:tcPr/>
          <w:p>
            <w:pPr>
              <w:pStyle w:val="Compact"/>
              <w:spacing w:after="20" w:before="20" w:line="240" w:lineRule="auto"/>
              <w:jc w:val="left"/>
            </w:pPr>
            <w:r>
              <w:rPr>
                <w:sz w:val="17"/>
              </w:rPr>
              <w:t xml:space="preserve">Fiscal</w:t>
            </w:r>
          </w:p>
        </w:tc>
      </w:tr>
      <w:tr>
        <w:tc>
          <w:tcPr>
            <w:shd w:val="clear" w:color="auto" w:fill="F2F9F8"/>
          </w:tcPr>
          <w:p>
            <w:pPr>
              <w:pStyle w:val="Compact"/>
              <w:spacing w:after="20" w:before="20" w:line="240" w:lineRule="auto"/>
              <w:jc w:val="left"/>
            </w:pPr>
            <w:r>
              <w:rPr>
                <w:sz w:val="17"/>
              </w:rPr>
              <w:t xml:space="preserve">TexteLégal</w:t>
            </w:r>
          </w:p>
        </w:tc>
        <w:tc>
          <w:tcPr>
            <w:shd w:val="clear" w:color="auto" w:fill="F2F9F8"/>
          </w:tcPr>
          <w:p>
            <w:pPr>
              <w:pStyle w:val="Compact"/>
              <w:spacing w:after="20" w:before="20" w:line="240" w:lineRule="auto"/>
              <w:jc w:val="left"/>
            </w:pPr>
            <w:r>
              <w:rPr>
                <w:sz w:val="17"/>
              </w:rPr>
              <w:t xml:space="preserve">Fondement</w:t>
            </w:r>
            <w:r>
              <w:rPr>
                <w:sz w:val="17"/>
              </w:rPr>
              <w:t xml:space="preserve"> </w:t>
            </w:r>
            <w:r>
              <w:rPr>
                <w:sz w:val="17"/>
              </w:rPr>
              <w:t xml:space="preserve">juridique</w:t>
            </w:r>
          </w:p>
        </w:tc>
        <w:tc>
          <w:tcPr>
            <w:shd w:val="clear" w:color="auto" w:fill="F2F9F8"/>
          </w:tcPr>
          <w:p>
            <w:pPr>
              <w:pStyle w:val="Compact"/>
              <w:spacing w:after="20" w:before="20" w:line="240" w:lineRule="auto"/>
              <w:jc w:val="left"/>
            </w:pPr>
            <w:r>
              <w:rPr>
                <w:sz w:val="17"/>
              </w:rPr>
              <w:t xml:space="preserve">Lié aux Règles ; en</w:t>
            </w:r>
            <w:r>
              <w:rPr>
                <w:sz w:val="17"/>
              </w:rPr>
              <w:t xml:space="preserve"> </w:t>
            </w:r>
            <w:r>
              <w:rPr>
                <w:sz w:val="17"/>
              </w:rPr>
              <w:t xml:space="preserve">vigueur, modifié, abrogé</w:t>
            </w:r>
          </w:p>
        </w:tc>
        <w:tc>
          <w:tcPr>
            <w:shd w:val="clear" w:color="auto" w:fill="F2F9F8"/>
          </w:tcPr>
          <w:p>
            <w:pPr>
              <w:pStyle w:val="Compact"/>
              <w:spacing w:after="20" w:before="20" w:line="240" w:lineRule="auto"/>
              <w:jc w:val="left"/>
            </w:pPr>
            <w:r>
              <w:rPr>
                <w:sz w:val="17"/>
              </w:rPr>
              <w:t xml:space="preserve">Public</w:t>
            </w:r>
          </w:p>
        </w:tc>
      </w:tr>
      <w:tr>
        <w:tc>
          <w:tcPr/>
          <w:p>
            <w:pPr>
              <w:pStyle w:val="Compact"/>
              <w:spacing w:after="20" w:before="20" w:line="240" w:lineRule="auto"/>
              <w:jc w:val="left"/>
            </w:pPr>
            <w:r>
              <w:rPr>
                <w:sz w:val="17"/>
              </w:rPr>
              <w:t xml:space="preserve">TypeDeRecette /</w:t>
            </w:r>
            <w:r>
              <w:rPr>
                <w:sz w:val="17"/>
              </w:rPr>
              <w:t xml:space="preserve"> </w:t>
            </w:r>
            <w:r>
              <w:rPr>
                <w:sz w:val="17"/>
              </w:rPr>
              <w:t xml:space="preserve">RègleTarifaire</w:t>
            </w:r>
          </w:p>
        </w:tc>
        <w:tc>
          <w:tcPr/>
          <w:p>
            <w:pPr>
              <w:pStyle w:val="Compact"/>
              <w:spacing w:after="20" w:before="20" w:line="240" w:lineRule="auto"/>
              <w:jc w:val="left"/>
            </w:pPr>
            <w:r>
              <w:rPr>
                <w:sz w:val="17"/>
              </w:rPr>
              <w:t xml:space="preserve">Paramètre de</w:t>
            </w:r>
            <w:r>
              <w:rPr>
                <w:sz w:val="17"/>
              </w:rPr>
              <w:t xml:space="preserve"> </w:t>
            </w:r>
            <w:r>
              <w:rPr>
                <w:sz w:val="17"/>
              </w:rPr>
              <w:t xml:space="preserve">liquidation</w:t>
            </w:r>
          </w:p>
        </w:tc>
        <w:tc>
          <w:tcPr/>
          <w:p>
            <w:pPr>
              <w:pStyle w:val="Compact"/>
              <w:spacing w:after="20" w:before="20" w:line="240" w:lineRule="auto"/>
              <w:jc w:val="left"/>
            </w:pPr>
            <w:r>
              <w:rPr>
                <w:sz w:val="17"/>
              </w:rPr>
              <w:t xml:space="preserve">Version, approbateur,</w:t>
            </w:r>
            <w:r>
              <w:rPr>
                <w:sz w:val="17"/>
              </w:rPr>
              <w:t xml:space="preserve"> </w:t>
            </w:r>
            <w:r>
              <w:rPr>
                <w:sz w:val="17"/>
              </w:rPr>
              <w:t xml:space="preserve">dates, compte</w:t>
            </w:r>
            <w:r>
              <w:rPr>
                <w:sz w:val="17"/>
              </w:rPr>
              <w:t xml:space="preserve"> </w:t>
            </w:r>
            <w:r>
              <w:rPr>
                <w:sz w:val="17"/>
              </w:rPr>
              <w:t xml:space="preserve">bénéficiaire</w:t>
            </w:r>
          </w:p>
        </w:tc>
        <w:tc>
          <w:tcPr/>
          <w:p>
            <w:pPr>
              <w:pStyle w:val="Compact"/>
              <w:spacing w:after="20" w:before="20" w:line="240" w:lineRule="auto"/>
              <w:jc w:val="left"/>
            </w:pPr>
            <w:r>
              <w:rPr>
                <w:sz w:val="17"/>
              </w:rPr>
              <w:t xml:space="preserve">Public après</w:t>
            </w:r>
            <w:r>
              <w:rPr>
                <w:sz w:val="17"/>
              </w:rPr>
              <w:t xml:space="preserve"> </w:t>
            </w:r>
            <w:r>
              <w:rPr>
                <w:sz w:val="17"/>
              </w:rPr>
              <w:t xml:space="preserve">publication</w:t>
            </w:r>
          </w:p>
        </w:tc>
      </w:tr>
      <w:tr>
        <w:tc>
          <w:tcPr>
            <w:shd w:val="clear" w:color="auto" w:fill="F2F9F8"/>
          </w:tcPr>
          <w:p>
            <w:pPr>
              <w:pStyle w:val="Compact"/>
              <w:spacing w:after="20" w:before="20" w:line="240" w:lineRule="auto"/>
              <w:jc w:val="left"/>
            </w:pPr>
            <w:r>
              <w:rPr>
                <w:sz w:val="17"/>
              </w:rPr>
              <w:t xml:space="preserve">Exonération</w:t>
            </w:r>
          </w:p>
        </w:tc>
        <w:tc>
          <w:tcPr>
            <w:shd w:val="clear" w:color="auto" w:fill="F2F9F8"/>
          </w:tcPr>
          <w:p>
            <w:pPr>
              <w:pStyle w:val="Compact"/>
              <w:spacing w:after="20" w:before="20" w:line="240" w:lineRule="auto"/>
              <w:jc w:val="left"/>
            </w:pPr>
            <w:r>
              <w:rPr>
                <w:sz w:val="17"/>
              </w:rPr>
              <w:t xml:space="preserve">Dérogation</w:t>
            </w:r>
            <w:r>
              <w:rPr>
                <w:sz w:val="17"/>
              </w:rPr>
              <w:t xml:space="preserve"> </w:t>
            </w:r>
            <w:r>
              <w:rPr>
                <w:sz w:val="17"/>
              </w:rPr>
              <w:t xml:space="preserve">légale</w:t>
            </w:r>
          </w:p>
        </w:tc>
        <w:tc>
          <w:tcPr>
            <w:shd w:val="clear" w:color="auto" w:fill="F2F9F8"/>
          </w:tcPr>
          <w:p>
            <w:pPr>
              <w:pStyle w:val="Compact"/>
              <w:spacing w:after="20" w:before="20" w:line="240" w:lineRule="auto"/>
              <w:jc w:val="left"/>
            </w:pPr>
            <w:r>
              <w:rPr>
                <w:sz w:val="17"/>
              </w:rPr>
              <w:t xml:space="preserve">Bénéficiaire, preuve,</w:t>
            </w:r>
            <w:r>
              <w:rPr>
                <w:sz w:val="17"/>
              </w:rPr>
              <w:t xml:space="preserve"> </w:t>
            </w:r>
            <w:r>
              <w:rPr>
                <w:sz w:val="17"/>
              </w:rPr>
              <w:t xml:space="preserve">durée, révision</w:t>
            </w:r>
          </w:p>
        </w:tc>
        <w:tc>
          <w:tcPr>
            <w:shd w:val="clear" w:color="auto" w:fill="F2F9F8"/>
          </w:tcPr>
          <w:p>
            <w:pPr>
              <w:pStyle w:val="Compact"/>
              <w:spacing w:after="20" w:before="20" w:line="240" w:lineRule="auto"/>
              <w:jc w:val="left"/>
            </w:pPr>
            <w:r>
              <w:rPr>
                <w:sz w:val="17"/>
              </w:rPr>
              <w:t xml:space="preserve">Fiscal sensible</w:t>
            </w:r>
          </w:p>
        </w:tc>
      </w:tr>
      <w:tr>
        <w:tc>
          <w:tcPr/>
          <w:p>
            <w:pPr>
              <w:pStyle w:val="Compact"/>
              <w:spacing w:after="20" w:before="20" w:line="240" w:lineRule="auto"/>
              <w:jc w:val="left"/>
            </w:pPr>
            <w:r>
              <w:rPr>
                <w:sz w:val="17"/>
              </w:rPr>
              <w:t xml:space="preserve">Déclaration</w:t>
            </w:r>
          </w:p>
        </w:tc>
        <w:tc>
          <w:tcPr/>
          <w:p>
            <w:pPr>
              <w:pStyle w:val="Compact"/>
              <w:spacing w:after="20" w:before="20" w:line="240" w:lineRule="auto"/>
              <w:jc w:val="left"/>
            </w:pPr>
            <w:r>
              <w:rPr>
                <w:sz w:val="17"/>
              </w:rPr>
              <w:t xml:space="preserve">Fait déclaré</w:t>
            </w:r>
          </w:p>
        </w:tc>
        <w:tc>
          <w:tcPr/>
          <w:p>
            <w:pPr>
              <w:pStyle w:val="Compact"/>
              <w:spacing w:after="20" w:before="20" w:line="240" w:lineRule="auto"/>
              <w:jc w:val="left"/>
            </w:pPr>
            <w:r>
              <w:rPr>
                <w:sz w:val="17"/>
              </w:rPr>
              <w:t xml:space="preserve">Contribuable, objet,</w:t>
            </w:r>
            <w:r>
              <w:rPr>
                <w:sz w:val="17"/>
              </w:rPr>
              <w:t xml:space="preserve"> </w:t>
            </w:r>
            <w:r>
              <w:rPr>
                <w:sz w:val="17"/>
              </w:rPr>
              <w:t xml:space="preserve">période, pièces</w:t>
            </w:r>
          </w:p>
        </w:tc>
        <w:tc>
          <w:tcPr/>
          <w:p>
            <w:pPr>
              <w:pStyle w:val="Compact"/>
              <w:spacing w:after="20" w:before="20" w:line="240" w:lineRule="auto"/>
              <w:jc w:val="left"/>
            </w:pPr>
            <w:r>
              <w:rPr>
                <w:sz w:val="17"/>
              </w:rPr>
              <w:t xml:space="preserve">Fiscal</w:t>
            </w:r>
          </w:p>
        </w:tc>
      </w:tr>
      <w:tr>
        <w:tc>
          <w:tcPr>
            <w:shd w:val="clear" w:color="auto" w:fill="F2F9F8"/>
          </w:tcPr>
          <w:p>
            <w:pPr>
              <w:pStyle w:val="Compact"/>
              <w:spacing w:after="20" w:before="20" w:line="240" w:lineRule="auto"/>
              <w:jc w:val="left"/>
            </w:pPr>
            <w:r>
              <w:rPr>
                <w:sz w:val="17"/>
              </w:rPr>
              <w:t xml:space="preserve">Liquidation / Obligation</w:t>
            </w:r>
          </w:p>
        </w:tc>
        <w:tc>
          <w:tcPr>
            <w:shd w:val="clear" w:color="auto" w:fill="F2F9F8"/>
          </w:tcPr>
          <w:p>
            <w:pPr>
              <w:pStyle w:val="Compact"/>
              <w:spacing w:after="20" w:before="20" w:line="240" w:lineRule="auto"/>
              <w:jc w:val="left"/>
            </w:pPr>
            <w:r>
              <w:rPr>
                <w:sz w:val="17"/>
              </w:rPr>
              <w:t xml:space="preserve">Dette liquidée</w:t>
            </w:r>
          </w:p>
        </w:tc>
        <w:tc>
          <w:tcPr>
            <w:shd w:val="clear" w:color="auto" w:fill="F2F9F8"/>
          </w:tcPr>
          <w:p>
            <w:pPr>
              <w:pStyle w:val="Compact"/>
              <w:spacing w:after="20" w:before="20" w:line="240" w:lineRule="auto"/>
              <w:jc w:val="left"/>
            </w:pPr>
            <w:r>
              <w:rPr>
                <w:sz w:val="17"/>
              </w:rPr>
              <w:t xml:space="preserve">Règle, objet, période,</w:t>
            </w:r>
            <w:r>
              <w:rPr>
                <w:sz w:val="17"/>
              </w:rPr>
              <w:t xml:space="preserve"> </w:t>
            </w:r>
            <w:r>
              <w:rPr>
                <w:sz w:val="17"/>
              </w:rPr>
              <w:t xml:space="preserve">montant ; calculée,</w:t>
            </w:r>
            <w:r>
              <w:rPr>
                <w:sz w:val="17"/>
              </w:rPr>
              <w:t xml:space="preserve"> </w:t>
            </w:r>
            <w:r>
              <w:rPr>
                <w:sz w:val="17"/>
              </w:rPr>
              <w:t xml:space="preserve">notifiée, payée,</w:t>
            </w:r>
            <w:r>
              <w:rPr>
                <w:sz w:val="17"/>
              </w:rPr>
              <w:t xml:space="preserve"> </w:t>
            </w:r>
            <w:r>
              <w:rPr>
                <w:sz w:val="17"/>
              </w:rPr>
              <w:t xml:space="preserve">contestée, annulée</w:t>
            </w:r>
          </w:p>
        </w:tc>
        <w:tc>
          <w:tcPr>
            <w:shd w:val="clear" w:color="auto" w:fill="F2F9F8"/>
          </w:tcPr>
          <w:p>
            <w:pPr>
              <w:pStyle w:val="Compact"/>
              <w:spacing w:after="20" w:before="20" w:line="240" w:lineRule="auto"/>
              <w:jc w:val="left"/>
            </w:pPr>
            <w:r>
              <w:rPr>
                <w:sz w:val="17"/>
              </w:rPr>
              <w:t xml:space="preserve">Fiscal sensible</w:t>
            </w:r>
          </w:p>
        </w:tc>
      </w:tr>
      <w:tr>
        <w:tc>
          <w:tcPr/>
          <w:p>
            <w:pPr>
              <w:pStyle w:val="Compact"/>
              <w:spacing w:after="20" w:before="20" w:line="240" w:lineRule="auto"/>
              <w:jc w:val="left"/>
            </w:pPr>
            <w:r>
              <w:rPr>
                <w:sz w:val="17"/>
              </w:rPr>
              <w:t xml:space="preserve">AvisDePaiement</w:t>
            </w:r>
          </w:p>
        </w:tc>
        <w:tc>
          <w:tcPr/>
          <w:p>
            <w:pPr>
              <w:pStyle w:val="Compact"/>
              <w:spacing w:after="20" w:before="20" w:line="240" w:lineRule="auto"/>
              <w:jc w:val="left"/>
            </w:pPr>
            <w:r>
              <w:rPr>
                <w:sz w:val="17"/>
              </w:rPr>
              <w:t xml:space="preserve">Document de</w:t>
            </w:r>
            <w:r>
              <w:rPr>
                <w:sz w:val="17"/>
              </w:rPr>
              <w:t xml:space="preserve"> </w:t>
            </w:r>
            <w:r>
              <w:rPr>
                <w:sz w:val="17"/>
              </w:rPr>
              <w:t xml:space="preserve">paiement</w:t>
            </w:r>
          </w:p>
        </w:tc>
        <w:tc>
          <w:tcPr/>
          <w:p>
            <w:pPr>
              <w:pStyle w:val="Compact"/>
              <w:spacing w:after="20" w:before="20" w:line="240" w:lineRule="auto"/>
              <w:jc w:val="left"/>
            </w:pPr>
            <w:r>
              <w:rPr>
                <w:sz w:val="17"/>
              </w:rPr>
              <w:t xml:space="preserve">Référence unique,</w:t>
            </w:r>
            <w:r>
              <w:rPr>
                <w:sz w:val="17"/>
              </w:rPr>
              <w:t xml:space="preserve"> </w:t>
            </w:r>
            <w:r>
              <w:rPr>
                <w:sz w:val="17"/>
              </w:rPr>
              <w:t xml:space="preserve">échéance</w:t>
            </w:r>
          </w:p>
        </w:tc>
        <w:tc>
          <w:tcPr/>
          <w:p>
            <w:pPr>
              <w:pStyle w:val="Compact"/>
              <w:spacing w:after="20" w:before="20" w:line="240" w:lineRule="auto"/>
              <w:jc w:val="left"/>
            </w:pPr>
            <w:r>
              <w:rPr>
                <w:sz w:val="17"/>
              </w:rPr>
              <w:t xml:space="preserve">Fiscal</w:t>
            </w:r>
          </w:p>
        </w:tc>
      </w:tr>
      <w:tr>
        <w:tc>
          <w:tcPr>
            <w:shd w:val="clear" w:color="auto" w:fill="F2F9F8"/>
          </w:tcPr>
          <w:p>
            <w:pPr>
              <w:pStyle w:val="Compact"/>
              <w:spacing w:after="20" w:before="20" w:line="240" w:lineRule="auto"/>
              <w:jc w:val="left"/>
            </w:pPr>
            <w:r>
              <w:rPr>
                <w:sz w:val="17"/>
              </w:rPr>
              <w:t xml:space="preserve">OrdreDePaiement /</w:t>
            </w:r>
            <w:r>
              <w:rPr>
                <w:sz w:val="17"/>
              </w:rPr>
              <w:t xml:space="preserve"> </w:t>
            </w:r>
            <w:r>
              <w:rPr>
                <w:sz w:val="17"/>
              </w:rPr>
              <w:t xml:space="preserve">ÉvénementDePaiement</w:t>
            </w:r>
          </w:p>
        </w:tc>
        <w:tc>
          <w:tcPr>
            <w:shd w:val="clear" w:color="auto" w:fill="F2F9F8"/>
          </w:tcPr>
          <w:p>
            <w:pPr>
              <w:pStyle w:val="Compact"/>
              <w:spacing w:after="20" w:before="20" w:line="240" w:lineRule="auto"/>
              <w:jc w:val="left"/>
            </w:pPr>
            <w:r>
              <w:rPr>
                <w:sz w:val="17"/>
              </w:rPr>
              <w:t xml:space="preserve">Suivi du</w:t>
            </w:r>
            <w:r>
              <w:rPr>
                <w:sz w:val="17"/>
              </w:rPr>
              <w:t xml:space="preserve"> </w:t>
            </w:r>
            <w:r>
              <w:rPr>
                <w:sz w:val="17"/>
              </w:rPr>
              <w:t xml:space="preserve">paiement</w:t>
            </w:r>
          </w:p>
        </w:tc>
        <w:tc>
          <w:tcPr>
            <w:shd w:val="clear" w:color="auto" w:fill="F2F9F8"/>
          </w:tcPr>
          <w:p>
            <w:pPr>
              <w:pStyle w:val="Compact"/>
              <w:spacing w:after="20" w:before="20" w:line="240" w:lineRule="auto"/>
              <w:jc w:val="left"/>
            </w:pPr>
            <w:r>
              <w:rPr>
                <w:sz w:val="17"/>
              </w:rPr>
              <w:t xml:space="preserve">Canal, prestataire,</w:t>
            </w:r>
            <w:r>
              <w:rPr>
                <w:sz w:val="17"/>
              </w:rPr>
              <w:t xml:space="preserve"> </w:t>
            </w:r>
            <w:r>
              <w:rPr>
                <w:sz w:val="17"/>
              </w:rPr>
              <w:t xml:space="preserve">statut, horodatage</w:t>
            </w:r>
          </w:p>
        </w:tc>
        <w:tc>
          <w:tcPr>
            <w:shd w:val="clear" w:color="auto" w:fill="F2F9F8"/>
          </w:tcPr>
          <w:p>
            <w:pPr>
              <w:pStyle w:val="Compact"/>
              <w:spacing w:after="20" w:before="20" w:line="240" w:lineRule="auto"/>
              <w:jc w:val="left"/>
            </w:pPr>
            <w:r>
              <w:rPr>
                <w:sz w:val="17"/>
              </w:rPr>
              <w:t xml:space="preserve">Financier</w:t>
            </w:r>
          </w:p>
        </w:tc>
      </w:tr>
      <w:tr>
        <w:tc>
          <w:tcPr/>
          <w:p>
            <w:pPr>
              <w:pStyle w:val="Compact"/>
              <w:spacing w:after="20" w:before="20" w:line="240" w:lineRule="auto"/>
              <w:jc w:val="left"/>
            </w:pPr>
            <w:r>
              <w:rPr>
                <w:sz w:val="17"/>
              </w:rPr>
              <w:t xml:space="preserve">Règlement / Rapprochement</w:t>
            </w:r>
          </w:p>
        </w:tc>
        <w:tc>
          <w:tcPr/>
          <w:p>
            <w:pPr>
              <w:pStyle w:val="Compact"/>
              <w:spacing w:after="20" w:before="20" w:line="240" w:lineRule="auto"/>
              <w:jc w:val="left"/>
            </w:pPr>
            <w:r>
              <w:rPr>
                <w:sz w:val="17"/>
              </w:rPr>
              <w:t xml:space="preserve">Arrivée et</w:t>
            </w:r>
            <w:r>
              <w:rPr>
                <w:sz w:val="17"/>
              </w:rPr>
              <w:t xml:space="preserve"> </w:t>
            </w:r>
            <w:r>
              <w:rPr>
                <w:sz w:val="17"/>
              </w:rPr>
              <w:t xml:space="preserve">appariement des</w:t>
            </w:r>
            <w:r>
              <w:rPr>
                <w:sz w:val="17"/>
              </w:rPr>
              <w:t xml:space="preserve"> </w:t>
            </w:r>
            <w:r>
              <w:rPr>
                <w:sz w:val="17"/>
              </w:rPr>
              <w:t xml:space="preserve">fonds</w:t>
            </w:r>
          </w:p>
        </w:tc>
        <w:tc>
          <w:tcPr/>
          <w:p>
            <w:pPr>
              <w:pStyle w:val="Compact"/>
              <w:spacing w:after="20" w:before="20" w:line="240" w:lineRule="auto"/>
              <w:jc w:val="left"/>
            </w:pPr>
            <w:r>
              <w:rPr>
                <w:sz w:val="17"/>
              </w:rPr>
              <w:t xml:space="preserve">Compte public, relevé,</w:t>
            </w:r>
            <w:r>
              <w:rPr>
                <w:sz w:val="17"/>
              </w:rPr>
              <w:t xml:space="preserve"> </w:t>
            </w:r>
            <w:r>
              <w:rPr>
                <w:sz w:val="17"/>
              </w:rPr>
              <w:t xml:space="preserve">écarts</w:t>
            </w:r>
          </w:p>
        </w:tc>
        <w:tc>
          <w:tcPr/>
          <w:p>
            <w:pPr>
              <w:pStyle w:val="Compact"/>
              <w:spacing w:after="20" w:before="20" w:line="240" w:lineRule="auto"/>
              <w:jc w:val="left"/>
            </w:pPr>
            <w:r>
              <w:rPr>
                <w:sz w:val="17"/>
              </w:rPr>
              <w:t xml:space="preserve">Financier sensible</w:t>
            </w:r>
          </w:p>
        </w:tc>
      </w:tr>
      <w:tr>
        <w:tc>
          <w:tcPr>
            <w:shd w:val="clear" w:color="auto" w:fill="F2F9F8"/>
          </w:tcPr>
          <w:p>
            <w:pPr>
              <w:pStyle w:val="Compact"/>
              <w:spacing w:after="20" w:before="20" w:line="240" w:lineRule="auto"/>
              <w:jc w:val="left"/>
            </w:pPr>
            <w:r>
              <w:rPr>
                <w:sz w:val="17"/>
              </w:rPr>
              <w:t xml:space="preserve">Quittance</w:t>
            </w:r>
          </w:p>
        </w:tc>
        <w:tc>
          <w:tcPr>
            <w:shd w:val="clear" w:color="auto" w:fill="F2F9F8"/>
          </w:tcPr>
          <w:p>
            <w:pPr>
              <w:pStyle w:val="Compact"/>
              <w:spacing w:after="20" w:before="20" w:line="240" w:lineRule="auto"/>
              <w:jc w:val="left"/>
            </w:pPr>
            <w:r>
              <w:rPr>
                <w:sz w:val="17"/>
              </w:rPr>
              <w:t xml:space="preserve">Preuve de</w:t>
            </w:r>
            <w:r>
              <w:rPr>
                <w:sz w:val="17"/>
              </w:rPr>
              <w:t xml:space="preserve"> </w:t>
            </w:r>
            <w:r>
              <w:rPr>
                <w:sz w:val="17"/>
              </w:rPr>
              <w:t xml:space="preserve">paiement</w:t>
            </w:r>
          </w:p>
        </w:tc>
        <w:tc>
          <w:tcPr>
            <w:shd w:val="clear" w:color="auto" w:fill="F2F9F8"/>
          </w:tcPr>
          <w:p>
            <w:pPr>
              <w:pStyle w:val="Compact"/>
              <w:spacing w:after="20" w:before="20" w:line="240" w:lineRule="auto"/>
              <w:jc w:val="left"/>
            </w:pPr>
            <w:r>
              <w:rPr>
                <w:sz w:val="17"/>
              </w:rPr>
              <w:t xml:space="preserve">Signature, QR, statut</w:t>
            </w:r>
          </w:p>
        </w:tc>
        <w:tc>
          <w:tcPr>
            <w:shd w:val="clear" w:color="auto" w:fill="F2F9F8"/>
          </w:tcPr>
          <w:p>
            <w:pPr>
              <w:pStyle w:val="Compact"/>
              <w:spacing w:after="20" w:before="20" w:line="240" w:lineRule="auto"/>
              <w:jc w:val="left"/>
            </w:pPr>
            <w:r>
              <w:rPr>
                <w:sz w:val="17"/>
              </w:rPr>
              <w:t xml:space="preserve">Semi-public</w:t>
            </w:r>
          </w:p>
        </w:tc>
      </w:tr>
      <w:tr>
        <w:tc>
          <w:tcPr/>
          <w:p>
            <w:pPr>
              <w:pStyle w:val="Compact"/>
              <w:spacing w:after="20" w:before="20" w:line="240" w:lineRule="auto"/>
              <w:jc w:val="left"/>
            </w:pPr>
            <w:r>
              <w:rPr>
                <w:sz w:val="17"/>
              </w:rPr>
              <w:t xml:space="preserve">Inspection /</w:t>
            </w:r>
            <w:r>
              <w:rPr>
                <w:sz w:val="17"/>
              </w:rPr>
              <w:t xml:space="preserve"> </w:t>
            </w:r>
            <w:r>
              <w:rPr>
                <w:sz w:val="17"/>
              </w:rPr>
              <w:t xml:space="preserve">MissionTerrain / Preuve</w:t>
            </w:r>
          </w:p>
        </w:tc>
        <w:tc>
          <w:tcPr/>
          <w:p>
            <w:pPr>
              <w:pStyle w:val="Compact"/>
              <w:spacing w:after="20" w:before="20" w:line="240" w:lineRule="auto"/>
              <w:jc w:val="left"/>
            </w:pPr>
            <w:r>
              <w:rPr>
                <w:sz w:val="17"/>
              </w:rPr>
              <w:t xml:space="preserve">Contrôle et</w:t>
            </w:r>
            <w:r>
              <w:rPr>
                <w:sz w:val="17"/>
              </w:rPr>
              <w:t xml:space="preserve"> </w:t>
            </w:r>
            <w:r>
              <w:rPr>
                <w:sz w:val="17"/>
              </w:rPr>
              <w:t xml:space="preserve">preuve</w:t>
            </w:r>
          </w:p>
        </w:tc>
        <w:tc>
          <w:tcPr/>
          <w:p>
            <w:pPr>
              <w:pStyle w:val="Compact"/>
              <w:spacing w:after="20" w:before="20" w:line="240" w:lineRule="auto"/>
              <w:jc w:val="left"/>
            </w:pPr>
            <w:r>
              <w:rPr>
                <w:sz w:val="17"/>
              </w:rPr>
              <w:t xml:space="preserve">Agent, zone, objet,</w:t>
            </w:r>
            <w:r>
              <w:rPr>
                <w:sz w:val="17"/>
              </w:rPr>
              <w:t xml:space="preserve"> </w:t>
            </w:r>
            <w:r>
              <w:rPr>
                <w:sz w:val="17"/>
              </w:rPr>
              <w:t xml:space="preserve">photos, GPS</w:t>
            </w:r>
          </w:p>
        </w:tc>
        <w:tc>
          <w:tcPr/>
          <w:p>
            <w:pPr>
              <w:pStyle w:val="Compact"/>
              <w:spacing w:after="20" w:before="20" w:line="240" w:lineRule="auto"/>
              <w:jc w:val="left"/>
            </w:pPr>
            <w:r>
              <w:rPr>
                <w:sz w:val="17"/>
              </w:rPr>
              <w:t xml:space="preserve">Interne sensible</w:t>
            </w:r>
          </w:p>
        </w:tc>
      </w:tr>
      <w:tr>
        <w:tc>
          <w:tcPr>
            <w:shd w:val="clear" w:color="auto" w:fill="F2F9F8"/>
          </w:tcPr>
          <w:p>
            <w:pPr>
              <w:pStyle w:val="Compact"/>
              <w:spacing w:after="20" w:before="20" w:line="240" w:lineRule="auto"/>
              <w:jc w:val="left"/>
            </w:pPr>
            <w:r>
              <w:rPr>
                <w:sz w:val="17"/>
              </w:rPr>
              <w:t xml:space="preserve">Notification</w:t>
            </w:r>
          </w:p>
        </w:tc>
        <w:tc>
          <w:tcPr>
            <w:shd w:val="clear" w:color="auto" w:fill="F2F9F8"/>
          </w:tcPr>
          <w:p>
            <w:pPr>
              <w:pStyle w:val="Compact"/>
              <w:spacing w:after="20" w:before="20" w:line="240" w:lineRule="auto"/>
              <w:jc w:val="left"/>
            </w:pPr>
            <w:r>
              <w:rPr>
                <w:sz w:val="17"/>
              </w:rPr>
              <w:t xml:space="preserve">Communication</w:t>
            </w:r>
            <w:r>
              <w:rPr>
                <w:sz w:val="17"/>
              </w:rPr>
              <w:t xml:space="preserve"> </w:t>
            </w:r>
            <w:r>
              <w:rPr>
                <w:sz w:val="17"/>
              </w:rPr>
              <w:t xml:space="preserve">opposable</w:t>
            </w:r>
          </w:p>
        </w:tc>
        <w:tc>
          <w:tcPr>
            <w:shd w:val="clear" w:color="auto" w:fill="F2F9F8"/>
          </w:tcPr>
          <w:p>
            <w:pPr>
              <w:pStyle w:val="Compact"/>
              <w:spacing w:after="20" w:before="20" w:line="240" w:lineRule="auto"/>
              <w:jc w:val="left"/>
            </w:pPr>
            <w:r>
              <w:rPr>
                <w:sz w:val="17"/>
              </w:rPr>
              <w:t xml:space="preserve">Canal, contenu, accusé</w:t>
            </w:r>
          </w:p>
        </w:tc>
        <w:tc>
          <w:tcPr>
            <w:shd w:val="clear" w:color="auto" w:fill="F2F9F8"/>
          </w:tcPr>
          <w:p>
            <w:pPr>
              <w:pStyle w:val="Compact"/>
              <w:spacing w:after="20" w:before="20" w:line="240" w:lineRule="auto"/>
              <w:jc w:val="left"/>
            </w:pPr>
            <w:r>
              <w:rPr>
                <w:sz w:val="17"/>
              </w:rPr>
              <w:t xml:space="preserve">Fiscal</w:t>
            </w:r>
          </w:p>
        </w:tc>
      </w:tr>
      <w:tr>
        <w:tc>
          <w:tcPr/>
          <w:p>
            <w:pPr>
              <w:pStyle w:val="Compact"/>
              <w:spacing w:after="20" w:before="20" w:line="240" w:lineRule="auto"/>
              <w:jc w:val="left"/>
            </w:pPr>
            <w:r>
              <w:rPr>
                <w:sz w:val="17"/>
              </w:rPr>
              <w:t xml:space="preserve">Recours / Pénalité /</w:t>
            </w:r>
            <w:r>
              <w:rPr>
                <w:sz w:val="17"/>
              </w:rPr>
              <w:t xml:space="preserve"> </w:t>
            </w:r>
            <w:r>
              <w:rPr>
                <w:sz w:val="17"/>
              </w:rPr>
              <w:t xml:space="preserve">DossierExécution</w:t>
            </w:r>
          </w:p>
        </w:tc>
        <w:tc>
          <w:tcPr/>
          <w:p>
            <w:pPr>
              <w:pStyle w:val="Compact"/>
              <w:spacing w:after="20" w:before="20" w:line="240" w:lineRule="auto"/>
              <w:jc w:val="left"/>
            </w:pPr>
            <w:r>
              <w:rPr>
                <w:sz w:val="17"/>
              </w:rPr>
              <w:t xml:space="preserve">Contentieux et</w:t>
            </w:r>
            <w:r>
              <w:rPr>
                <w:sz w:val="17"/>
              </w:rPr>
              <w:t xml:space="preserve"> </w:t>
            </w:r>
            <w:r>
              <w:rPr>
                <w:sz w:val="17"/>
              </w:rPr>
              <w:t xml:space="preserve">recouvrement</w:t>
            </w:r>
          </w:p>
        </w:tc>
        <w:tc>
          <w:tcPr/>
          <w:p>
            <w:pPr>
              <w:pStyle w:val="Compact"/>
              <w:spacing w:after="20" w:before="20" w:line="240" w:lineRule="auto"/>
              <w:jc w:val="left"/>
            </w:pPr>
            <w:r>
              <w:rPr>
                <w:sz w:val="17"/>
              </w:rPr>
              <w:t xml:space="preserve">Décision, délai, voie de</w:t>
            </w:r>
            <w:r>
              <w:rPr>
                <w:sz w:val="17"/>
              </w:rPr>
              <w:t xml:space="preserve"> </w:t>
            </w:r>
            <w:r>
              <w:rPr>
                <w:sz w:val="17"/>
              </w:rPr>
              <w:t xml:space="preserve">recours</w:t>
            </w:r>
          </w:p>
        </w:tc>
        <w:tc>
          <w:tcPr/>
          <w:p>
            <w:pPr>
              <w:pStyle w:val="Compact"/>
              <w:spacing w:after="20" w:before="20" w:line="240" w:lineRule="auto"/>
              <w:jc w:val="left"/>
            </w:pPr>
            <w:r>
              <w:rPr>
                <w:sz w:val="17"/>
              </w:rPr>
              <w:t xml:space="preserve">Fiscal sensible</w:t>
            </w:r>
          </w:p>
        </w:tc>
      </w:tr>
      <w:tr>
        <w:tc>
          <w:tcPr>
            <w:shd w:val="clear" w:color="auto" w:fill="F2F9F8"/>
          </w:tcPr>
          <w:p>
            <w:pPr>
              <w:pStyle w:val="Compact"/>
              <w:spacing w:after="20" w:before="20" w:line="240" w:lineRule="auto"/>
              <w:jc w:val="left"/>
            </w:pPr>
            <w:r>
              <w:rPr>
                <w:sz w:val="17"/>
              </w:rPr>
              <w:t xml:space="preserve">RègleAffectation /</w:t>
            </w:r>
            <w:r>
              <w:rPr>
                <w:sz w:val="17"/>
              </w:rPr>
              <w:t xml:space="preserve"> </w:t>
            </w:r>
            <w:r>
              <w:rPr>
                <w:sz w:val="17"/>
              </w:rPr>
              <w:t xml:space="preserve">RecommandationBudgétaire /</w:t>
            </w:r>
            <w:r>
              <w:rPr>
                <w:sz w:val="17"/>
              </w:rPr>
              <w:t xml:space="preserve"> </w:t>
            </w:r>
            <w:r>
              <w:rPr>
                <w:sz w:val="17"/>
              </w:rPr>
              <w:t xml:space="preserve">ProjetPublic</w:t>
            </w:r>
          </w:p>
        </w:tc>
        <w:tc>
          <w:tcPr>
            <w:shd w:val="clear" w:color="auto" w:fill="F2F9F8"/>
          </w:tcPr>
          <w:p>
            <w:pPr>
              <w:pStyle w:val="Compact"/>
              <w:spacing w:after="20" w:before="20" w:line="240" w:lineRule="auto"/>
              <w:jc w:val="left"/>
            </w:pPr>
            <w:r>
              <w:rPr>
                <w:sz w:val="17"/>
              </w:rPr>
              <w:t xml:space="preserve">Emploi des fonds</w:t>
            </w:r>
          </w:p>
        </w:tc>
        <w:tc>
          <w:tcPr>
            <w:shd w:val="clear" w:color="auto" w:fill="F2F9F8"/>
          </w:tcPr>
          <w:p>
            <w:pPr>
              <w:pStyle w:val="Compact"/>
              <w:spacing w:after="20" w:before="20" w:line="240" w:lineRule="auto"/>
              <w:jc w:val="left"/>
            </w:pPr>
            <w:r>
              <w:rPr>
                <w:sz w:val="17"/>
              </w:rPr>
              <w:t xml:space="preserve">Budget voté, projet,</w:t>
            </w:r>
            <w:r>
              <w:rPr>
                <w:sz w:val="17"/>
              </w:rPr>
              <w:t xml:space="preserve"> </w:t>
            </w:r>
            <w:r>
              <w:rPr>
                <w:sz w:val="17"/>
              </w:rPr>
              <w:t xml:space="preserve">autorité</w:t>
            </w:r>
          </w:p>
        </w:tc>
        <w:tc>
          <w:tcPr>
            <w:shd w:val="clear" w:color="auto" w:fill="F2F9F8"/>
          </w:tcPr>
          <w:p>
            <w:pPr>
              <w:pStyle w:val="Compact"/>
              <w:spacing w:after="20" w:before="20" w:line="240" w:lineRule="auto"/>
              <w:jc w:val="left"/>
            </w:pPr>
            <w:r>
              <w:rPr>
                <w:sz w:val="17"/>
              </w:rPr>
              <w:t xml:space="preserve">Public agrégé</w:t>
            </w:r>
          </w:p>
        </w:tc>
      </w:tr>
      <w:tr>
        <w:tc>
          <w:tcPr/>
          <w:p>
            <w:pPr>
              <w:pStyle w:val="Compact"/>
              <w:spacing w:after="20" w:before="20" w:line="240" w:lineRule="auto"/>
              <w:jc w:val="left"/>
            </w:pPr>
            <w:r>
              <w:rPr>
                <w:sz w:val="17"/>
              </w:rPr>
              <w:t xml:space="preserve">Rôle / Permission /</w:t>
            </w:r>
            <w:r>
              <w:rPr>
                <w:sz w:val="17"/>
              </w:rPr>
              <w:t xml:space="preserve"> </w:t>
            </w:r>
            <w:r>
              <w:rPr>
                <w:sz w:val="17"/>
              </w:rPr>
              <w:t xml:space="preserve">Délégation / Appareil</w:t>
            </w:r>
          </w:p>
        </w:tc>
        <w:tc>
          <w:tcPr/>
          <w:p>
            <w:pPr>
              <w:pStyle w:val="Compact"/>
              <w:spacing w:after="20" w:before="20" w:line="240" w:lineRule="auto"/>
              <w:jc w:val="left"/>
            </w:pPr>
            <w:r>
              <w:rPr>
                <w:sz w:val="17"/>
              </w:rPr>
              <w:t xml:space="preserve">Habilitations</w:t>
            </w:r>
          </w:p>
        </w:tc>
        <w:tc>
          <w:tcPr/>
          <w:p>
            <w:pPr>
              <w:pStyle w:val="Compact"/>
              <w:spacing w:after="20" w:before="20" w:line="240" w:lineRule="auto"/>
              <w:jc w:val="left"/>
            </w:pPr>
            <w:r>
              <w:rPr>
                <w:sz w:val="17"/>
              </w:rPr>
              <w:t xml:space="preserve">Portée, durée, expiration</w:t>
            </w:r>
          </w:p>
        </w:tc>
        <w:tc>
          <w:tcPr/>
          <w:p>
            <w:pPr>
              <w:pStyle w:val="Compact"/>
              <w:spacing w:after="20" w:before="20" w:line="240" w:lineRule="auto"/>
              <w:jc w:val="left"/>
            </w:pPr>
            <w:r>
              <w:rPr>
                <w:sz w:val="17"/>
              </w:rPr>
              <w:t xml:space="preserve">Interne sensible</w:t>
            </w:r>
          </w:p>
        </w:tc>
      </w:tr>
      <w:tr>
        <w:tc>
          <w:tcPr>
            <w:shd w:val="clear" w:color="auto" w:fill="F2F9F8"/>
          </w:tcPr>
          <w:p>
            <w:pPr>
              <w:pStyle w:val="Compact"/>
              <w:spacing w:after="20" w:before="20" w:line="240" w:lineRule="auto"/>
              <w:jc w:val="left"/>
            </w:pPr>
            <w:r>
              <w:rPr>
                <w:sz w:val="17"/>
              </w:rPr>
              <w:t xml:space="preserve">RecommandationIA /</w:t>
            </w:r>
            <w:r>
              <w:rPr>
                <w:sz w:val="17"/>
              </w:rPr>
              <w:t xml:space="preserve"> </w:t>
            </w:r>
            <w:r>
              <w:rPr>
                <w:sz w:val="17"/>
              </w:rPr>
              <w:t xml:space="preserve">AlerteFraude</w:t>
            </w:r>
          </w:p>
        </w:tc>
        <w:tc>
          <w:tcPr>
            <w:shd w:val="clear" w:color="auto" w:fill="F2F9F8"/>
          </w:tcPr>
          <w:p>
            <w:pPr>
              <w:pStyle w:val="Compact"/>
              <w:spacing w:after="20" w:before="20" w:line="240" w:lineRule="auto"/>
              <w:jc w:val="left"/>
            </w:pPr>
            <w:r>
              <w:rPr>
                <w:sz w:val="17"/>
              </w:rPr>
              <w:t xml:space="preserve">Aide à la</w:t>
            </w:r>
            <w:r>
              <w:rPr>
                <w:sz w:val="17"/>
              </w:rPr>
              <w:t xml:space="preserve"> </w:t>
            </w:r>
            <w:r>
              <w:rPr>
                <w:sz w:val="17"/>
              </w:rPr>
              <w:t xml:space="preserve">décision</w:t>
            </w:r>
          </w:p>
        </w:tc>
        <w:tc>
          <w:tcPr>
            <w:shd w:val="clear" w:color="auto" w:fill="F2F9F8"/>
          </w:tcPr>
          <w:p>
            <w:pPr>
              <w:pStyle w:val="Compact"/>
              <w:spacing w:after="20" w:before="20" w:line="240" w:lineRule="auto"/>
              <w:jc w:val="left"/>
            </w:pPr>
            <w:r>
              <w:rPr>
                <w:sz w:val="17"/>
              </w:rPr>
              <w:t xml:space="preserve">Modèle, version, entrée,</w:t>
            </w:r>
            <w:r>
              <w:rPr>
                <w:sz w:val="17"/>
              </w:rPr>
              <w:t xml:space="preserve"> </w:t>
            </w:r>
            <w:r>
              <w:rPr>
                <w:sz w:val="17"/>
              </w:rPr>
              <w:t xml:space="preserve">sortie, décideur humain</w:t>
            </w:r>
          </w:p>
        </w:tc>
        <w:tc>
          <w:tcPr>
            <w:shd w:val="clear" w:color="auto" w:fill="F2F9F8"/>
          </w:tcPr>
          <w:p>
            <w:pPr>
              <w:pStyle w:val="Compact"/>
              <w:spacing w:after="20" w:before="20" w:line="240" w:lineRule="auto"/>
              <w:jc w:val="left"/>
            </w:pPr>
            <w:r>
              <w:rPr>
                <w:sz w:val="17"/>
              </w:rPr>
              <w:t xml:space="preserve">Interne sensible</w:t>
            </w:r>
          </w:p>
        </w:tc>
      </w:tr>
      <w:tr>
        <w:tc>
          <w:tcPr/>
          <w:p>
            <w:pPr>
              <w:pStyle w:val="Compact"/>
              <w:spacing w:after="20" w:before="20" w:line="240" w:lineRule="auto"/>
              <w:jc w:val="left"/>
            </w:pPr>
            <w:r>
              <w:rPr>
                <w:sz w:val="17"/>
              </w:rPr>
              <w:t xml:space="preserve">ÉvénementAudit</w:t>
            </w:r>
          </w:p>
        </w:tc>
        <w:tc>
          <w:tcPr/>
          <w:p>
            <w:pPr>
              <w:pStyle w:val="Compact"/>
              <w:spacing w:after="20" w:before="20" w:line="240" w:lineRule="auto"/>
              <w:jc w:val="left"/>
            </w:pPr>
            <w:r>
              <w:rPr>
                <w:sz w:val="17"/>
              </w:rPr>
              <w:t xml:space="preserve">Preuve d'action</w:t>
            </w:r>
          </w:p>
        </w:tc>
        <w:tc>
          <w:tcPr/>
          <w:p>
            <w:pPr>
              <w:pStyle w:val="Compact"/>
              <w:spacing w:after="20" w:before="20" w:line="240" w:lineRule="auto"/>
              <w:jc w:val="left"/>
            </w:pPr>
            <w:r>
              <w:rPr>
                <w:sz w:val="17"/>
              </w:rPr>
              <w:t xml:space="preserve">Acteur, action, objet,</w:t>
            </w:r>
            <w:r>
              <w:rPr>
                <w:sz w:val="17"/>
              </w:rPr>
              <w:t xml:space="preserve"> </w:t>
            </w:r>
            <w:r>
              <w:rPr>
                <w:sz w:val="17"/>
              </w:rPr>
              <w:t xml:space="preserve">horodatage, appareil,</w:t>
            </w:r>
            <w:r>
              <w:rPr>
                <w:sz w:val="17"/>
              </w:rPr>
              <w:t xml:space="preserve"> </w:t>
            </w:r>
            <w:r>
              <w:rPr>
                <w:sz w:val="17"/>
              </w:rPr>
              <w:t xml:space="preserve">position ; ajout seul</w:t>
            </w:r>
          </w:p>
        </w:tc>
        <w:tc>
          <w:tcPr/>
          <w:p>
            <w:pPr>
              <w:pStyle w:val="Compact"/>
              <w:spacing w:after="20" w:before="20" w:line="240" w:lineRule="auto"/>
              <w:jc w:val="left"/>
            </w:pPr>
            <w:r>
              <w:rPr>
                <w:sz w:val="17"/>
              </w:rPr>
              <w:t xml:space="preserve">Audit, inaltérable</w:t>
            </w:r>
          </w:p>
        </w:tc>
      </w:tr>
    </w:tbl>
    <w:bookmarkStart w:id="245" w:name="attributs-daudit-obligatoires"/>
    <w:p>
      <w:pPr>
        <w:pStyle w:val="Heading2"/>
      </w:pPr>
      <w:r>
        <w:t xml:space="preserve">29.1 Attributs d’audit obligatoires</w:t>
      </w:r>
    </w:p>
    <w:p>
      <w:pPr>
        <w:pStyle w:val="FirstParagraph"/>
      </w:pPr>
      <w:r>
        <w:t xml:space="preserve">Toute action sur une entité produit un événement d’audit comportant au minimum : acteur (actor), horodatage (timestamp), appareil et session (device/session), valeurs avant et après (before/after), motif (reason), chaîne d’approbation (approval chain) et identifiant de corrélation (correlation_id).</w:t>
      </w:r>
    </w:p>
    <w:bookmarkEnd w:id="245"/>
    <w:bookmarkStart w:id="246" w:name="X717737f839c6bc1902b2db29b9e84e07cd4fb54"/>
    <w:p>
      <w:pPr>
        <w:pStyle w:val="Heading2"/>
      </w:pPr>
      <w:r>
        <w:t xml:space="preserve">29.2 Correspondance avec le modèle développeur</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Entité fonctionnelle</w:t>
            </w:r>
          </w:p>
        </w:tc>
        <w:tc>
          <w:tcPr>
            <w:shd w:val="clear" w:color="auto" w:fill="1BA996"/>
          </w:tcPr>
          <w:p>
            <w:pPr>
              <w:pStyle w:val="Compact"/>
              <w:spacing w:after="20" w:before="20" w:line="240" w:lineRule="auto"/>
              <w:jc w:val="left"/>
            </w:pPr>
            <w:r>
              <w:rPr>
                <w:b/>
                <w:color w:val="FFFFFF"/>
                <w:sz w:val="17"/>
              </w:rPr>
              <w:t xml:space="preserve">Entités techniques</w:t>
            </w:r>
          </w:p>
        </w:tc>
      </w:tr>
      <w:tr>
        <w:tc>
          <w:tcPr/>
          <w:p>
            <w:pPr>
              <w:pStyle w:val="Compact"/>
              <w:spacing w:after="20" w:before="20" w:line="240" w:lineRule="auto"/>
              <w:jc w:val="left"/>
            </w:pPr>
            <w:r>
              <w:rPr>
                <w:sz w:val="17"/>
              </w:rPr>
              <w:t xml:space="preserve">Utilisateur</w:t>
            </w:r>
          </w:p>
        </w:tc>
        <w:tc>
          <w:tcPr/>
          <w:p>
            <w:pPr>
              <w:pStyle w:val="Compact"/>
              <w:spacing w:after="20" w:before="20" w:line="240" w:lineRule="auto"/>
              <w:jc w:val="left"/>
            </w:pPr>
            <w:r>
              <w:rPr>
                <w:sz w:val="17"/>
              </w:rPr>
              <w:t xml:space="preserve">User</w:t>
            </w:r>
          </w:p>
        </w:tc>
      </w:tr>
      <w:tr>
        <w:tc>
          <w:tcPr>
            <w:shd w:val="clear" w:color="auto" w:fill="F2F9F8"/>
          </w:tcPr>
          <w:p>
            <w:pPr>
              <w:pStyle w:val="Compact"/>
              <w:spacing w:after="20" w:before="20" w:line="240" w:lineRule="auto"/>
              <w:jc w:val="left"/>
            </w:pPr>
            <w:r>
              <w:rPr>
                <w:sz w:val="17"/>
              </w:rPr>
              <w:t xml:space="preserve">Contribuable</w:t>
            </w:r>
          </w:p>
        </w:tc>
        <w:tc>
          <w:tcPr>
            <w:shd w:val="clear" w:color="auto" w:fill="F2F9F8"/>
          </w:tcPr>
          <w:p>
            <w:pPr>
              <w:pStyle w:val="Compact"/>
              <w:spacing w:after="20" w:before="20" w:line="240" w:lineRule="auto"/>
              <w:jc w:val="left"/>
            </w:pPr>
            <w:r>
              <w:rPr>
                <w:sz w:val="17"/>
              </w:rPr>
              <w:t xml:space="preserve">Account</w:t>
            </w:r>
          </w:p>
        </w:tc>
      </w:tr>
      <w:tr>
        <w:tc>
          <w:tcPr/>
          <w:p>
            <w:pPr>
              <w:pStyle w:val="Compact"/>
              <w:spacing w:after="20" w:before="20" w:line="240" w:lineRule="auto"/>
              <w:jc w:val="left"/>
            </w:pPr>
            <w:r>
              <w:rPr>
                <w:sz w:val="17"/>
              </w:rPr>
              <w:t xml:space="preserve">Identité</w:t>
            </w:r>
          </w:p>
        </w:tc>
        <w:tc>
          <w:tcPr/>
          <w:p>
            <w:pPr>
              <w:pStyle w:val="Compact"/>
              <w:spacing w:after="20" w:before="20" w:line="240" w:lineRule="auto"/>
              <w:jc w:val="left"/>
            </w:pPr>
            <w:r>
              <w:rPr>
                <w:sz w:val="17"/>
              </w:rPr>
              <w:t xml:space="preserve">Person</w:t>
            </w:r>
          </w:p>
        </w:tc>
      </w:tr>
      <w:tr>
        <w:tc>
          <w:tcPr>
            <w:shd w:val="clear" w:color="auto" w:fill="F2F9F8"/>
          </w:tcPr>
          <w:p>
            <w:pPr>
              <w:pStyle w:val="Compact"/>
              <w:spacing w:after="20" w:before="20" w:line="240" w:lineRule="auto"/>
              <w:jc w:val="left"/>
            </w:pPr>
            <w:r>
              <w:rPr>
                <w:sz w:val="17"/>
              </w:rPr>
              <w:t xml:space="preserve">Organisation</w:t>
            </w:r>
          </w:p>
        </w:tc>
        <w:tc>
          <w:tcPr>
            <w:shd w:val="clear" w:color="auto" w:fill="F2F9F8"/>
          </w:tcPr>
          <w:p>
            <w:pPr>
              <w:pStyle w:val="Compact"/>
              <w:spacing w:after="20" w:before="20" w:line="240" w:lineRule="auto"/>
              <w:jc w:val="left"/>
            </w:pPr>
            <w:r>
              <w:rPr>
                <w:sz w:val="17"/>
              </w:rPr>
              <w:t xml:space="preserve">Organisation</w:t>
            </w:r>
          </w:p>
        </w:tc>
      </w:tr>
      <w:tr>
        <w:tc>
          <w:tcPr/>
          <w:p>
            <w:pPr>
              <w:pStyle w:val="Compact"/>
              <w:spacing w:after="20" w:before="20" w:line="240" w:lineRule="auto"/>
              <w:jc w:val="left"/>
            </w:pPr>
            <w:r>
              <w:rPr>
                <w:sz w:val="17"/>
              </w:rPr>
              <w:t xml:space="preserve">Adresse</w:t>
            </w:r>
          </w:p>
        </w:tc>
        <w:tc>
          <w:tcPr/>
          <w:p>
            <w:pPr>
              <w:pStyle w:val="Compact"/>
              <w:spacing w:after="20" w:before="20" w:line="240" w:lineRule="auto"/>
              <w:jc w:val="left"/>
            </w:pPr>
            <w:r>
              <w:rPr>
                <w:sz w:val="17"/>
              </w:rPr>
              <w:t xml:space="preserve">Address</w:t>
            </w:r>
          </w:p>
        </w:tc>
      </w:tr>
      <w:tr>
        <w:tc>
          <w:tcPr>
            <w:shd w:val="clear" w:color="auto" w:fill="F2F9F8"/>
          </w:tcPr>
          <w:p>
            <w:pPr>
              <w:pStyle w:val="Compact"/>
              <w:spacing w:after="20" w:before="20" w:line="240" w:lineRule="auto"/>
              <w:jc w:val="left"/>
            </w:pPr>
            <w:r>
              <w:rPr>
                <w:sz w:val="17"/>
              </w:rPr>
              <w:t xml:space="preserve">Géolocalisation</w:t>
            </w:r>
          </w:p>
        </w:tc>
        <w:tc>
          <w:tcPr>
            <w:shd w:val="clear" w:color="auto" w:fill="F2F9F8"/>
          </w:tcPr>
          <w:p>
            <w:pPr>
              <w:pStyle w:val="Compact"/>
              <w:spacing w:after="20" w:before="20" w:line="240" w:lineRule="auto"/>
              <w:jc w:val="left"/>
            </w:pPr>
            <w:r>
              <w:rPr>
                <w:sz w:val="17"/>
              </w:rPr>
              <w:t xml:space="preserve">GeoUnit</w:t>
            </w:r>
          </w:p>
        </w:tc>
      </w:tr>
      <w:tr>
        <w:tc>
          <w:tcPr/>
          <w:p>
            <w:pPr>
              <w:pStyle w:val="Compact"/>
              <w:spacing w:after="20" w:before="20" w:line="240" w:lineRule="auto"/>
              <w:jc w:val="left"/>
            </w:pPr>
            <w:r>
              <w:rPr>
                <w:sz w:val="17"/>
              </w:rPr>
              <w:t xml:space="preserve">ObjetFiscal</w:t>
            </w:r>
          </w:p>
        </w:tc>
        <w:tc>
          <w:tcPr/>
          <w:p>
            <w:pPr>
              <w:pStyle w:val="Compact"/>
              <w:spacing w:after="20" w:before="20" w:line="240" w:lineRule="auto"/>
              <w:jc w:val="left"/>
            </w:pPr>
            <w:r>
              <w:rPr>
                <w:sz w:val="17"/>
              </w:rPr>
              <w:t xml:space="preserve">TaxObject, Asset</w:t>
            </w:r>
          </w:p>
        </w:tc>
      </w:tr>
      <w:tr>
        <w:tc>
          <w:tcPr>
            <w:shd w:val="clear" w:color="auto" w:fill="F2F9F8"/>
          </w:tcPr>
          <w:p>
            <w:pPr>
              <w:pStyle w:val="Compact"/>
              <w:spacing w:after="20" w:before="20" w:line="240" w:lineRule="auto"/>
              <w:jc w:val="left"/>
            </w:pPr>
            <w:r>
              <w:rPr>
                <w:sz w:val="17"/>
              </w:rPr>
              <w:t xml:space="preserve">Parcelle / Bâtiment / UnitéLocative</w:t>
            </w:r>
          </w:p>
        </w:tc>
        <w:tc>
          <w:tcPr>
            <w:shd w:val="clear" w:color="auto" w:fill="F2F9F8"/>
          </w:tcPr>
          <w:p>
            <w:pPr>
              <w:pStyle w:val="Compact"/>
              <w:spacing w:after="20" w:before="20" w:line="240" w:lineRule="auto"/>
              <w:jc w:val="left"/>
            </w:pPr>
            <w:r>
              <w:rPr>
                <w:sz w:val="17"/>
              </w:rPr>
              <w:t xml:space="preserve">Parcel, Building, Unit</w:t>
            </w:r>
          </w:p>
        </w:tc>
      </w:tr>
      <w:tr>
        <w:tc>
          <w:tcPr/>
          <w:p>
            <w:pPr>
              <w:pStyle w:val="Compact"/>
              <w:spacing w:after="20" w:before="20" w:line="240" w:lineRule="auto"/>
              <w:jc w:val="left"/>
            </w:pPr>
            <w:r>
              <w:rPr>
                <w:sz w:val="17"/>
              </w:rPr>
              <w:t xml:space="preserve">Bail</w:t>
            </w:r>
          </w:p>
        </w:tc>
        <w:tc>
          <w:tcPr/>
          <w:p>
            <w:pPr>
              <w:pStyle w:val="Compact"/>
              <w:spacing w:after="20" w:before="20" w:line="240" w:lineRule="auto"/>
              <w:jc w:val="left"/>
            </w:pPr>
            <w:r>
              <w:rPr>
                <w:sz w:val="17"/>
              </w:rPr>
              <w:t xml:space="preserve">Lease</w:t>
            </w:r>
          </w:p>
        </w:tc>
      </w:tr>
      <w:tr>
        <w:tc>
          <w:tcPr>
            <w:shd w:val="clear" w:color="auto" w:fill="F2F9F8"/>
          </w:tcPr>
          <w:p>
            <w:pPr>
              <w:pStyle w:val="Compact"/>
              <w:spacing w:after="20" w:before="20" w:line="240" w:lineRule="auto"/>
              <w:jc w:val="left"/>
            </w:pPr>
            <w:r>
              <w:rPr>
                <w:sz w:val="17"/>
              </w:rPr>
              <w:t xml:space="preserve">Activité / Établissement</w:t>
            </w:r>
          </w:p>
        </w:tc>
        <w:tc>
          <w:tcPr>
            <w:shd w:val="clear" w:color="auto" w:fill="F2F9F8"/>
          </w:tcPr>
          <w:p>
            <w:pPr>
              <w:pStyle w:val="Compact"/>
              <w:spacing w:after="20" w:before="20" w:line="240" w:lineRule="auto"/>
              <w:jc w:val="left"/>
            </w:pPr>
            <w:r>
              <w:rPr>
                <w:sz w:val="17"/>
              </w:rPr>
              <w:t xml:space="preserve">BusinessActivity</w:t>
            </w:r>
          </w:p>
        </w:tc>
      </w:tr>
      <w:tr>
        <w:tc>
          <w:tcPr/>
          <w:p>
            <w:pPr>
              <w:pStyle w:val="Compact"/>
              <w:spacing w:after="20" w:before="20" w:line="240" w:lineRule="auto"/>
              <w:jc w:val="left"/>
            </w:pPr>
            <w:r>
              <w:rPr>
                <w:sz w:val="17"/>
              </w:rPr>
              <w:t xml:space="preserve">Véhicule</w:t>
            </w:r>
          </w:p>
        </w:tc>
        <w:tc>
          <w:tcPr/>
          <w:p>
            <w:pPr>
              <w:pStyle w:val="Compact"/>
              <w:spacing w:after="20" w:before="20" w:line="240" w:lineRule="auto"/>
              <w:jc w:val="left"/>
            </w:pPr>
            <w:r>
              <w:rPr>
                <w:sz w:val="17"/>
              </w:rPr>
              <w:t xml:space="preserve">Vehicle</w:t>
            </w:r>
          </w:p>
        </w:tc>
      </w:tr>
      <w:tr>
        <w:tc>
          <w:tcPr>
            <w:shd w:val="clear" w:color="auto" w:fill="F2F9F8"/>
          </w:tcPr>
          <w:p>
            <w:pPr>
              <w:pStyle w:val="Compact"/>
              <w:spacing w:after="20" w:before="20" w:line="240" w:lineRule="auto"/>
              <w:jc w:val="left"/>
            </w:pPr>
            <w:r>
              <w:rPr>
                <w:sz w:val="17"/>
              </w:rPr>
              <w:t xml:space="preserve">Panneau / Antenne / Embarcation / Concession</w:t>
            </w:r>
          </w:p>
        </w:tc>
        <w:tc>
          <w:tcPr>
            <w:shd w:val="clear" w:color="auto" w:fill="F2F9F8"/>
          </w:tcPr>
          <w:p>
            <w:pPr>
              <w:pStyle w:val="Compact"/>
              <w:spacing w:after="20" w:before="20" w:line="240" w:lineRule="auto"/>
              <w:jc w:val="left"/>
            </w:pPr>
            <w:r>
              <w:rPr>
                <w:sz w:val="17"/>
              </w:rPr>
              <w:t xml:space="preserve">Asset (sous-types)</w:t>
            </w:r>
          </w:p>
        </w:tc>
      </w:tr>
      <w:tr>
        <w:tc>
          <w:tcPr/>
          <w:p>
            <w:pPr>
              <w:pStyle w:val="Compact"/>
              <w:spacing w:after="20" w:before="20" w:line="240" w:lineRule="auto"/>
              <w:jc w:val="left"/>
            </w:pPr>
            <w:r>
              <w:rPr>
                <w:sz w:val="17"/>
              </w:rPr>
              <w:t xml:space="preserve">Licence / Permis</w:t>
            </w:r>
          </w:p>
        </w:tc>
        <w:tc>
          <w:tcPr/>
          <w:p>
            <w:pPr>
              <w:pStyle w:val="Compact"/>
              <w:spacing w:after="20" w:before="20" w:line="240" w:lineRule="auto"/>
              <w:jc w:val="left"/>
            </w:pPr>
            <w:r>
              <w:rPr>
                <w:sz w:val="17"/>
              </w:rPr>
              <w:t xml:space="preserve">Permit</w:t>
            </w:r>
          </w:p>
        </w:tc>
      </w:tr>
      <w:tr>
        <w:tc>
          <w:tcPr>
            <w:shd w:val="clear" w:color="auto" w:fill="F2F9F8"/>
          </w:tcPr>
          <w:p>
            <w:pPr>
              <w:pStyle w:val="Compact"/>
              <w:spacing w:after="20" w:before="20" w:line="240" w:lineRule="auto"/>
              <w:jc w:val="left"/>
            </w:pPr>
            <w:r>
              <w:rPr>
                <w:sz w:val="17"/>
              </w:rPr>
              <w:t xml:space="preserve">TexteLégal</w:t>
            </w:r>
          </w:p>
        </w:tc>
        <w:tc>
          <w:tcPr>
            <w:shd w:val="clear" w:color="auto" w:fill="F2F9F8"/>
          </w:tcPr>
          <w:p>
            <w:pPr>
              <w:pStyle w:val="Compact"/>
              <w:spacing w:after="20" w:before="20" w:line="240" w:lineRule="auto"/>
              <w:jc w:val="left"/>
            </w:pPr>
            <w:r>
              <w:rPr>
                <w:sz w:val="17"/>
              </w:rPr>
              <w:t xml:space="preserve">LegalInstrument</w:t>
            </w:r>
          </w:p>
        </w:tc>
      </w:tr>
      <w:tr>
        <w:tc>
          <w:tcPr/>
          <w:p>
            <w:pPr>
              <w:pStyle w:val="Compact"/>
              <w:spacing w:after="20" w:before="20" w:line="240" w:lineRule="auto"/>
              <w:jc w:val="left"/>
            </w:pPr>
            <w:r>
              <w:rPr>
                <w:sz w:val="17"/>
              </w:rPr>
              <w:t xml:space="preserve">TypeDeRecette / RègleTarifaire</w:t>
            </w:r>
          </w:p>
        </w:tc>
        <w:tc>
          <w:tcPr/>
          <w:p>
            <w:pPr>
              <w:pStyle w:val="Compact"/>
              <w:spacing w:after="20" w:before="20" w:line="240" w:lineRule="auto"/>
              <w:jc w:val="left"/>
            </w:pPr>
            <w:r>
              <w:rPr>
                <w:sz w:val="17"/>
              </w:rPr>
              <w:t xml:space="preserve">RevenueRule, RateVersion</w:t>
            </w:r>
          </w:p>
        </w:tc>
      </w:tr>
      <w:tr>
        <w:tc>
          <w:tcPr>
            <w:shd w:val="clear" w:color="auto" w:fill="F2F9F8"/>
          </w:tcPr>
          <w:p>
            <w:pPr>
              <w:pStyle w:val="Compact"/>
              <w:spacing w:after="20" w:before="20" w:line="240" w:lineRule="auto"/>
              <w:jc w:val="left"/>
            </w:pPr>
            <w:r>
              <w:rPr>
                <w:sz w:val="17"/>
              </w:rPr>
              <w:t xml:space="preserve">Exonération</w:t>
            </w:r>
          </w:p>
        </w:tc>
        <w:tc>
          <w:tcPr>
            <w:shd w:val="clear" w:color="auto" w:fill="F2F9F8"/>
          </w:tcPr>
          <w:p>
            <w:pPr>
              <w:pStyle w:val="Compact"/>
              <w:spacing w:after="20" w:before="20" w:line="240" w:lineRule="auto"/>
              <w:jc w:val="left"/>
            </w:pPr>
            <w:r>
              <w:rPr>
                <w:sz w:val="17"/>
              </w:rPr>
              <w:t xml:space="preserve">Exemption</w:t>
            </w:r>
          </w:p>
        </w:tc>
      </w:tr>
      <w:tr>
        <w:tc>
          <w:tcPr/>
          <w:p>
            <w:pPr>
              <w:pStyle w:val="Compact"/>
              <w:spacing w:after="20" w:before="20" w:line="240" w:lineRule="auto"/>
              <w:jc w:val="left"/>
            </w:pPr>
            <w:r>
              <w:rPr>
                <w:sz w:val="17"/>
              </w:rPr>
              <w:t xml:space="preserve">Déclaration</w:t>
            </w:r>
          </w:p>
        </w:tc>
        <w:tc>
          <w:tcPr/>
          <w:p>
            <w:pPr>
              <w:pStyle w:val="Compact"/>
              <w:spacing w:after="20" w:before="20" w:line="240" w:lineRule="auto"/>
              <w:jc w:val="left"/>
            </w:pPr>
            <w:r>
              <w:rPr>
                <w:sz w:val="17"/>
              </w:rPr>
              <w:t xml:space="preserve">Declaration (à ajouter au modèle développeur)</w:t>
            </w:r>
          </w:p>
        </w:tc>
      </w:tr>
      <w:tr>
        <w:tc>
          <w:tcPr>
            <w:shd w:val="clear" w:color="auto" w:fill="F2F9F8"/>
          </w:tcPr>
          <w:p>
            <w:pPr>
              <w:pStyle w:val="Compact"/>
              <w:spacing w:after="20" w:before="20" w:line="240" w:lineRule="auto"/>
              <w:jc w:val="left"/>
            </w:pPr>
            <w:r>
              <w:rPr>
                <w:sz w:val="17"/>
              </w:rPr>
              <w:t xml:space="preserve">Liquidation / Obligation</w:t>
            </w:r>
          </w:p>
        </w:tc>
        <w:tc>
          <w:tcPr>
            <w:shd w:val="clear" w:color="auto" w:fill="F2F9F8"/>
          </w:tcPr>
          <w:p>
            <w:pPr>
              <w:pStyle w:val="Compact"/>
              <w:spacing w:after="20" w:before="20" w:line="240" w:lineRule="auto"/>
              <w:jc w:val="left"/>
            </w:pPr>
            <w:r>
              <w:rPr>
                <w:sz w:val="17"/>
              </w:rPr>
              <w:t xml:space="preserve">Assessment, Obligation</w:t>
            </w:r>
          </w:p>
        </w:tc>
      </w:tr>
      <w:tr>
        <w:tc>
          <w:tcPr/>
          <w:p>
            <w:pPr>
              <w:pStyle w:val="Compact"/>
              <w:spacing w:after="20" w:before="20" w:line="240" w:lineRule="auto"/>
              <w:jc w:val="left"/>
            </w:pPr>
            <w:r>
              <w:rPr>
                <w:sz w:val="17"/>
              </w:rPr>
              <w:t xml:space="preserve">AvisDePaiement / Notification</w:t>
            </w:r>
          </w:p>
        </w:tc>
        <w:tc>
          <w:tcPr/>
          <w:p>
            <w:pPr>
              <w:pStyle w:val="Compact"/>
              <w:spacing w:after="20" w:before="20" w:line="240" w:lineRule="auto"/>
              <w:jc w:val="left"/>
            </w:pPr>
            <w:r>
              <w:rPr>
                <w:sz w:val="17"/>
              </w:rPr>
              <w:t xml:space="preserve">Notice, PaymentReference</w:t>
            </w:r>
          </w:p>
        </w:tc>
      </w:tr>
      <w:tr>
        <w:tc>
          <w:tcPr>
            <w:shd w:val="clear" w:color="auto" w:fill="F2F9F8"/>
          </w:tcPr>
          <w:p>
            <w:pPr>
              <w:pStyle w:val="Compact"/>
              <w:spacing w:after="20" w:before="20" w:line="240" w:lineRule="auto"/>
              <w:jc w:val="left"/>
            </w:pPr>
            <w:r>
              <w:rPr>
                <w:sz w:val="17"/>
              </w:rPr>
              <w:t xml:space="preserve">OrdreDePaiement / ÉvénementDePaiement</w:t>
            </w:r>
          </w:p>
        </w:tc>
        <w:tc>
          <w:tcPr>
            <w:shd w:val="clear" w:color="auto" w:fill="F2F9F8"/>
          </w:tcPr>
          <w:p>
            <w:pPr>
              <w:pStyle w:val="Compact"/>
              <w:spacing w:after="20" w:before="20" w:line="240" w:lineRule="auto"/>
              <w:jc w:val="left"/>
            </w:pPr>
            <w:r>
              <w:rPr>
                <w:sz w:val="17"/>
              </w:rPr>
              <w:t xml:space="preserve">Payment</w:t>
            </w:r>
          </w:p>
        </w:tc>
      </w:tr>
      <w:tr>
        <w:tc>
          <w:tcPr/>
          <w:p>
            <w:pPr>
              <w:pStyle w:val="Compact"/>
              <w:spacing w:after="20" w:before="20" w:line="240" w:lineRule="auto"/>
              <w:jc w:val="left"/>
            </w:pPr>
            <w:r>
              <w:rPr>
                <w:sz w:val="17"/>
              </w:rPr>
              <w:t xml:space="preserve">Règlement / Rapprochement</w:t>
            </w:r>
          </w:p>
        </w:tc>
        <w:tc>
          <w:tcPr/>
          <w:p>
            <w:pPr>
              <w:pStyle w:val="Compact"/>
              <w:spacing w:after="20" w:before="20" w:line="240" w:lineRule="auto"/>
              <w:jc w:val="left"/>
            </w:pPr>
            <w:r>
              <w:rPr>
                <w:sz w:val="17"/>
              </w:rPr>
              <w:t xml:space="preserve">Settlement, Reconciliation</w:t>
            </w:r>
          </w:p>
        </w:tc>
      </w:tr>
      <w:tr>
        <w:tc>
          <w:tcPr>
            <w:shd w:val="clear" w:color="auto" w:fill="F2F9F8"/>
          </w:tcPr>
          <w:p>
            <w:pPr>
              <w:pStyle w:val="Compact"/>
              <w:spacing w:after="20" w:before="20" w:line="240" w:lineRule="auto"/>
              <w:jc w:val="left"/>
            </w:pPr>
            <w:r>
              <w:rPr>
                <w:sz w:val="17"/>
              </w:rPr>
              <w:t xml:space="preserve">Écriture comptable</w:t>
            </w:r>
          </w:p>
        </w:tc>
        <w:tc>
          <w:tcPr>
            <w:shd w:val="clear" w:color="auto" w:fill="F2F9F8"/>
          </w:tcPr>
          <w:p>
            <w:pPr>
              <w:pStyle w:val="Compact"/>
              <w:spacing w:after="20" w:before="20" w:line="240" w:lineRule="auto"/>
              <w:jc w:val="left"/>
            </w:pPr>
            <w:r>
              <w:rPr>
                <w:sz w:val="17"/>
              </w:rPr>
              <w:t xml:space="preserve">LedgerEntry</w:t>
            </w:r>
          </w:p>
        </w:tc>
      </w:tr>
      <w:tr>
        <w:tc>
          <w:tcPr/>
          <w:p>
            <w:pPr>
              <w:pStyle w:val="Compact"/>
              <w:spacing w:after="20" w:before="20" w:line="240" w:lineRule="auto"/>
              <w:jc w:val="left"/>
            </w:pPr>
            <w:r>
              <w:rPr>
                <w:sz w:val="17"/>
              </w:rPr>
              <w:t xml:space="preserve">Quittance</w:t>
            </w:r>
          </w:p>
        </w:tc>
        <w:tc>
          <w:tcPr/>
          <w:p>
            <w:pPr>
              <w:pStyle w:val="Compact"/>
              <w:spacing w:after="20" w:before="20" w:line="240" w:lineRule="auto"/>
              <w:jc w:val="left"/>
            </w:pPr>
            <w:r>
              <w:rPr>
                <w:sz w:val="17"/>
              </w:rPr>
              <w:t xml:space="preserve">Receipt</w:t>
            </w:r>
          </w:p>
        </w:tc>
      </w:tr>
      <w:tr>
        <w:tc>
          <w:tcPr>
            <w:shd w:val="clear" w:color="auto" w:fill="F2F9F8"/>
          </w:tcPr>
          <w:p>
            <w:pPr>
              <w:pStyle w:val="Compact"/>
              <w:spacing w:after="20" w:before="20" w:line="240" w:lineRule="auto"/>
              <w:jc w:val="left"/>
            </w:pPr>
            <w:r>
              <w:rPr>
                <w:sz w:val="17"/>
              </w:rPr>
              <w:t xml:space="preserve">Compte public bénéficiaire</w:t>
            </w:r>
          </w:p>
        </w:tc>
        <w:tc>
          <w:tcPr>
            <w:shd w:val="clear" w:color="auto" w:fill="F2F9F8"/>
          </w:tcPr>
          <w:p>
            <w:pPr>
              <w:pStyle w:val="Compact"/>
              <w:spacing w:after="20" w:before="20" w:line="240" w:lineRule="auto"/>
              <w:jc w:val="left"/>
            </w:pPr>
            <w:r>
              <w:rPr>
                <w:sz w:val="17"/>
              </w:rPr>
              <w:t xml:space="preserve">BeneficiaryAccount</w:t>
            </w:r>
          </w:p>
        </w:tc>
      </w:tr>
      <w:tr>
        <w:tc>
          <w:tcPr/>
          <w:p>
            <w:pPr>
              <w:pStyle w:val="Compact"/>
              <w:spacing w:after="20" w:before="20" w:line="240" w:lineRule="auto"/>
              <w:jc w:val="left"/>
            </w:pPr>
            <w:r>
              <w:rPr>
                <w:sz w:val="17"/>
              </w:rPr>
              <w:t xml:space="preserve">Inspection / MissionTerrain / Preuve</w:t>
            </w:r>
          </w:p>
        </w:tc>
        <w:tc>
          <w:tcPr/>
          <w:p>
            <w:pPr>
              <w:pStyle w:val="Compact"/>
              <w:spacing w:after="20" w:before="20" w:line="240" w:lineRule="auto"/>
              <w:jc w:val="left"/>
            </w:pPr>
            <w:r>
              <w:rPr>
                <w:sz w:val="17"/>
              </w:rPr>
              <w:t xml:space="preserve">Inspection, FieldMission, Evidence</w:t>
            </w:r>
          </w:p>
        </w:tc>
      </w:tr>
      <w:tr>
        <w:tc>
          <w:tcPr>
            <w:shd w:val="clear" w:color="auto" w:fill="F2F9F8"/>
          </w:tcPr>
          <w:p>
            <w:pPr>
              <w:pStyle w:val="Compact"/>
              <w:spacing w:after="20" w:before="20" w:line="240" w:lineRule="auto"/>
              <w:jc w:val="left"/>
            </w:pPr>
            <w:r>
              <w:rPr>
                <w:sz w:val="17"/>
              </w:rPr>
              <w:t xml:space="preserve">Recours / Pénalité / DossierExécution</w:t>
            </w:r>
          </w:p>
        </w:tc>
        <w:tc>
          <w:tcPr>
            <w:shd w:val="clear" w:color="auto" w:fill="F2F9F8"/>
          </w:tcPr>
          <w:p>
            <w:pPr>
              <w:pStyle w:val="Compact"/>
              <w:spacing w:after="20" w:before="20" w:line="240" w:lineRule="auto"/>
              <w:jc w:val="left"/>
            </w:pPr>
            <w:r>
              <w:rPr>
                <w:sz w:val="17"/>
              </w:rPr>
              <w:t xml:space="preserve">Appeal, Penalty, Case, Arrear, RecoveryAction</w:t>
            </w:r>
          </w:p>
        </w:tc>
      </w:tr>
      <w:tr>
        <w:tc>
          <w:tcPr/>
          <w:p>
            <w:pPr>
              <w:pStyle w:val="Compact"/>
              <w:spacing w:after="20" w:before="20" w:line="240" w:lineRule="auto"/>
              <w:jc w:val="left"/>
            </w:pPr>
            <w:r>
              <w:rPr>
                <w:sz w:val="17"/>
              </w:rPr>
              <w:t xml:space="preserve">RègleAffectation / RecommandationBudgétaire / ProjetPublic</w:t>
            </w:r>
          </w:p>
        </w:tc>
        <w:tc>
          <w:tcPr/>
          <w:p>
            <w:pPr>
              <w:pStyle w:val="Compact"/>
              <w:spacing w:after="20" w:before="20" w:line="240" w:lineRule="auto"/>
              <w:jc w:val="left"/>
            </w:pPr>
            <w:r>
              <w:rPr>
                <w:sz w:val="17"/>
              </w:rPr>
              <w:t xml:space="preserve">BudgetScenario</w:t>
            </w:r>
          </w:p>
        </w:tc>
      </w:tr>
      <w:tr>
        <w:tc>
          <w:tcPr>
            <w:shd w:val="clear" w:color="auto" w:fill="F2F9F8"/>
          </w:tcPr>
          <w:p>
            <w:pPr>
              <w:pStyle w:val="Compact"/>
              <w:spacing w:after="20" w:before="20" w:line="240" w:lineRule="auto"/>
              <w:jc w:val="left"/>
            </w:pPr>
            <w:r>
              <w:rPr>
                <w:sz w:val="17"/>
              </w:rPr>
              <w:t xml:space="preserve">Rôle / Permission / Délégation / Appareil</w:t>
            </w:r>
          </w:p>
        </w:tc>
        <w:tc>
          <w:tcPr>
            <w:shd w:val="clear" w:color="auto" w:fill="F2F9F8"/>
          </w:tcPr>
          <w:p>
            <w:pPr>
              <w:pStyle w:val="Compact"/>
              <w:spacing w:after="20" w:before="20" w:line="240" w:lineRule="auto"/>
              <w:jc w:val="left"/>
            </w:pPr>
            <w:r>
              <w:rPr>
                <w:sz w:val="17"/>
              </w:rPr>
              <w:t xml:space="preserve">Role, Mandate, AccessGrant, Approval, Device</w:t>
            </w:r>
          </w:p>
        </w:tc>
      </w:tr>
      <w:tr>
        <w:tc>
          <w:tcPr/>
          <w:p>
            <w:pPr>
              <w:pStyle w:val="Compact"/>
              <w:spacing w:after="20" w:before="20" w:line="240" w:lineRule="auto"/>
              <w:jc w:val="left"/>
            </w:pPr>
            <w:r>
              <w:rPr>
                <w:sz w:val="17"/>
              </w:rPr>
              <w:t xml:space="preserve">RecommandationIA / AlerteFraude</w:t>
            </w:r>
          </w:p>
        </w:tc>
        <w:tc>
          <w:tcPr/>
          <w:p>
            <w:pPr>
              <w:pStyle w:val="Compact"/>
              <w:spacing w:after="20" w:before="20" w:line="240" w:lineRule="auto"/>
              <w:jc w:val="left"/>
            </w:pPr>
            <w:r>
              <w:rPr>
                <w:sz w:val="17"/>
              </w:rPr>
              <w:t xml:space="preserve">AIModel, AIInference, RiskSignal</w:t>
            </w:r>
          </w:p>
        </w:tc>
      </w:tr>
      <w:tr>
        <w:tc>
          <w:tcPr>
            <w:shd w:val="clear" w:color="auto" w:fill="F2F9F8"/>
          </w:tcPr>
          <w:p>
            <w:pPr>
              <w:pStyle w:val="Compact"/>
              <w:spacing w:after="20" w:before="20" w:line="240" w:lineRule="auto"/>
              <w:jc w:val="left"/>
            </w:pPr>
            <w:r>
              <w:rPr>
                <w:sz w:val="17"/>
              </w:rPr>
              <w:t xml:space="preserve">ÉvénementAudit</w:t>
            </w:r>
          </w:p>
        </w:tc>
        <w:tc>
          <w:tcPr>
            <w:shd w:val="clear" w:color="auto" w:fill="F2F9F8"/>
          </w:tcPr>
          <w:p>
            <w:pPr>
              <w:pStyle w:val="Compact"/>
              <w:spacing w:after="20" w:before="20" w:line="240" w:lineRule="auto"/>
              <w:jc w:val="left"/>
            </w:pPr>
            <w:r>
              <w:rPr>
                <w:sz w:val="17"/>
              </w:rPr>
              <w:t xml:space="preserve">AuditEvent</w:t>
            </w:r>
          </w:p>
        </w:tc>
      </w:tr>
      <w:tr>
        <w:tc>
          <w:tcPr/>
          <w:p>
            <w:pPr>
              <w:pStyle w:val="Compact"/>
              <w:spacing w:after="20" w:before="20" w:line="240" w:lineRule="auto"/>
              <w:jc w:val="left"/>
            </w:pPr>
            <w:r>
              <w:rPr>
                <w:sz w:val="17"/>
              </w:rPr>
              <w:t xml:space="preserve">Entité / EspaceEntité / FicheConfigurationModule</w:t>
            </w:r>
          </w:p>
        </w:tc>
        <w:tc>
          <w:tcPr/>
          <w:p>
            <w:pPr>
              <w:pStyle w:val="Compact"/>
              <w:spacing w:after="20" w:before="20" w:line="240" w:lineRule="auto"/>
              <w:jc w:val="left"/>
            </w:pPr>
            <w:r>
              <w:rPr>
                <w:sz w:val="17"/>
              </w:rPr>
              <w:t xml:space="preserve">Entity, Tenant, ModuleConfiguration (à ajouter au modèle développeur)</w:t>
            </w:r>
          </w:p>
        </w:tc>
      </w:tr>
      <w:tr>
        <w:tc>
          <w:tcPr>
            <w:shd w:val="clear" w:color="auto" w:fill="F2F9F8"/>
          </w:tcPr>
          <w:p>
            <w:pPr>
              <w:pStyle w:val="Compact"/>
              <w:spacing w:after="20" w:before="20" w:line="240" w:lineRule="auto"/>
              <w:jc w:val="left"/>
            </w:pPr>
            <w:r>
              <w:rPr>
                <w:sz w:val="17"/>
              </w:rPr>
              <w:t xml:space="preserve">TypeDeTitre / PolitiqueDeValidité</w:t>
            </w:r>
          </w:p>
        </w:tc>
        <w:tc>
          <w:tcPr>
            <w:shd w:val="clear" w:color="auto" w:fill="F2F9F8"/>
          </w:tcPr>
          <w:p>
            <w:pPr>
              <w:pStyle w:val="Compact"/>
              <w:spacing w:after="20" w:before="20" w:line="240" w:lineRule="auto"/>
              <w:jc w:val="left"/>
            </w:pPr>
            <w:r>
              <w:rPr>
                <w:sz w:val="17"/>
              </w:rPr>
              <w:t xml:space="preserve">CredentialType, ValidityPolicy (à ajouter)</w:t>
            </w:r>
          </w:p>
        </w:tc>
      </w:tr>
      <w:tr>
        <w:tc>
          <w:tcPr/>
          <w:p>
            <w:pPr>
              <w:pStyle w:val="Compact"/>
              <w:spacing w:after="20" w:before="20" w:line="240" w:lineRule="auto"/>
              <w:jc w:val="left"/>
            </w:pPr>
            <w:r>
              <w:rPr>
                <w:sz w:val="17"/>
              </w:rPr>
              <w:t xml:space="preserve">Titre / ÉvénementDUsage / ÉvénementDeContrôle / Révocation</w:t>
            </w:r>
          </w:p>
        </w:tc>
        <w:tc>
          <w:tcPr/>
          <w:p>
            <w:pPr>
              <w:pStyle w:val="Compact"/>
              <w:spacing w:after="20" w:before="20" w:line="240" w:lineRule="auto"/>
              <w:jc w:val="left"/>
            </w:pPr>
            <w:r>
              <w:rPr>
                <w:sz w:val="17"/>
              </w:rPr>
              <w:t xml:space="preserve">Credential, UsageEvent, VerificationEvent, Revocation (à ajouter)</w:t>
            </w:r>
          </w:p>
        </w:tc>
      </w:tr>
      <w:tr>
        <w:tc>
          <w:tcPr>
            <w:shd w:val="clear" w:color="auto" w:fill="F2F9F8"/>
          </w:tcPr>
          <w:p>
            <w:pPr>
              <w:pStyle w:val="Compact"/>
              <w:spacing w:after="20" w:before="20" w:line="240" w:lineRule="auto"/>
              <w:jc w:val="left"/>
            </w:pPr>
            <w:r>
              <w:rPr>
                <w:sz w:val="17"/>
              </w:rPr>
              <w:t xml:space="preserve">Arbitrage entre entités</w:t>
            </w:r>
          </w:p>
        </w:tc>
        <w:tc>
          <w:tcPr>
            <w:shd w:val="clear" w:color="auto" w:fill="F2F9F8"/>
          </w:tcPr>
          <w:p>
            <w:pPr>
              <w:pStyle w:val="Compact"/>
              <w:spacing w:after="20" w:before="20" w:line="240" w:lineRule="auto"/>
              <w:jc w:val="left"/>
            </w:pPr>
            <w:r>
              <w:rPr>
                <w:sz w:val="17"/>
              </w:rPr>
              <w:t xml:space="preserve">Arbitration (à ajouter)</w:t>
            </w:r>
          </w:p>
        </w:tc>
      </w:tr>
      <w:tr>
        <w:tc>
          <w:tcPr/>
          <w:p>
            <w:pPr>
              <w:pStyle w:val="Compact"/>
              <w:spacing w:after="20" w:before="20" w:line="240" w:lineRule="auto"/>
              <w:jc w:val="left"/>
            </w:pPr>
            <w:r>
              <w:rPr>
                <w:sz w:val="17"/>
              </w:rPr>
              <w:t xml:space="preserve">Relation contribuable–objet</w:t>
            </w:r>
          </w:p>
        </w:tc>
        <w:tc>
          <w:tcPr/>
          <w:p>
            <w:pPr>
              <w:pStyle w:val="Compact"/>
              <w:spacing w:after="20" w:before="20" w:line="240" w:lineRule="auto"/>
              <w:jc w:val="left"/>
            </w:pPr>
            <w:r>
              <w:rPr>
                <w:sz w:val="17"/>
              </w:rPr>
              <w:t xml:space="preserve">Relationship (à ajouter)</w:t>
            </w:r>
          </w:p>
        </w:tc>
      </w:tr>
      <w:tr>
        <w:tc>
          <w:tcPr>
            <w:shd w:val="clear" w:color="auto" w:fill="F2F9F8"/>
          </w:tcPr>
          <w:p>
            <w:pPr>
              <w:pStyle w:val="Compact"/>
              <w:spacing w:after="20" w:before="20" w:line="240" w:lineRule="auto"/>
              <w:jc w:val="left"/>
            </w:pPr>
            <w:r>
              <w:rPr>
                <w:sz w:val="17"/>
              </w:rPr>
              <w:t xml:space="preserve">Ticket / Opérateur / ZoneDeStationnement / Réservation</w:t>
            </w:r>
          </w:p>
        </w:tc>
        <w:tc>
          <w:tcPr>
            <w:shd w:val="clear" w:color="auto" w:fill="F2F9F8"/>
          </w:tcPr>
          <w:p>
            <w:pPr>
              <w:pStyle w:val="Compact"/>
              <w:spacing w:after="20" w:before="20" w:line="240" w:lineRule="auto"/>
              <w:jc w:val="left"/>
            </w:pPr>
            <w:r>
              <w:rPr>
                <w:sz w:val="17"/>
              </w:rPr>
              <w:t xml:space="preserve">Ticket, Merchant, ParkingZone, Reservation (à ajouter)</w:t>
            </w:r>
          </w:p>
        </w:tc>
      </w:tr>
      <w:tr>
        <w:tc>
          <w:tcPr/>
          <w:p>
            <w:pPr>
              <w:pStyle w:val="Compact"/>
              <w:spacing w:after="20" w:before="20" w:line="240" w:lineRule="auto"/>
              <w:jc w:val="left"/>
            </w:pPr>
            <w:r>
              <w:rPr>
                <w:sz w:val="17"/>
              </w:rPr>
              <w:t xml:space="preserve">SupportPublicitaire / DossierDeConstat</w:t>
            </w:r>
          </w:p>
        </w:tc>
        <w:tc>
          <w:tcPr/>
          <w:p>
            <w:pPr>
              <w:pStyle w:val="Compact"/>
              <w:spacing w:after="20" w:before="20" w:line="240" w:lineRule="auto"/>
              <w:jc w:val="left"/>
            </w:pPr>
            <w:r>
              <w:rPr>
                <w:sz w:val="17"/>
              </w:rPr>
              <w:t xml:space="preserve">AdvertisingPanel, InspectionCase (à ajouter)</w:t>
            </w:r>
          </w:p>
        </w:tc>
      </w:tr>
      <w:tr>
        <w:tc>
          <w:tcPr>
            <w:shd w:val="clear" w:color="auto" w:fill="F2F9F8"/>
          </w:tcPr>
          <w:p>
            <w:pPr>
              <w:pStyle w:val="Compact"/>
              <w:spacing w:after="20" w:before="20" w:line="240" w:lineRule="auto"/>
              <w:jc w:val="left"/>
            </w:pPr>
            <w:r>
              <w:rPr>
                <w:sz w:val="17"/>
              </w:rPr>
              <w:t xml:space="preserve">VolAérien / IFA / RapprochementAérien</w:t>
            </w:r>
          </w:p>
        </w:tc>
        <w:tc>
          <w:tcPr>
            <w:shd w:val="clear" w:color="auto" w:fill="F2F9F8"/>
          </w:tcPr>
          <w:p>
            <w:pPr>
              <w:pStyle w:val="Compact"/>
              <w:spacing w:after="20" w:before="20" w:line="240" w:lineRule="auto"/>
              <w:jc w:val="left"/>
            </w:pPr>
            <w:r>
              <w:rPr>
                <w:sz w:val="17"/>
              </w:rPr>
              <w:t xml:space="preserve">Flight, AirTaxId, AirReconciliation (à ajouter)</w:t>
            </w:r>
          </w:p>
        </w:tc>
      </w:tr>
      <w:tr>
        <w:tc>
          <w:tcPr/>
          <w:p>
            <w:pPr>
              <w:pStyle w:val="Compact"/>
              <w:spacing w:after="20" w:before="20" w:line="240" w:lineRule="auto"/>
              <w:jc w:val="left"/>
            </w:pPr>
            <w:r>
              <w:rPr>
                <w:sz w:val="17"/>
              </w:rPr>
              <w:t xml:space="preserve">ComptePublic / TransactionBancaire / Justificatif / AlerteDeDépense</w:t>
            </w:r>
          </w:p>
        </w:tc>
        <w:tc>
          <w:tcPr/>
          <w:p>
            <w:pPr>
              <w:pStyle w:val="Compact"/>
              <w:spacing w:after="20" w:before="20" w:line="240" w:lineRule="auto"/>
              <w:jc w:val="left"/>
            </w:pPr>
            <w:r>
              <w:rPr>
                <w:sz w:val="17"/>
              </w:rPr>
              <w:t xml:space="preserve">PublicAccount, BankTransaction, SupportingDocument, SpendingAlert (à ajouter)</w:t>
            </w:r>
          </w:p>
        </w:tc>
      </w:tr>
      <w:tr>
        <w:tc>
          <w:tcPr>
            <w:shd w:val="clear" w:color="auto" w:fill="F2F9F8"/>
          </w:tcPr>
          <w:p>
            <w:pPr>
              <w:pStyle w:val="Compact"/>
              <w:spacing w:after="20" w:before="20" w:line="240" w:lineRule="auto"/>
              <w:jc w:val="left"/>
            </w:pPr>
            <w:r>
              <w:rPr>
                <w:sz w:val="17"/>
              </w:rPr>
              <w:t xml:space="preserve">CléDeRépartition / Répartition / Décaissement / BénéficiaireDeRépartition</w:t>
            </w:r>
          </w:p>
        </w:tc>
        <w:tc>
          <w:tcPr>
            <w:shd w:val="clear" w:color="auto" w:fill="F2F9F8"/>
          </w:tcPr>
          <w:p>
            <w:pPr>
              <w:pStyle w:val="Compact"/>
              <w:spacing w:after="20" w:before="20" w:line="240" w:lineRule="auto"/>
              <w:jc w:val="left"/>
            </w:pPr>
            <w:r>
              <w:rPr>
                <w:sz w:val="17"/>
              </w:rPr>
              <w:t xml:space="preserve">RevenueShareKey, Allocation, Disbursement, AllocationBeneficiary (à ajouter)</w:t>
            </w:r>
          </w:p>
        </w:tc>
      </w:tr>
    </w:tbl>
    <w:bookmarkEnd w:id="246"/>
    <w:bookmarkStart w:id="247" w:name="champs-critiques-des-objets-de-données"/>
    <w:p>
      <w:pPr>
        <w:pStyle w:val="Heading2"/>
      </w:pPr>
      <w:r>
        <w:t xml:space="preserve">29.3 Champs critiques des objets de données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Objet</w:t>
            </w:r>
          </w:p>
        </w:tc>
        <w:tc>
          <w:tcPr>
            <w:shd w:val="clear" w:color="auto" w:fill="1BA996"/>
          </w:tcPr>
          <w:p>
            <w:pPr>
              <w:pStyle w:val="Compact"/>
              <w:spacing w:after="20" w:before="20" w:line="240" w:lineRule="auto"/>
              <w:jc w:val="left"/>
            </w:pPr>
            <w:r>
              <w:rPr>
                <w:b/>
                <w:color w:val="FFFFFF"/>
                <w:sz w:val="17"/>
              </w:rPr>
              <w:t xml:space="preserve">Champs critiques</w:t>
            </w:r>
          </w:p>
        </w:tc>
      </w:tr>
      <w:tr>
        <w:tc>
          <w:tcPr/>
          <w:p>
            <w:pPr>
              <w:pStyle w:val="Compact"/>
              <w:spacing w:after="20" w:before="20" w:line="240" w:lineRule="auto"/>
              <w:jc w:val="left"/>
            </w:pPr>
            <w:r>
              <w:rPr>
                <w:sz w:val="17"/>
              </w:rPr>
              <w:t xml:space="preserve">Taxpayer</w:t>
            </w:r>
          </w:p>
        </w:tc>
        <w:tc>
          <w:tcPr/>
          <w:p>
            <w:pPr>
              <w:pStyle w:val="Compact"/>
              <w:spacing w:after="20" w:before="20" w:line="240" w:lineRule="auto"/>
              <w:jc w:val="left"/>
            </w:pPr>
            <w:r>
              <w:rPr>
                <w:sz w:val="17"/>
              </w:rPr>
              <w:t xml:space="preserve">taxpayer_id, type, NIF, verification_level, status, contacts</w:t>
            </w:r>
          </w:p>
        </w:tc>
      </w:tr>
      <w:tr>
        <w:tc>
          <w:tcPr>
            <w:shd w:val="clear" w:color="auto" w:fill="F2F9F8"/>
          </w:tcPr>
          <w:p>
            <w:pPr>
              <w:pStyle w:val="Compact"/>
              <w:spacing w:after="20" w:before="20" w:line="240" w:lineRule="auto"/>
              <w:jc w:val="left"/>
            </w:pPr>
            <w:r>
              <w:rPr>
                <w:sz w:val="17"/>
              </w:rPr>
              <w:t xml:space="preserve">FiscalObject</w:t>
            </w:r>
          </w:p>
        </w:tc>
        <w:tc>
          <w:tcPr>
            <w:shd w:val="clear" w:color="auto" w:fill="F2F9F8"/>
          </w:tcPr>
          <w:p>
            <w:pPr>
              <w:pStyle w:val="Compact"/>
              <w:spacing w:after="20" w:before="20" w:line="240" w:lineRule="auto"/>
              <w:jc w:val="left"/>
            </w:pPr>
            <w:r>
              <w:rPr>
                <w:sz w:val="17"/>
              </w:rPr>
              <w:t xml:space="preserve">object_id, category, lifecycle_status, geo_id, attributes, confidence</w:t>
            </w:r>
          </w:p>
        </w:tc>
      </w:tr>
      <w:tr>
        <w:tc>
          <w:tcPr/>
          <w:p>
            <w:pPr>
              <w:pStyle w:val="Compact"/>
              <w:spacing w:after="20" w:before="20" w:line="240" w:lineRule="auto"/>
              <w:jc w:val="left"/>
            </w:pPr>
            <w:r>
              <w:rPr>
                <w:sz w:val="17"/>
              </w:rPr>
              <w:t xml:space="preserve">Relationship</w:t>
            </w:r>
          </w:p>
        </w:tc>
        <w:tc>
          <w:tcPr/>
          <w:p>
            <w:pPr>
              <w:pStyle w:val="Compact"/>
              <w:spacing w:after="20" w:before="20" w:line="240" w:lineRule="auto"/>
              <w:jc w:val="left"/>
            </w:pPr>
            <w:r>
              <w:rPr>
                <w:sz w:val="17"/>
              </w:rPr>
              <w:t xml:space="preserve">taxpayer_id, object_id, role, start_date, end_date, evidence</w:t>
            </w:r>
          </w:p>
        </w:tc>
      </w:tr>
      <w:tr>
        <w:tc>
          <w:tcPr>
            <w:shd w:val="clear" w:color="auto" w:fill="F2F9F8"/>
          </w:tcPr>
          <w:p>
            <w:pPr>
              <w:pStyle w:val="Compact"/>
              <w:spacing w:after="20" w:before="20" w:line="240" w:lineRule="auto"/>
              <w:jc w:val="left"/>
            </w:pPr>
            <w:r>
              <w:rPr>
                <w:sz w:val="17"/>
              </w:rPr>
              <w:t xml:space="preserve">LegalRule</w:t>
            </w:r>
          </w:p>
        </w:tc>
        <w:tc>
          <w:tcPr>
            <w:shd w:val="clear" w:color="auto" w:fill="F2F9F8"/>
          </w:tcPr>
          <w:p>
            <w:pPr>
              <w:pStyle w:val="Compact"/>
              <w:spacing w:after="20" w:before="20" w:line="240" w:lineRule="auto"/>
              <w:jc w:val="left"/>
            </w:pPr>
            <w:r>
              <w:rPr>
                <w:sz w:val="17"/>
              </w:rPr>
              <w:t xml:space="preserve">rule_id, legal_basis, formula, effective dates, approvals, version</w:t>
            </w:r>
          </w:p>
        </w:tc>
      </w:tr>
      <w:tr>
        <w:tc>
          <w:tcPr/>
          <w:p>
            <w:pPr>
              <w:pStyle w:val="Compact"/>
              <w:spacing w:after="20" w:before="20" w:line="240" w:lineRule="auto"/>
              <w:jc w:val="left"/>
            </w:pPr>
            <w:r>
              <w:rPr>
                <w:sz w:val="17"/>
              </w:rPr>
              <w:t xml:space="preserve">Obligation</w:t>
            </w:r>
          </w:p>
        </w:tc>
        <w:tc>
          <w:tcPr/>
          <w:p>
            <w:pPr>
              <w:pStyle w:val="Compact"/>
              <w:spacing w:after="20" w:before="20" w:line="240" w:lineRule="auto"/>
              <w:jc w:val="left"/>
            </w:pPr>
            <w:r>
              <w:rPr>
                <w:sz w:val="17"/>
              </w:rPr>
              <w:t xml:space="preserve">obligation_id, rule_version, period, base, amount, status, explanation</w:t>
            </w:r>
          </w:p>
        </w:tc>
      </w:tr>
      <w:tr>
        <w:tc>
          <w:tcPr>
            <w:shd w:val="clear" w:color="auto" w:fill="F2F9F8"/>
          </w:tcPr>
          <w:p>
            <w:pPr>
              <w:pStyle w:val="Compact"/>
              <w:spacing w:after="20" w:before="20" w:line="240" w:lineRule="auto"/>
              <w:jc w:val="left"/>
            </w:pPr>
            <w:r>
              <w:rPr>
                <w:sz w:val="17"/>
              </w:rPr>
              <w:t xml:space="preserve">PaymentOrder</w:t>
            </w:r>
          </w:p>
        </w:tc>
        <w:tc>
          <w:tcPr>
            <w:shd w:val="clear" w:color="auto" w:fill="F2F9F8"/>
          </w:tcPr>
          <w:p>
            <w:pPr>
              <w:pStyle w:val="Compact"/>
              <w:spacing w:after="20" w:before="20" w:line="240" w:lineRule="auto"/>
              <w:jc w:val="left"/>
            </w:pPr>
            <w:r>
              <w:rPr>
                <w:sz w:val="17"/>
              </w:rPr>
              <w:t xml:space="preserve">order_id, obligation_ids, amount, channel, beneficiary, expiry</w:t>
            </w:r>
          </w:p>
        </w:tc>
      </w:tr>
      <w:tr>
        <w:tc>
          <w:tcPr/>
          <w:p>
            <w:pPr>
              <w:pStyle w:val="Compact"/>
              <w:spacing w:after="20" w:before="20" w:line="240" w:lineRule="auto"/>
              <w:jc w:val="left"/>
            </w:pPr>
            <w:r>
              <w:rPr>
                <w:sz w:val="17"/>
              </w:rPr>
              <w:t xml:space="preserve">PaymentEvent</w:t>
            </w:r>
          </w:p>
        </w:tc>
        <w:tc>
          <w:tcPr/>
          <w:p>
            <w:pPr>
              <w:pStyle w:val="Compact"/>
              <w:spacing w:after="20" w:before="20" w:line="240" w:lineRule="auto"/>
              <w:jc w:val="left"/>
            </w:pPr>
            <w:r>
              <w:rPr>
                <w:sz w:val="17"/>
              </w:rPr>
              <w:t xml:space="preserve">event_id, provider_ref, amount, time, signature, settlement_status</w:t>
            </w:r>
          </w:p>
        </w:tc>
      </w:tr>
      <w:tr>
        <w:tc>
          <w:tcPr>
            <w:shd w:val="clear" w:color="auto" w:fill="F2F9F8"/>
          </w:tcPr>
          <w:p>
            <w:pPr>
              <w:pStyle w:val="Compact"/>
              <w:spacing w:after="20" w:before="20" w:line="240" w:lineRule="auto"/>
              <w:jc w:val="left"/>
            </w:pPr>
            <w:r>
              <w:rPr>
                <w:sz w:val="17"/>
              </w:rPr>
              <w:t xml:space="preserve">Receipt</w:t>
            </w:r>
          </w:p>
        </w:tc>
        <w:tc>
          <w:tcPr>
            <w:shd w:val="clear" w:color="auto" w:fill="F2F9F8"/>
          </w:tcPr>
          <w:p>
            <w:pPr>
              <w:pStyle w:val="Compact"/>
              <w:spacing w:after="20" w:before="20" w:line="240" w:lineRule="auto"/>
              <w:jc w:val="left"/>
            </w:pPr>
            <w:r>
              <w:rPr>
                <w:sz w:val="17"/>
              </w:rPr>
              <w:t xml:space="preserve">receipt_id, payment_id, signature, QR token, status</w:t>
            </w:r>
          </w:p>
        </w:tc>
      </w:tr>
      <w:tr>
        <w:tc>
          <w:tcPr/>
          <w:p>
            <w:pPr>
              <w:pStyle w:val="Compact"/>
              <w:spacing w:after="20" w:before="20" w:line="240" w:lineRule="auto"/>
              <w:jc w:val="left"/>
            </w:pPr>
            <w:r>
              <w:rPr>
                <w:sz w:val="17"/>
              </w:rPr>
              <w:t xml:space="preserve">Inspection</w:t>
            </w:r>
          </w:p>
        </w:tc>
        <w:tc>
          <w:tcPr/>
          <w:p>
            <w:pPr>
              <w:pStyle w:val="Compact"/>
              <w:spacing w:after="20" w:before="20" w:line="240" w:lineRule="auto"/>
              <w:jc w:val="left"/>
            </w:pPr>
            <w:r>
              <w:rPr>
                <w:sz w:val="17"/>
              </w:rPr>
              <w:t xml:space="preserve">mission_id, officer, object_id, GPS, evidence, outcome</w:t>
            </w:r>
          </w:p>
        </w:tc>
      </w:tr>
      <w:tr>
        <w:tc>
          <w:tcPr>
            <w:shd w:val="clear" w:color="auto" w:fill="F2F9F8"/>
          </w:tcPr>
          <w:p>
            <w:pPr>
              <w:pStyle w:val="Compact"/>
              <w:spacing w:after="20" w:before="20" w:line="240" w:lineRule="auto"/>
              <w:jc w:val="left"/>
            </w:pPr>
            <w:r>
              <w:rPr>
                <w:sz w:val="17"/>
              </w:rPr>
              <w:t xml:space="preserve">Appeal</w:t>
            </w:r>
          </w:p>
        </w:tc>
        <w:tc>
          <w:tcPr>
            <w:shd w:val="clear" w:color="auto" w:fill="F2F9F8"/>
          </w:tcPr>
          <w:p>
            <w:pPr>
              <w:pStyle w:val="Compact"/>
              <w:spacing w:after="20" w:before="20" w:line="240" w:lineRule="auto"/>
              <w:jc w:val="left"/>
            </w:pPr>
            <w:r>
              <w:rPr>
                <w:sz w:val="17"/>
              </w:rPr>
              <w:t xml:space="preserve">appeal_id, grounds, evidence, deadlines, decision, reviewer</w:t>
            </w:r>
          </w:p>
        </w:tc>
      </w:tr>
      <w:tr>
        <w:tc>
          <w:tcPr/>
          <w:p>
            <w:pPr>
              <w:pStyle w:val="Compact"/>
              <w:spacing w:after="20" w:before="20" w:line="240" w:lineRule="auto"/>
              <w:jc w:val="left"/>
            </w:pPr>
            <w:r>
              <w:rPr>
                <w:sz w:val="17"/>
              </w:rPr>
              <w:t xml:space="preserve">AuditEvent</w:t>
            </w:r>
          </w:p>
        </w:tc>
        <w:tc>
          <w:tcPr/>
          <w:p>
            <w:pPr>
              <w:pStyle w:val="Compact"/>
              <w:spacing w:after="20" w:before="20" w:line="240" w:lineRule="auto"/>
              <w:jc w:val="left"/>
            </w:pPr>
            <w:r>
              <w:rPr>
                <w:sz w:val="17"/>
              </w:rPr>
              <w:t xml:space="preserve">event_id, actor, action, target, before_hash, after_hash, device, time</w:t>
            </w:r>
          </w:p>
        </w:tc>
      </w:tr>
    </w:tbl>
    <w:p>
      <w:pPr>
        <w:pStyle w:val="BodyText"/>
      </w:pPr>
      <w:r>
        <w:rPr>
          <w:b/>
          <w:bCs/>
        </w:rPr>
        <w:t xml:space="preserve">Événements d’audit obligatoires</w:t>
      </w:r>
      <w:r>
        <w:t xml:space="preserve"> </w:t>
      </w:r>
      <w:r>
        <w:t xml:space="preserve">: connexion, échec, MFA, changement d’appareil, élévation de privilège ; création, lecture sensible, export, modification, fusion et archivage d’une identité ou d’un objet ; création, validation, publication, suspension et expiration d’une règle ; calcul, recalcul, correction, remise, exonération, pénalité, annulation ; ordre de paiement, rappel, règlement, rapprochement, exception, remboursement, révocation ; mission, preuve terrain, position, synchronisation, conflit ; recours, pièces, consultation, décision, délai, notification ; changement de clé, de secret, de bénéficiaire, de configuration, de rôle ou de politique de sécurité.</w:t>
      </w:r>
    </w:p>
    <w:bookmarkEnd w:id="247"/>
    <w:bookmarkEnd w:id="248"/>
    <w:bookmarkStart w:id="257" w:name="catalogue-des-api"/>
    <w:p>
      <w:pPr>
        <w:pStyle w:val="Heading1"/>
      </w:pPr>
      <w:r>
        <w:t xml:space="preserve">30. Catalogue des API</w:t>
      </w:r>
    </w:p>
    <w:p>
      <w:pPr>
        <w:pStyle w:val="FirstParagraph"/>
      </w:pPr>
      <w:r>
        <w:t xml:space="preserve">Toutes les API sont authentifiées, journalisées, versionnées et soumises</w:t>
      </w:r>
      <w:r>
        <w:t xml:space="preserve"> </w:t>
      </w:r>
      <w:r>
        <w:t xml:space="preserve">à quotas. Les appels créant un effet financier sont idempotents par clé</w:t>
      </w:r>
      <w:r>
        <w:t xml:space="preserve"> </w:t>
      </w:r>
      <w:r>
        <w:t xml:space="preserve">fournie par l'appelant. Le tableau présente le noyau ; la spécification</w:t>
      </w:r>
      <w:r>
        <w:t xml:space="preserve"> </w:t>
      </w:r>
      <w:r>
        <w:t xml:space="preserve">complète est un livrable de la phase 2.</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099"/>
        <w:gridCol w:w="1463"/>
        <w:gridCol w:w="1377"/>
        <w:gridCol w:w="1807"/>
      </w:tblGrid>
      <w:tr>
        <w:trPr>
          <w:tblHeader w:val="true"/>
          <w:tblHeader/>
        </w:trPr>
        <w:tc>
          <w:tcPr>
            <w:shd w:val="clear" w:color="auto" w:fill="1BA996"/>
          </w:tcPr>
          <w:p>
            <w:pPr>
              <w:pStyle w:val="Compact"/>
              <w:spacing w:after="20" w:before="20" w:line="240" w:lineRule="auto"/>
              <w:jc w:val="left"/>
            </w:pPr>
            <w:r>
              <w:rPr>
                <w:b/>
                <w:bCs/>
                <w:color w:val="FFFFFF"/>
                <w:sz w:val="17"/>
              </w:rPr>
              <w:t xml:space="preserve">Méthode et route</w:t>
            </w:r>
          </w:p>
        </w:tc>
        <w:tc>
          <w:tcPr>
            <w:shd w:val="clear" w:color="auto" w:fill="1BA996"/>
          </w:tcPr>
          <w:p>
            <w:pPr>
              <w:pStyle w:val="Compact"/>
              <w:spacing w:after="20" w:before="20" w:line="240" w:lineRule="auto"/>
              <w:jc w:val="left"/>
            </w:pPr>
            <w:r>
              <w:rPr>
                <w:b/>
                <w:bCs/>
                <w:color w:val="FFFFFF"/>
                <w:sz w:val="17"/>
              </w:rPr>
              <w:t xml:space="preserve">Objet</w:t>
            </w:r>
          </w:p>
        </w:tc>
        <w:tc>
          <w:tcPr>
            <w:shd w:val="clear" w:color="auto" w:fill="1BA996"/>
          </w:tcPr>
          <w:p>
            <w:pPr>
              <w:pStyle w:val="Compact"/>
              <w:spacing w:after="20" w:before="20" w:line="240" w:lineRule="auto"/>
              <w:jc w:val="left"/>
            </w:pPr>
            <w:r>
              <w:rPr>
                <w:b/>
                <w:bCs/>
                <w:color w:val="FFFFFF"/>
                <w:sz w:val="17"/>
              </w:rPr>
              <w:t xml:space="preserve">Acteur</w:t>
            </w:r>
            <w:r>
              <w:rPr>
                <w:b/>
                <w:bCs/>
                <w:color w:val="FFFFFF"/>
                <w:sz w:val="17"/>
              </w:rPr>
              <w:t xml:space="preserve"> </w:t>
            </w:r>
            <w:r>
              <w:rPr>
                <w:b/>
                <w:bCs/>
                <w:color w:val="FFFFFF"/>
                <w:sz w:val="17"/>
              </w:rPr>
              <w:t xml:space="preserve">autorisé</w:t>
            </w:r>
          </w:p>
        </w:tc>
        <w:tc>
          <w:tcPr>
            <w:shd w:val="clear" w:color="auto" w:fill="1BA996"/>
          </w:tcPr>
          <w:p>
            <w:pPr>
              <w:pStyle w:val="Compact"/>
              <w:spacing w:after="20" w:before="20" w:line="240" w:lineRule="auto"/>
              <w:jc w:val="left"/>
            </w:pPr>
            <w:r>
              <w:rPr>
                <w:b/>
                <w:bCs/>
                <w:color w:val="FFFFFF"/>
                <w:sz w:val="17"/>
              </w:rPr>
              <w:t xml:space="preserve">Contrôles</w:t>
            </w:r>
          </w:p>
        </w:tc>
      </w:tr>
      <w:tr>
        <w:tc>
          <w:tcPr/>
          <w:p>
            <w:pPr>
              <w:pStyle w:val="Compact"/>
              <w:spacing w:after="20" w:before="20" w:line="240" w:lineRule="auto"/>
              <w:jc w:val="left"/>
            </w:pPr>
            <w:r>
              <w:rPr>
                <w:sz w:val="17"/>
              </w:rPr>
              <w:t xml:space="preserve">POST /v1/comptes</w:t>
            </w:r>
          </w:p>
        </w:tc>
        <w:tc>
          <w:tcPr/>
          <w:p>
            <w:pPr>
              <w:pStyle w:val="Compact"/>
              <w:spacing w:after="20" w:before="20" w:line="240" w:lineRule="auto"/>
              <w:jc w:val="left"/>
            </w:pPr>
            <w:r>
              <w:rPr>
                <w:sz w:val="17"/>
              </w:rPr>
              <w:t xml:space="preserve">Créer un compte</w:t>
            </w:r>
          </w:p>
        </w:tc>
        <w:tc>
          <w:tcPr/>
          <w:p>
            <w:pPr>
              <w:pStyle w:val="Compact"/>
              <w:spacing w:after="20" w:before="20" w:line="240" w:lineRule="auto"/>
              <w:jc w:val="left"/>
            </w:pPr>
            <w:r>
              <w:rPr>
                <w:sz w:val="17"/>
              </w:rPr>
              <w:t xml:space="preserve">Public</w:t>
            </w:r>
          </w:p>
        </w:tc>
        <w:tc>
          <w:tcPr/>
          <w:p>
            <w:pPr>
              <w:pStyle w:val="Compact"/>
              <w:spacing w:after="20" w:before="20" w:line="240" w:lineRule="auto"/>
              <w:jc w:val="left"/>
            </w:pPr>
            <w:r>
              <w:rPr>
                <w:sz w:val="17"/>
              </w:rPr>
              <w:t xml:space="preserve">Vérification</w:t>
            </w:r>
            <w:r>
              <w:rPr>
                <w:sz w:val="17"/>
              </w:rPr>
              <w:t xml:space="preserve"> </w:t>
            </w:r>
            <w:r>
              <w:rPr>
                <w:sz w:val="17"/>
              </w:rPr>
              <w:t xml:space="preserve">téléphone,</w:t>
            </w:r>
            <w:r>
              <w:rPr>
                <w:sz w:val="17"/>
              </w:rPr>
              <w:t xml:space="preserve"> </w:t>
            </w:r>
            <w:r>
              <w:rPr>
                <w:sz w:val="17"/>
              </w:rPr>
              <w:t xml:space="preserve">anti-doublon,</w:t>
            </w:r>
            <w:r>
              <w:rPr>
                <w:sz w:val="17"/>
              </w:rPr>
              <w:t xml:space="preserve"> </w:t>
            </w:r>
            <w:r>
              <w:rPr>
                <w:sz w:val="17"/>
              </w:rPr>
              <w:t xml:space="preserve">journal</w:t>
            </w:r>
          </w:p>
        </w:tc>
      </w:tr>
      <w:tr>
        <w:tc>
          <w:tcPr>
            <w:shd w:val="clear" w:color="auto" w:fill="F2F9F8"/>
          </w:tcPr>
          <w:p>
            <w:pPr>
              <w:pStyle w:val="Compact"/>
              <w:spacing w:after="20" w:before="20" w:line="240" w:lineRule="auto"/>
              <w:jc w:val="left"/>
            </w:pPr>
            <w:r>
              <w:rPr>
                <w:sz w:val="17"/>
              </w:rPr>
              <w:t xml:space="preserve">POST /v1/identites/verification</w:t>
            </w:r>
          </w:p>
        </w:tc>
        <w:tc>
          <w:tcPr>
            <w:shd w:val="clear" w:color="auto" w:fill="F2F9F8"/>
          </w:tcPr>
          <w:p>
            <w:pPr>
              <w:pStyle w:val="Compact"/>
              <w:spacing w:after="20" w:before="20" w:line="240" w:lineRule="auto"/>
              <w:jc w:val="left"/>
            </w:pPr>
            <w:r>
              <w:rPr>
                <w:sz w:val="17"/>
              </w:rPr>
              <w:t xml:space="preserve">Élever le niveau</w:t>
            </w:r>
            <w:r>
              <w:rPr>
                <w:sz w:val="17"/>
              </w:rPr>
              <w:t xml:space="preserve"> </w:t>
            </w:r>
            <w:r>
              <w:rPr>
                <w:sz w:val="17"/>
              </w:rPr>
              <w:t xml:space="preserve">de vérification</w:t>
            </w:r>
          </w:p>
        </w:tc>
        <w:tc>
          <w:tcPr>
            <w:shd w:val="clear" w:color="auto" w:fill="F2F9F8"/>
          </w:tcPr>
          <w:p>
            <w:pPr>
              <w:pStyle w:val="Compact"/>
              <w:spacing w:after="20" w:before="20" w:line="240" w:lineRule="auto"/>
              <w:jc w:val="left"/>
            </w:pPr>
            <w:r>
              <w:rPr>
                <w:sz w:val="17"/>
              </w:rPr>
              <w:t xml:space="preserve">Contribuable,</w:t>
            </w:r>
            <w:r>
              <w:rPr>
                <w:sz w:val="17"/>
              </w:rPr>
              <w:t xml:space="preserve"> </w:t>
            </w:r>
            <w:r>
              <w:rPr>
                <w:sz w:val="17"/>
              </w:rPr>
              <w:t xml:space="preserve">agent</w:t>
            </w:r>
          </w:p>
        </w:tc>
        <w:tc>
          <w:tcPr>
            <w:shd w:val="clear" w:color="auto" w:fill="F2F9F8"/>
          </w:tcPr>
          <w:p>
            <w:pPr>
              <w:pStyle w:val="Compact"/>
              <w:spacing w:after="20" w:before="20" w:line="240" w:lineRule="auto"/>
              <w:jc w:val="left"/>
            </w:pPr>
            <w:r>
              <w:rPr>
                <w:sz w:val="17"/>
              </w:rPr>
              <w:t xml:space="preserve">Pièces, double</w:t>
            </w:r>
            <w:r>
              <w:rPr>
                <w:sz w:val="17"/>
              </w:rPr>
              <w:t xml:space="preserve"> </w:t>
            </w:r>
            <w:r>
              <w:rPr>
                <w:sz w:val="17"/>
              </w:rPr>
              <w:t xml:space="preserve">validation N3</w:t>
            </w:r>
          </w:p>
        </w:tc>
      </w:tr>
      <w:tr>
        <w:tc>
          <w:tcPr/>
          <w:p>
            <w:pPr>
              <w:pStyle w:val="Compact"/>
              <w:spacing w:after="20" w:before="20" w:line="240" w:lineRule="auto"/>
              <w:jc w:val="left"/>
            </w:pPr>
            <w:r>
              <w:rPr>
                <w:sz w:val="17"/>
              </w:rPr>
              <w:t xml:space="preserve">POST /v1/objets</w:t>
            </w:r>
          </w:p>
        </w:tc>
        <w:tc>
          <w:tcPr/>
          <w:p>
            <w:pPr>
              <w:pStyle w:val="Compact"/>
              <w:spacing w:after="20" w:before="20" w:line="240" w:lineRule="auto"/>
              <w:jc w:val="left"/>
            </w:pPr>
            <w:r>
              <w:rPr>
                <w:sz w:val="17"/>
              </w:rPr>
              <w:t xml:space="preserve">Déclarer un</w:t>
            </w:r>
            <w:r>
              <w:rPr>
                <w:sz w:val="17"/>
              </w:rPr>
              <w:t xml:space="preserve"> </w:t>
            </w:r>
            <w:r>
              <w:rPr>
                <w:sz w:val="17"/>
              </w:rPr>
              <w:t xml:space="preserve">objet</w:t>
            </w:r>
          </w:p>
        </w:tc>
        <w:tc>
          <w:tcPr/>
          <w:p>
            <w:pPr>
              <w:pStyle w:val="Compact"/>
              <w:spacing w:after="20" w:before="20" w:line="240" w:lineRule="auto"/>
              <w:jc w:val="left"/>
            </w:pPr>
            <w:r>
              <w:rPr>
                <w:sz w:val="17"/>
              </w:rPr>
              <w:t xml:space="preserve">Contribuable,</w:t>
            </w:r>
            <w:r>
              <w:rPr>
                <w:sz w:val="17"/>
              </w:rPr>
              <w:t xml:space="preserve"> </w:t>
            </w:r>
            <w:r>
              <w:rPr>
                <w:sz w:val="17"/>
              </w:rPr>
              <w:t xml:space="preserve">agent</w:t>
            </w:r>
          </w:p>
        </w:tc>
        <w:tc>
          <w:tcPr/>
          <w:p>
            <w:pPr>
              <w:pStyle w:val="Compact"/>
              <w:spacing w:after="20" w:before="20" w:line="240" w:lineRule="auto"/>
              <w:jc w:val="left"/>
            </w:pPr>
            <w:r>
              <w:rPr>
                <w:sz w:val="17"/>
              </w:rPr>
              <w:t xml:space="preserve">Géolocalisation,</w:t>
            </w:r>
            <w:r>
              <w:rPr>
                <w:sz w:val="17"/>
              </w:rPr>
              <w:t xml:space="preserve"> </w:t>
            </w:r>
            <w:r>
              <w:rPr>
                <w:sz w:val="17"/>
              </w:rPr>
              <w:t xml:space="preserve">catégorie, preuve</w:t>
            </w:r>
          </w:p>
        </w:tc>
      </w:tr>
      <w:tr>
        <w:tc>
          <w:tcPr>
            <w:shd w:val="clear" w:color="auto" w:fill="F2F9F8"/>
          </w:tcPr>
          <w:p>
            <w:pPr>
              <w:pStyle w:val="Compact"/>
              <w:spacing w:after="20" w:before="20" w:line="240" w:lineRule="auto"/>
              <w:jc w:val="left"/>
            </w:pPr>
            <w:r>
              <w:rPr>
                <w:sz w:val="17"/>
              </w:rPr>
              <w:t xml:space="preserve">POST /v1/baux</w:t>
            </w:r>
          </w:p>
        </w:tc>
        <w:tc>
          <w:tcPr>
            <w:shd w:val="clear" w:color="auto" w:fill="F2F9F8"/>
          </w:tcPr>
          <w:p>
            <w:pPr>
              <w:pStyle w:val="Compact"/>
              <w:spacing w:after="20" w:before="20" w:line="240" w:lineRule="auto"/>
              <w:jc w:val="left"/>
            </w:pPr>
            <w:r>
              <w:rPr>
                <w:sz w:val="17"/>
              </w:rPr>
              <w:t xml:space="preserve">Déclarer un bail</w:t>
            </w:r>
          </w:p>
        </w:tc>
        <w:tc>
          <w:tcPr>
            <w:shd w:val="clear" w:color="auto" w:fill="F2F9F8"/>
          </w:tcPr>
          <w:p>
            <w:pPr>
              <w:pStyle w:val="Compact"/>
              <w:spacing w:after="20" w:before="20" w:line="240" w:lineRule="auto"/>
              <w:jc w:val="left"/>
            </w:pPr>
            <w:r>
              <w:rPr>
                <w:sz w:val="17"/>
              </w:rPr>
              <w:t xml:space="preserve">Bailleur,</w:t>
            </w:r>
            <w:r>
              <w:rPr>
                <w:sz w:val="17"/>
              </w:rPr>
              <w:t xml:space="preserve"> </w:t>
            </w:r>
            <w:r>
              <w:rPr>
                <w:sz w:val="17"/>
              </w:rPr>
              <w:t xml:space="preserve">locataire</w:t>
            </w:r>
          </w:p>
        </w:tc>
        <w:tc>
          <w:tcPr>
            <w:shd w:val="clear" w:color="auto" w:fill="F2F9F8"/>
          </w:tcPr>
          <w:p>
            <w:pPr>
              <w:pStyle w:val="Compact"/>
              <w:spacing w:after="20" w:before="20" w:line="240" w:lineRule="auto"/>
              <w:jc w:val="left"/>
            </w:pPr>
            <w:r>
              <w:rPr>
                <w:sz w:val="17"/>
              </w:rPr>
              <w:t xml:space="preserve">Cohérence loyer,</w:t>
            </w:r>
            <w:r>
              <w:rPr>
                <w:sz w:val="17"/>
              </w:rPr>
              <w:t xml:space="preserve"> </w:t>
            </w:r>
            <w:r>
              <w:rPr>
                <w:sz w:val="17"/>
              </w:rPr>
              <w:t xml:space="preserve">unité, période</w:t>
            </w:r>
          </w:p>
        </w:tc>
      </w:tr>
      <w:tr>
        <w:tc>
          <w:tcPr/>
          <w:p>
            <w:pPr>
              <w:pStyle w:val="Compact"/>
              <w:spacing w:after="20" w:before="20" w:line="240" w:lineRule="auto"/>
              <w:jc w:val="left"/>
            </w:pPr>
            <w:r>
              <w:rPr>
                <w:sz w:val="17"/>
              </w:rPr>
              <w:t xml:space="preserve">GET /v1/objets/{id}/obligations</w:t>
            </w:r>
          </w:p>
        </w:tc>
        <w:tc>
          <w:tcPr/>
          <w:p>
            <w:pPr>
              <w:pStyle w:val="Compact"/>
              <w:spacing w:after="20" w:before="20" w:line="240" w:lineRule="auto"/>
              <w:jc w:val="left"/>
            </w:pPr>
            <w:r>
              <w:rPr>
                <w:sz w:val="17"/>
              </w:rPr>
              <w:t xml:space="preserve">Obligations</w:t>
            </w:r>
            <w:r>
              <w:rPr>
                <w:sz w:val="17"/>
              </w:rPr>
              <w:t xml:space="preserve"> </w:t>
            </w:r>
            <w:r>
              <w:rPr>
                <w:sz w:val="17"/>
              </w:rPr>
              <w:t xml:space="preserve">applicables</w:t>
            </w:r>
          </w:p>
        </w:tc>
        <w:tc>
          <w:tcPr/>
          <w:p>
            <w:pPr>
              <w:pStyle w:val="Compact"/>
              <w:spacing w:after="20" w:before="20" w:line="240" w:lineRule="auto"/>
              <w:jc w:val="left"/>
            </w:pPr>
            <w:r>
              <w:rPr>
                <w:sz w:val="17"/>
              </w:rPr>
              <w:t xml:space="preserve">Contribuable,</w:t>
            </w:r>
            <w:r>
              <w:rPr>
                <w:sz w:val="17"/>
              </w:rPr>
              <w:t xml:space="preserve"> </w:t>
            </w:r>
            <w:r>
              <w:rPr>
                <w:sz w:val="17"/>
              </w:rPr>
              <w:t xml:space="preserve">agent habilité</w:t>
            </w:r>
          </w:p>
        </w:tc>
        <w:tc>
          <w:tcPr/>
          <w:p>
            <w:pPr>
              <w:pStyle w:val="Compact"/>
              <w:spacing w:after="20" w:before="20" w:line="240" w:lineRule="auto"/>
              <w:jc w:val="left"/>
            </w:pPr>
            <w:r>
              <w:rPr>
                <w:sz w:val="17"/>
              </w:rPr>
              <w:t xml:space="preserve">Filtrage par rôle et</w:t>
            </w:r>
            <w:r>
              <w:rPr>
                <w:sz w:val="17"/>
              </w:rPr>
              <w:t xml:space="preserve"> </w:t>
            </w:r>
            <w:r>
              <w:rPr>
                <w:sz w:val="17"/>
              </w:rPr>
              <w:t xml:space="preserve">territoire</w:t>
            </w:r>
          </w:p>
        </w:tc>
      </w:tr>
      <w:tr>
        <w:tc>
          <w:tcPr>
            <w:shd w:val="clear" w:color="auto" w:fill="F2F9F8"/>
          </w:tcPr>
          <w:p>
            <w:pPr>
              <w:pStyle w:val="Compact"/>
              <w:spacing w:after="20" w:before="20" w:line="240" w:lineRule="auto"/>
              <w:jc w:val="left"/>
            </w:pPr>
            <w:r>
              <w:rPr>
                <w:sz w:val="17"/>
              </w:rPr>
              <w:t xml:space="preserve">POST /v1/liquidations/simulation</w:t>
            </w:r>
          </w:p>
        </w:tc>
        <w:tc>
          <w:tcPr>
            <w:shd w:val="clear" w:color="auto" w:fill="F2F9F8"/>
          </w:tcPr>
          <w:p>
            <w:pPr>
              <w:pStyle w:val="Compact"/>
              <w:spacing w:after="20" w:before="20" w:line="240" w:lineRule="auto"/>
              <w:jc w:val="left"/>
            </w:pPr>
            <w:r>
              <w:rPr>
                <w:sz w:val="17"/>
              </w:rPr>
              <w:t xml:space="preserve">Simuler une</w:t>
            </w:r>
            <w:r>
              <w:rPr>
                <w:sz w:val="17"/>
              </w:rPr>
              <w:t xml:space="preserve"> </w:t>
            </w:r>
            <w:r>
              <w:rPr>
                <w:sz w:val="17"/>
              </w:rPr>
              <w:t xml:space="preserve">liquidation</w:t>
            </w:r>
          </w:p>
        </w:tc>
        <w:tc>
          <w:tcPr>
            <w:shd w:val="clear" w:color="auto" w:fill="F2F9F8"/>
          </w:tcPr>
          <w:p>
            <w:pPr>
              <w:pStyle w:val="Compact"/>
              <w:spacing w:after="20" w:before="20" w:line="240" w:lineRule="auto"/>
              <w:jc w:val="left"/>
            </w:pPr>
            <w:r>
              <w:rPr>
                <w:sz w:val="17"/>
              </w:rPr>
              <w:t xml:space="preserve">Contribuable,</w:t>
            </w:r>
            <w:r>
              <w:rPr>
                <w:sz w:val="17"/>
              </w:rPr>
              <w:t xml:space="preserve"> </w:t>
            </w:r>
            <w:r>
              <w:rPr>
                <w:sz w:val="17"/>
              </w:rPr>
              <w:t xml:space="preserve">agent</w:t>
            </w:r>
          </w:p>
        </w:tc>
        <w:tc>
          <w:tcPr>
            <w:shd w:val="clear" w:color="auto" w:fill="F2F9F8"/>
          </w:tcPr>
          <w:p>
            <w:pPr>
              <w:pStyle w:val="Compact"/>
              <w:spacing w:after="20" w:before="20" w:line="240" w:lineRule="auto"/>
              <w:jc w:val="left"/>
            </w:pPr>
            <w:r>
              <w:rPr>
                <w:sz w:val="17"/>
              </w:rPr>
              <w:t xml:space="preserve">Règle publiée</w:t>
            </w:r>
            <w:r>
              <w:rPr>
                <w:sz w:val="17"/>
              </w:rPr>
              <w:t xml:space="preserve"> </w:t>
            </w:r>
            <w:r>
              <w:rPr>
                <w:sz w:val="17"/>
              </w:rPr>
              <w:t xml:space="preserve">uniquement</w:t>
            </w:r>
          </w:p>
        </w:tc>
      </w:tr>
      <w:tr>
        <w:tc>
          <w:tcPr/>
          <w:p>
            <w:pPr>
              <w:pStyle w:val="Compact"/>
              <w:spacing w:after="20" w:before="20" w:line="240" w:lineRule="auto"/>
              <w:jc w:val="left"/>
            </w:pPr>
            <w:r>
              <w:rPr>
                <w:sz w:val="17"/>
              </w:rPr>
              <w:t xml:space="preserve">POST /v1/regles</w:t>
            </w:r>
          </w:p>
        </w:tc>
        <w:tc>
          <w:tcPr/>
          <w:p>
            <w:pPr>
              <w:pStyle w:val="Compact"/>
              <w:spacing w:after="20" w:before="20" w:line="240" w:lineRule="auto"/>
              <w:jc w:val="left"/>
            </w:pPr>
            <w:r>
              <w:rPr>
                <w:sz w:val="17"/>
              </w:rPr>
              <w:t xml:space="preserve">Proposer une</w:t>
            </w:r>
            <w:r>
              <w:rPr>
                <w:sz w:val="17"/>
              </w:rPr>
              <w:t xml:space="preserve"> </w:t>
            </w:r>
            <w:r>
              <w:rPr>
                <w:sz w:val="17"/>
              </w:rPr>
              <w:t xml:space="preserve">règle</w:t>
            </w:r>
          </w:p>
        </w:tc>
        <w:tc>
          <w:tcPr/>
          <w:p>
            <w:pPr>
              <w:pStyle w:val="Compact"/>
              <w:spacing w:after="20" w:before="20" w:line="240" w:lineRule="auto"/>
              <w:jc w:val="left"/>
            </w:pPr>
            <w:r>
              <w:rPr>
                <w:sz w:val="17"/>
              </w:rPr>
              <w:t xml:space="preserve">Juriste</w:t>
            </w:r>
          </w:p>
        </w:tc>
        <w:tc>
          <w:tcPr/>
          <w:p>
            <w:pPr>
              <w:pStyle w:val="Compact"/>
              <w:spacing w:after="20" w:before="20" w:line="240" w:lineRule="auto"/>
              <w:jc w:val="left"/>
            </w:pPr>
            <w:r>
              <w:rPr>
                <w:sz w:val="17"/>
              </w:rPr>
              <w:t xml:space="preserve">Interdiction de</w:t>
            </w:r>
            <w:r>
              <w:rPr>
                <w:sz w:val="17"/>
              </w:rPr>
              <w:t xml:space="preserve"> </w:t>
            </w:r>
            <w:r>
              <w:rPr>
                <w:sz w:val="17"/>
              </w:rPr>
              <w:t xml:space="preserve">créer, valider et</w:t>
            </w:r>
            <w:r>
              <w:rPr>
                <w:sz w:val="17"/>
              </w:rPr>
              <w:t xml:space="preserve"> </w:t>
            </w:r>
            <w:r>
              <w:rPr>
                <w:sz w:val="17"/>
              </w:rPr>
              <w:t xml:space="preserve">publier par la même</w:t>
            </w:r>
            <w:r>
              <w:rPr>
                <w:sz w:val="17"/>
              </w:rPr>
              <w:t xml:space="preserve"> </w:t>
            </w:r>
            <w:r>
              <w:rPr>
                <w:sz w:val="17"/>
              </w:rPr>
              <w:t xml:space="preserve">personne</w:t>
            </w:r>
          </w:p>
        </w:tc>
      </w:tr>
      <w:tr>
        <w:tc>
          <w:tcPr>
            <w:shd w:val="clear" w:color="auto" w:fill="F2F9F8"/>
          </w:tcPr>
          <w:p>
            <w:pPr>
              <w:pStyle w:val="Compact"/>
              <w:spacing w:after="20" w:before="20" w:line="240" w:lineRule="auto"/>
              <w:jc w:val="left"/>
            </w:pPr>
            <w:r>
              <w:rPr>
                <w:sz w:val="17"/>
              </w:rPr>
              <w:t xml:space="preserve">POST /v1/regles/{id}/publication</w:t>
            </w:r>
          </w:p>
        </w:tc>
        <w:tc>
          <w:tcPr>
            <w:shd w:val="clear" w:color="auto" w:fill="F2F9F8"/>
          </w:tcPr>
          <w:p>
            <w:pPr>
              <w:pStyle w:val="Compact"/>
              <w:spacing w:after="20" w:before="20" w:line="240" w:lineRule="auto"/>
              <w:jc w:val="left"/>
            </w:pPr>
            <w:r>
              <w:rPr>
                <w:sz w:val="17"/>
              </w:rPr>
              <w:t xml:space="preserve">Publier une</w:t>
            </w:r>
            <w:r>
              <w:rPr>
                <w:sz w:val="17"/>
              </w:rPr>
              <w:t xml:space="preserve"> </w:t>
            </w:r>
            <w:r>
              <w:rPr>
                <w:sz w:val="17"/>
              </w:rPr>
              <w:t xml:space="preserve">règle</w:t>
            </w:r>
          </w:p>
        </w:tc>
        <w:tc>
          <w:tcPr>
            <w:shd w:val="clear" w:color="auto" w:fill="F2F9F8"/>
          </w:tcPr>
          <w:p>
            <w:pPr>
              <w:pStyle w:val="Compact"/>
              <w:spacing w:after="20" w:before="20" w:line="240" w:lineRule="auto"/>
              <w:jc w:val="left"/>
            </w:pPr>
            <w:r>
              <w:rPr>
                <w:sz w:val="17"/>
              </w:rPr>
              <w:t xml:space="preserve">Approbateur</w:t>
            </w:r>
          </w:p>
        </w:tc>
        <w:tc>
          <w:tcPr>
            <w:shd w:val="clear" w:color="auto" w:fill="F2F9F8"/>
          </w:tcPr>
          <w:p>
            <w:pPr>
              <w:pStyle w:val="Compact"/>
              <w:spacing w:after="20" w:before="20" w:line="240" w:lineRule="auto"/>
              <w:jc w:val="left"/>
            </w:pPr>
            <w:r>
              <w:rPr>
                <w:sz w:val="17"/>
              </w:rPr>
              <w:t xml:space="preserve">Quatre yeux, texte</w:t>
            </w:r>
            <w:r>
              <w:rPr>
                <w:sz w:val="17"/>
              </w:rPr>
              <w:t xml:space="preserve"> </w:t>
            </w:r>
            <w:r>
              <w:rPr>
                <w:sz w:val="17"/>
              </w:rPr>
              <w:t xml:space="preserve">légal obligatoire</w:t>
            </w:r>
          </w:p>
        </w:tc>
      </w:tr>
      <w:tr>
        <w:tc>
          <w:tcPr/>
          <w:p>
            <w:pPr>
              <w:pStyle w:val="Compact"/>
              <w:spacing w:after="20" w:before="20" w:line="240" w:lineRule="auto"/>
              <w:jc w:val="left"/>
            </w:pPr>
            <w:r>
              <w:rPr>
                <w:sz w:val="17"/>
              </w:rPr>
              <w:t xml:space="preserve">POST /v1/paiements/ordres</w:t>
            </w:r>
          </w:p>
        </w:tc>
        <w:tc>
          <w:tcPr/>
          <w:p>
            <w:pPr>
              <w:pStyle w:val="Compact"/>
              <w:spacing w:after="20" w:before="20" w:line="240" w:lineRule="auto"/>
              <w:jc w:val="left"/>
            </w:pPr>
            <w:r>
              <w:rPr>
                <w:sz w:val="17"/>
              </w:rPr>
              <w:t xml:space="preserve">Créer un ordre</w:t>
            </w:r>
            <w:r>
              <w:rPr>
                <w:sz w:val="17"/>
              </w:rPr>
              <w:t xml:space="preserve"> </w:t>
            </w:r>
            <w:r>
              <w:rPr>
                <w:sz w:val="17"/>
              </w:rPr>
              <w:t xml:space="preserve">de paiement</w:t>
            </w:r>
          </w:p>
        </w:tc>
        <w:tc>
          <w:tcPr/>
          <w:p>
            <w:pPr>
              <w:pStyle w:val="Compact"/>
              <w:spacing w:after="20" w:before="20" w:line="240" w:lineRule="auto"/>
              <w:jc w:val="left"/>
            </w:pPr>
            <w:r>
              <w:rPr>
                <w:sz w:val="17"/>
              </w:rPr>
              <w:t xml:space="preserve">Contribuable</w:t>
            </w:r>
          </w:p>
        </w:tc>
        <w:tc>
          <w:tcPr/>
          <w:p>
            <w:pPr>
              <w:pStyle w:val="Compact"/>
              <w:spacing w:after="20" w:before="20" w:line="240" w:lineRule="auto"/>
              <w:jc w:val="left"/>
            </w:pPr>
            <w:r>
              <w:rPr>
                <w:sz w:val="17"/>
              </w:rPr>
              <w:t xml:space="preserve">Idempotence,</w:t>
            </w:r>
            <w:r>
              <w:rPr>
                <w:sz w:val="17"/>
              </w:rPr>
              <w:t xml:space="preserve"> </w:t>
            </w:r>
            <w:r>
              <w:rPr>
                <w:sz w:val="17"/>
              </w:rPr>
              <w:t xml:space="preserve">référence unique,</w:t>
            </w:r>
            <w:r>
              <w:rPr>
                <w:sz w:val="17"/>
              </w:rPr>
              <w:t xml:space="preserve"> </w:t>
            </w:r>
            <w:r>
              <w:rPr>
                <w:sz w:val="17"/>
              </w:rPr>
              <w:t xml:space="preserve">expiration</w:t>
            </w:r>
          </w:p>
        </w:tc>
      </w:tr>
      <w:tr>
        <w:tc>
          <w:tcPr>
            <w:shd w:val="clear" w:color="auto" w:fill="F2F9F8"/>
          </w:tcPr>
          <w:p>
            <w:pPr>
              <w:pStyle w:val="Compact"/>
              <w:spacing w:after="20" w:before="20" w:line="240" w:lineRule="auto"/>
              <w:jc w:val="left"/>
            </w:pPr>
            <w:r>
              <w:rPr>
                <w:sz w:val="17"/>
              </w:rPr>
              <w:t xml:space="preserve">POST /v1/paiements/callback</w:t>
            </w:r>
          </w:p>
        </w:tc>
        <w:tc>
          <w:tcPr>
            <w:shd w:val="clear" w:color="auto" w:fill="F2F9F8"/>
          </w:tcPr>
          <w:p>
            <w:pPr>
              <w:pStyle w:val="Compact"/>
              <w:spacing w:after="20" w:before="20" w:line="240" w:lineRule="auto"/>
              <w:jc w:val="left"/>
            </w:pPr>
            <w:r>
              <w:rPr>
                <w:sz w:val="17"/>
              </w:rPr>
              <w:t xml:space="preserve">Confirmation</w:t>
            </w:r>
            <w:r>
              <w:rPr>
                <w:sz w:val="17"/>
              </w:rPr>
              <w:t xml:space="preserve"> </w:t>
            </w:r>
            <w:r>
              <w:rPr>
                <w:sz w:val="17"/>
              </w:rPr>
              <w:t xml:space="preserve">prestataire</w:t>
            </w:r>
          </w:p>
        </w:tc>
        <w:tc>
          <w:tcPr>
            <w:shd w:val="clear" w:color="auto" w:fill="F2F9F8"/>
          </w:tcPr>
          <w:p>
            <w:pPr>
              <w:pStyle w:val="Compact"/>
              <w:spacing w:after="20" w:before="20" w:line="240" w:lineRule="auto"/>
              <w:jc w:val="left"/>
            </w:pPr>
            <w:r>
              <w:rPr>
                <w:sz w:val="17"/>
              </w:rPr>
              <w:t xml:space="preserve">Partenaire</w:t>
            </w:r>
            <w:r>
              <w:rPr>
                <w:sz w:val="17"/>
              </w:rPr>
              <w:t xml:space="preserve"> </w:t>
            </w:r>
            <w:r>
              <w:rPr>
                <w:sz w:val="17"/>
              </w:rPr>
              <w:t xml:space="preserve">agréé</w:t>
            </w:r>
          </w:p>
        </w:tc>
        <w:tc>
          <w:tcPr>
            <w:shd w:val="clear" w:color="auto" w:fill="F2F9F8"/>
          </w:tcPr>
          <w:p>
            <w:pPr>
              <w:pStyle w:val="Compact"/>
              <w:spacing w:after="20" w:before="20" w:line="240" w:lineRule="auto"/>
              <w:jc w:val="left"/>
            </w:pPr>
            <w:r>
              <w:rPr>
                <w:sz w:val="17"/>
              </w:rPr>
              <w:t xml:space="preserve">Signature,</w:t>
            </w:r>
            <w:r>
              <w:rPr>
                <w:sz w:val="17"/>
              </w:rPr>
              <w:t xml:space="preserve"> </w:t>
            </w:r>
            <w:r>
              <w:rPr>
                <w:sz w:val="17"/>
              </w:rPr>
              <w:t xml:space="preserve">anti-rejeu,</w:t>
            </w:r>
            <w:r>
              <w:rPr>
                <w:sz w:val="17"/>
              </w:rPr>
              <w:t xml:space="preserve"> </w:t>
            </w:r>
            <w:r>
              <w:rPr>
                <w:sz w:val="17"/>
              </w:rPr>
              <w:t xml:space="preserve">vérification serveur</w:t>
            </w:r>
          </w:p>
        </w:tc>
      </w:tr>
      <w:tr>
        <w:tc>
          <w:tcPr/>
          <w:p>
            <w:pPr>
              <w:pStyle w:val="Compact"/>
              <w:spacing w:after="20" w:before="20" w:line="240" w:lineRule="auto"/>
              <w:jc w:val="left"/>
            </w:pPr>
            <w:r>
              <w:rPr>
                <w:sz w:val="17"/>
              </w:rPr>
              <w:t xml:space="preserve">POST /v1/reglements/import</w:t>
            </w:r>
          </w:p>
        </w:tc>
        <w:tc>
          <w:tcPr/>
          <w:p>
            <w:pPr>
              <w:pStyle w:val="Compact"/>
              <w:spacing w:after="20" w:before="20" w:line="240" w:lineRule="auto"/>
              <w:jc w:val="left"/>
            </w:pPr>
            <w:r>
              <w:rPr>
                <w:sz w:val="17"/>
              </w:rPr>
              <w:t xml:space="preserve">Relevé de compte</w:t>
            </w:r>
            <w:r>
              <w:rPr>
                <w:sz w:val="17"/>
              </w:rPr>
              <w:t xml:space="preserve"> </w:t>
            </w:r>
            <w:r>
              <w:rPr>
                <w:sz w:val="17"/>
              </w:rPr>
              <w:t xml:space="preserve">public</w:t>
            </w:r>
          </w:p>
        </w:tc>
        <w:tc>
          <w:tcPr/>
          <w:p>
            <w:pPr>
              <w:pStyle w:val="Compact"/>
              <w:spacing w:after="20" w:before="20" w:line="240" w:lineRule="auto"/>
              <w:jc w:val="left"/>
            </w:pPr>
            <w:r>
              <w:rPr>
                <w:sz w:val="17"/>
              </w:rPr>
              <w:t xml:space="preserve">Trésorerie,</w:t>
            </w:r>
            <w:r>
              <w:rPr>
                <w:sz w:val="17"/>
              </w:rPr>
              <w:t xml:space="preserve"> </w:t>
            </w:r>
            <w:r>
              <w:rPr>
                <w:sz w:val="17"/>
              </w:rPr>
              <w:t xml:space="preserve">banque</w:t>
            </w:r>
          </w:p>
        </w:tc>
        <w:tc>
          <w:tcPr/>
          <w:p>
            <w:pPr>
              <w:pStyle w:val="Compact"/>
              <w:spacing w:after="20" w:before="20" w:line="240" w:lineRule="auto"/>
              <w:jc w:val="left"/>
            </w:pPr>
            <w:r>
              <w:rPr>
                <w:sz w:val="17"/>
              </w:rPr>
              <w:t xml:space="preserve">Contrôle</w:t>
            </w:r>
            <w:r>
              <w:rPr>
                <w:sz w:val="17"/>
              </w:rPr>
              <w:t xml:space="preserve"> </w:t>
            </w:r>
            <w:r>
              <w:rPr>
                <w:sz w:val="17"/>
              </w:rPr>
              <w:t xml:space="preserve">d'intégrité, double</w:t>
            </w:r>
            <w:r>
              <w:rPr>
                <w:sz w:val="17"/>
              </w:rPr>
              <w:t xml:space="preserve"> </w:t>
            </w:r>
            <w:r>
              <w:rPr>
                <w:sz w:val="17"/>
              </w:rPr>
              <w:t xml:space="preserve">validation</w:t>
            </w:r>
          </w:p>
        </w:tc>
      </w:tr>
      <w:tr>
        <w:tc>
          <w:tcPr>
            <w:shd w:val="clear" w:color="auto" w:fill="F2F9F8"/>
          </w:tcPr>
          <w:p>
            <w:pPr>
              <w:pStyle w:val="Compact"/>
              <w:spacing w:after="20" w:before="20" w:line="240" w:lineRule="auto"/>
              <w:jc w:val="left"/>
            </w:pPr>
            <w:r>
              <w:rPr>
                <w:sz w:val="17"/>
              </w:rPr>
              <w:t xml:space="preserve">GET /v1/rapprochements/exceptions</w:t>
            </w:r>
          </w:p>
        </w:tc>
        <w:tc>
          <w:tcPr>
            <w:shd w:val="clear" w:color="auto" w:fill="F2F9F8"/>
          </w:tcPr>
          <w:p>
            <w:pPr>
              <w:pStyle w:val="Compact"/>
              <w:spacing w:after="20" w:before="20" w:line="240" w:lineRule="auto"/>
              <w:jc w:val="left"/>
            </w:pPr>
            <w:r>
              <w:rPr>
                <w:sz w:val="17"/>
              </w:rPr>
              <w:t xml:space="preserve">Files</w:t>
            </w:r>
            <w:r>
              <w:rPr>
                <w:sz w:val="17"/>
              </w:rPr>
              <w:t xml:space="preserve"> </w:t>
            </w:r>
            <w:r>
              <w:rPr>
                <w:sz w:val="17"/>
              </w:rPr>
              <w:t xml:space="preserve">d'exception</w:t>
            </w:r>
          </w:p>
        </w:tc>
        <w:tc>
          <w:tcPr>
            <w:shd w:val="clear" w:color="auto" w:fill="F2F9F8"/>
          </w:tcPr>
          <w:p>
            <w:pPr>
              <w:pStyle w:val="Compact"/>
              <w:spacing w:after="20" w:before="20" w:line="240" w:lineRule="auto"/>
              <w:jc w:val="left"/>
            </w:pPr>
            <w:r>
              <w:rPr>
                <w:sz w:val="17"/>
              </w:rPr>
              <w:t xml:space="preserve">Trésorerie,</w:t>
            </w:r>
            <w:r>
              <w:rPr>
                <w:sz w:val="17"/>
              </w:rPr>
              <w:t xml:space="preserve"> </w:t>
            </w:r>
            <w:r>
              <w:rPr>
                <w:sz w:val="17"/>
              </w:rPr>
              <w:t xml:space="preserve">contrôle</w:t>
            </w:r>
            <w:r>
              <w:rPr>
                <w:sz w:val="17"/>
              </w:rPr>
              <w:t xml:space="preserve"> </w:t>
            </w:r>
            <w:r>
              <w:rPr>
                <w:sz w:val="17"/>
              </w:rPr>
              <w:t xml:space="preserve">interne</w:t>
            </w:r>
          </w:p>
        </w:tc>
        <w:tc>
          <w:tcPr>
            <w:shd w:val="clear" w:color="auto" w:fill="F2F9F8"/>
          </w:tcPr>
          <w:p>
            <w:pPr>
              <w:pStyle w:val="Compact"/>
              <w:spacing w:after="20" w:before="20" w:line="240" w:lineRule="auto"/>
              <w:jc w:val="left"/>
            </w:pPr>
            <w:r>
              <w:rPr>
                <w:sz w:val="17"/>
              </w:rPr>
              <w:t xml:space="preserve">Lecture seule,</w:t>
            </w:r>
            <w:r>
              <w:rPr>
                <w:sz w:val="17"/>
              </w:rPr>
              <w:t xml:space="preserve"> </w:t>
            </w:r>
            <w:r>
              <w:rPr>
                <w:sz w:val="17"/>
              </w:rPr>
              <w:t xml:space="preserve">journalisée</w:t>
            </w:r>
          </w:p>
        </w:tc>
      </w:tr>
      <w:tr>
        <w:tc>
          <w:tcPr/>
          <w:p>
            <w:pPr>
              <w:pStyle w:val="Compact"/>
              <w:spacing w:after="20" w:before="20" w:line="240" w:lineRule="auto"/>
              <w:jc w:val="left"/>
            </w:pPr>
            <w:r>
              <w:rPr>
                <w:sz w:val="17"/>
              </w:rPr>
              <w:t xml:space="preserve">GET</w:t>
            </w:r>
            <w:r>
              <w:rPr>
                <w:sz w:val="17"/>
              </w:rPr>
              <w:t xml:space="preserve"> </w:t>
            </w:r>
            <w:r>
              <w:rPr>
                <w:sz w:val="17"/>
              </w:rPr>
              <w:t xml:space="preserve">/v1/quittances/{ref}/verification</w:t>
            </w:r>
          </w:p>
        </w:tc>
        <w:tc>
          <w:tcPr/>
          <w:p>
            <w:pPr>
              <w:pStyle w:val="Compact"/>
              <w:spacing w:after="20" w:before="20" w:line="240" w:lineRule="auto"/>
              <w:jc w:val="left"/>
            </w:pPr>
            <w:r>
              <w:rPr>
                <w:sz w:val="17"/>
              </w:rPr>
              <w:t xml:space="preserve">Vérifier une</w:t>
            </w:r>
            <w:r>
              <w:rPr>
                <w:sz w:val="17"/>
              </w:rPr>
              <w:t xml:space="preserve"> </w:t>
            </w:r>
            <w:r>
              <w:rPr>
                <w:sz w:val="17"/>
              </w:rPr>
              <w:t xml:space="preserve">quittance</w:t>
            </w:r>
          </w:p>
        </w:tc>
        <w:tc>
          <w:tcPr/>
          <w:p>
            <w:pPr>
              <w:pStyle w:val="Compact"/>
              <w:spacing w:after="20" w:before="20" w:line="240" w:lineRule="auto"/>
              <w:jc w:val="left"/>
            </w:pPr>
            <w:r>
              <w:rPr>
                <w:sz w:val="17"/>
              </w:rPr>
              <w:t xml:space="preserve">Public</w:t>
            </w:r>
          </w:p>
        </w:tc>
        <w:tc>
          <w:tcPr/>
          <w:p>
            <w:pPr>
              <w:pStyle w:val="Compact"/>
              <w:spacing w:after="20" w:before="20" w:line="240" w:lineRule="auto"/>
              <w:jc w:val="left"/>
            </w:pPr>
            <w:r>
              <w:rPr>
                <w:sz w:val="17"/>
              </w:rPr>
              <w:t xml:space="preserve">Divulgation minimale</w:t>
            </w:r>
          </w:p>
        </w:tc>
      </w:tr>
      <w:tr>
        <w:tc>
          <w:tcPr>
            <w:shd w:val="clear" w:color="auto" w:fill="F2F9F8"/>
          </w:tcPr>
          <w:p>
            <w:pPr>
              <w:pStyle w:val="Compact"/>
              <w:spacing w:after="20" w:before="20" w:line="240" w:lineRule="auto"/>
              <w:jc w:val="left"/>
            </w:pPr>
            <w:r>
              <w:rPr>
                <w:sz w:val="17"/>
              </w:rPr>
              <w:t xml:space="preserve">POST /v1/missions/synchronisation</w:t>
            </w:r>
          </w:p>
        </w:tc>
        <w:tc>
          <w:tcPr>
            <w:shd w:val="clear" w:color="auto" w:fill="F2F9F8"/>
          </w:tcPr>
          <w:p>
            <w:pPr>
              <w:pStyle w:val="Compact"/>
              <w:spacing w:after="20" w:before="20" w:line="240" w:lineRule="auto"/>
              <w:jc w:val="left"/>
            </w:pPr>
            <w:r>
              <w:rPr>
                <w:sz w:val="17"/>
              </w:rPr>
              <w:t xml:space="preserve">Synchroniser le</w:t>
            </w:r>
            <w:r>
              <w:rPr>
                <w:sz w:val="17"/>
              </w:rPr>
              <w:t xml:space="preserve"> </w:t>
            </w:r>
            <w:r>
              <w:rPr>
                <w:sz w:val="17"/>
              </w:rPr>
              <w:t xml:space="preserve">terrain</w:t>
            </w:r>
          </w:p>
        </w:tc>
        <w:tc>
          <w:tcPr>
            <w:shd w:val="clear" w:color="auto" w:fill="F2F9F8"/>
          </w:tcPr>
          <w:p>
            <w:pPr>
              <w:pStyle w:val="Compact"/>
              <w:spacing w:after="20" w:before="20" w:line="240" w:lineRule="auto"/>
              <w:jc w:val="left"/>
            </w:pPr>
            <w:r>
              <w:rPr>
                <w:sz w:val="17"/>
              </w:rPr>
              <w:t xml:space="preserve">Agent</w:t>
            </w:r>
          </w:p>
        </w:tc>
        <w:tc>
          <w:tcPr>
            <w:shd w:val="clear" w:color="auto" w:fill="F2F9F8"/>
          </w:tcPr>
          <w:p>
            <w:pPr>
              <w:pStyle w:val="Compact"/>
              <w:spacing w:after="20" w:before="20" w:line="240" w:lineRule="auto"/>
              <w:jc w:val="left"/>
            </w:pPr>
            <w:r>
              <w:rPr>
                <w:sz w:val="17"/>
              </w:rPr>
              <w:t xml:space="preserve">Appareil enregistré,</w:t>
            </w:r>
            <w:r>
              <w:rPr>
                <w:sz w:val="17"/>
              </w:rPr>
              <w:t xml:space="preserve"> </w:t>
            </w:r>
            <w:r>
              <w:rPr>
                <w:sz w:val="17"/>
              </w:rPr>
              <w:t xml:space="preserve">résolution de</w:t>
            </w:r>
            <w:r>
              <w:rPr>
                <w:sz w:val="17"/>
              </w:rPr>
              <w:t xml:space="preserve"> </w:t>
            </w:r>
            <w:r>
              <w:rPr>
                <w:sz w:val="17"/>
              </w:rPr>
              <w:t xml:space="preserve">conflits</w:t>
            </w:r>
          </w:p>
        </w:tc>
      </w:tr>
      <w:tr>
        <w:tc>
          <w:tcPr/>
          <w:p>
            <w:pPr>
              <w:pStyle w:val="Compact"/>
              <w:spacing w:after="20" w:before="20" w:line="240" w:lineRule="auto"/>
              <w:jc w:val="left"/>
            </w:pPr>
            <w:r>
              <w:rPr>
                <w:sz w:val="17"/>
              </w:rPr>
              <w:t xml:space="preserve">POST /v1/constats</w:t>
            </w:r>
          </w:p>
        </w:tc>
        <w:tc>
          <w:tcPr/>
          <w:p>
            <w:pPr>
              <w:pStyle w:val="Compact"/>
              <w:spacing w:after="20" w:before="20" w:line="240" w:lineRule="auto"/>
              <w:jc w:val="left"/>
            </w:pPr>
            <w:r>
              <w:rPr>
                <w:sz w:val="17"/>
              </w:rPr>
              <w:t xml:space="preserve">Enregistrer un</w:t>
            </w:r>
            <w:r>
              <w:rPr>
                <w:sz w:val="17"/>
              </w:rPr>
              <w:t xml:space="preserve"> </w:t>
            </w:r>
            <w:r>
              <w:rPr>
                <w:sz w:val="17"/>
              </w:rPr>
              <w:t xml:space="preserve">constat</w:t>
            </w:r>
          </w:p>
        </w:tc>
        <w:tc>
          <w:tcPr/>
          <w:p>
            <w:pPr>
              <w:pStyle w:val="Compact"/>
              <w:spacing w:after="20" w:before="20" w:line="240" w:lineRule="auto"/>
              <w:jc w:val="left"/>
            </w:pPr>
            <w:r>
              <w:rPr>
                <w:sz w:val="17"/>
              </w:rPr>
              <w:t xml:space="preserve">Agent habilité</w:t>
            </w:r>
          </w:p>
        </w:tc>
        <w:tc>
          <w:tcPr/>
          <w:p>
            <w:pPr>
              <w:pStyle w:val="Compact"/>
              <w:spacing w:after="20" w:before="20" w:line="240" w:lineRule="auto"/>
              <w:jc w:val="left"/>
            </w:pPr>
            <w:r>
              <w:rPr>
                <w:sz w:val="17"/>
              </w:rPr>
              <w:t xml:space="preserve">GPS, photo,</w:t>
            </w:r>
            <w:r>
              <w:rPr>
                <w:sz w:val="17"/>
              </w:rPr>
              <w:t xml:space="preserve"> </w:t>
            </w:r>
            <w:r>
              <w:rPr>
                <w:sz w:val="17"/>
              </w:rPr>
              <w:t xml:space="preserve">horodatage,</w:t>
            </w:r>
            <w:r>
              <w:rPr>
                <w:sz w:val="17"/>
              </w:rPr>
              <w:t xml:space="preserve"> </w:t>
            </w:r>
            <w:r>
              <w:rPr>
                <w:sz w:val="17"/>
              </w:rPr>
              <w:t xml:space="preserve">géorepérage</w:t>
            </w:r>
          </w:p>
        </w:tc>
      </w:tr>
      <w:tr>
        <w:tc>
          <w:tcPr>
            <w:shd w:val="clear" w:color="auto" w:fill="F2F9F8"/>
          </w:tcPr>
          <w:p>
            <w:pPr>
              <w:pStyle w:val="Compact"/>
              <w:spacing w:after="20" w:before="20" w:line="240" w:lineRule="auto"/>
              <w:jc w:val="left"/>
            </w:pPr>
            <w:r>
              <w:rPr>
                <w:sz w:val="17"/>
              </w:rPr>
              <w:t xml:space="preserve">POST /v1/recours</w:t>
            </w:r>
          </w:p>
        </w:tc>
        <w:tc>
          <w:tcPr>
            <w:shd w:val="clear" w:color="auto" w:fill="F2F9F8"/>
          </w:tcPr>
          <w:p>
            <w:pPr>
              <w:pStyle w:val="Compact"/>
              <w:spacing w:after="20" w:before="20" w:line="240" w:lineRule="auto"/>
              <w:jc w:val="left"/>
            </w:pPr>
            <w:r>
              <w:rPr>
                <w:sz w:val="17"/>
              </w:rPr>
              <w:t xml:space="preserve">Introduire une</w:t>
            </w:r>
            <w:r>
              <w:rPr>
                <w:sz w:val="17"/>
              </w:rPr>
              <w:t xml:space="preserve"> </w:t>
            </w:r>
            <w:r>
              <w:rPr>
                <w:sz w:val="17"/>
              </w:rPr>
              <w:t xml:space="preserve">contestation</w:t>
            </w:r>
          </w:p>
        </w:tc>
        <w:tc>
          <w:tcPr>
            <w:shd w:val="clear" w:color="auto" w:fill="F2F9F8"/>
          </w:tcPr>
          <w:p>
            <w:pPr>
              <w:pStyle w:val="Compact"/>
              <w:spacing w:after="20" w:before="20" w:line="240" w:lineRule="auto"/>
              <w:jc w:val="left"/>
            </w:pPr>
            <w:r>
              <w:rPr>
                <w:sz w:val="17"/>
              </w:rPr>
              <w:t xml:space="preserve">Contribuable</w:t>
            </w:r>
          </w:p>
        </w:tc>
        <w:tc>
          <w:tcPr>
            <w:shd w:val="clear" w:color="auto" w:fill="F2F9F8"/>
          </w:tcPr>
          <w:p>
            <w:pPr>
              <w:pStyle w:val="Compact"/>
              <w:spacing w:after="20" w:before="20" w:line="240" w:lineRule="auto"/>
              <w:jc w:val="left"/>
            </w:pPr>
            <w:r>
              <w:rPr>
                <w:sz w:val="17"/>
              </w:rPr>
              <w:t xml:space="preserve">Délai légal, accusé</w:t>
            </w:r>
            <w:r>
              <w:rPr>
                <w:sz w:val="17"/>
              </w:rPr>
              <w:t xml:space="preserve"> </w:t>
            </w:r>
            <w:r>
              <w:rPr>
                <w:sz w:val="17"/>
              </w:rPr>
              <w:t xml:space="preserve">de réception</w:t>
            </w:r>
          </w:p>
        </w:tc>
      </w:tr>
      <w:tr>
        <w:tc>
          <w:tcPr/>
          <w:p>
            <w:pPr>
              <w:pStyle w:val="Compact"/>
              <w:spacing w:after="20" w:before="20" w:line="240" w:lineRule="auto"/>
              <w:jc w:val="left"/>
            </w:pPr>
            <w:r>
              <w:rPr>
                <w:sz w:val="17"/>
              </w:rPr>
              <w:t xml:space="preserve">GET /v1/alertes-fraude</w:t>
            </w:r>
          </w:p>
        </w:tc>
        <w:tc>
          <w:tcPr/>
          <w:p>
            <w:pPr>
              <w:pStyle w:val="Compact"/>
              <w:spacing w:after="20" w:before="20" w:line="240" w:lineRule="auto"/>
              <w:jc w:val="left"/>
            </w:pPr>
            <w:r>
              <w:rPr>
                <w:sz w:val="17"/>
              </w:rPr>
              <w:t xml:space="preserve">Consulter les</w:t>
            </w:r>
            <w:r>
              <w:rPr>
                <w:sz w:val="17"/>
              </w:rPr>
              <w:t xml:space="preserve"> </w:t>
            </w:r>
            <w:r>
              <w:rPr>
                <w:sz w:val="17"/>
              </w:rPr>
              <w:t xml:space="preserve">alertes</w:t>
            </w:r>
          </w:p>
        </w:tc>
        <w:tc>
          <w:tcPr/>
          <w:p>
            <w:pPr>
              <w:pStyle w:val="Compact"/>
              <w:spacing w:after="20" w:before="20" w:line="240" w:lineRule="auto"/>
              <w:jc w:val="left"/>
            </w:pPr>
            <w:r>
              <w:rPr>
                <w:sz w:val="17"/>
              </w:rPr>
              <w:t xml:space="preserve">Enquêteur,</w:t>
            </w:r>
            <w:r>
              <w:rPr>
                <w:sz w:val="17"/>
              </w:rPr>
              <w:t xml:space="preserve"> </w:t>
            </w:r>
            <w:r>
              <w:rPr>
                <w:sz w:val="17"/>
              </w:rPr>
              <w:t xml:space="preserve">audit</w:t>
            </w:r>
          </w:p>
        </w:tc>
        <w:tc>
          <w:tcPr/>
          <w:p>
            <w:pPr>
              <w:pStyle w:val="Compact"/>
              <w:spacing w:after="20" w:before="20" w:line="240" w:lineRule="auto"/>
              <w:jc w:val="left"/>
            </w:pPr>
            <w:r>
              <w:rPr>
                <w:sz w:val="17"/>
              </w:rPr>
              <w:t xml:space="preserve">Aucune action</w:t>
            </w:r>
            <w:r>
              <w:rPr>
                <w:sz w:val="17"/>
              </w:rPr>
              <w:t xml:space="preserve"> </w:t>
            </w:r>
            <w:r>
              <w:rPr>
                <w:sz w:val="17"/>
              </w:rPr>
              <w:t xml:space="preserve">automatique</w:t>
            </w:r>
          </w:p>
        </w:tc>
      </w:tr>
      <w:tr>
        <w:tc>
          <w:tcPr>
            <w:shd w:val="clear" w:color="auto" w:fill="F2F9F8"/>
          </w:tcPr>
          <w:p>
            <w:pPr>
              <w:pStyle w:val="Compact"/>
              <w:spacing w:after="20" w:before="20" w:line="240" w:lineRule="auto"/>
              <w:jc w:val="left"/>
            </w:pPr>
            <w:r>
              <w:rPr>
                <w:sz w:val="17"/>
              </w:rPr>
              <w:t xml:space="preserve">GET /v1/tableaux/{profil}</w:t>
            </w:r>
          </w:p>
        </w:tc>
        <w:tc>
          <w:tcPr>
            <w:shd w:val="clear" w:color="auto" w:fill="F2F9F8"/>
          </w:tcPr>
          <w:p>
            <w:pPr>
              <w:pStyle w:val="Compact"/>
              <w:spacing w:after="20" w:before="20" w:line="240" w:lineRule="auto"/>
              <w:jc w:val="left"/>
            </w:pPr>
            <w:r>
              <w:rPr>
                <w:sz w:val="17"/>
              </w:rPr>
              <w:t xml:space="preserve">Données de</w:t>
            </w:r>
            <w:r>
              <w:rPr>
                <w:sz w:val="17"/>
              </w:rPr>
              <w:t xml:space="preserve"> </w:t>
            </w:r>
            <w:r>
              <w:rPr>
                <w:sz w:val="17"/>
              </w:rPr>
              <w:t xml:space="preserve">tableau de bord</w:t>
            </w:r>
          </w:p>
        </w:tc>
        <w:tc>
          <w:tcPr>
            <w:shd w:val="clear" w:color="auto" w:fill="F2F9F8"/>
          </w:tcPr>
          <w:p>
            <w:pPr>
              <w:pStyle w:val="Compact"/>
              <w:spacing w:after="20" w:before="20" w:line="240" w:lineRule="auto"/>
              <w:jc w:val="left"/>
            </w:pPr>
            <w:r>
              <w:rPr>
                <w:sz w:val="17"/>
              </w:rPr>
              <w:t xml:space="preserve">Selon rôle</w:t>
            </w:r>
          </w:p>
        </w:tc>
        <w:tc>
          <w:tcPr>
            <w:shd w:val="clear" w:color="auto" w:fill="F2F9F8"/>
          </w:tcPr>
          <w:p>
            <w:pPr>
              <w:pStyle w:val="Compact"/>
              <w:spacing w:after="20" w:before="20" w:line="240" w:lineRule="auto"/>
              <w:jc w:val="left"/>
            </w:pPr>
            <w:r>
              <w:rPr>
                <w:sz w:val="17"/>
              </w:rPr>
              <w:t xml:space="preserve">Agrégation conforme</w:t>
            </w:r>
            <w:r>
              <w:rPr>
                <w:sz w:val="17"/>
              </w:rPr>
              <w:t xml:space="preserve"> </w:t>
            </w:r>
            <w:r>
              <w:rPr>
                <w:sz w:val="17"/>
              </w:rPr>
              <w:t xml:space="preserve">au périmètre</w:t>
            </w:r>
          </w:p>
        </w:tc>
      </w:tr>
      <w:tr>
        <w:tc>
          <w:tcPr/>
          <w:p>
            <w:pPr>
              <w:pStyle w:val="Compact"/>
              <w:spacing w:after="20" w:before="20" w:line="240" w:lineRule="auto"/>
              <w:jc w:val="left"/>
            </w:pPr>
            <w:r>
              <w:rPr>
                <w:sz w:val="17"/>
              </w:rPr>
              <w:t xml:space="preserve">GET /v1/previsions</w:t>
            </w:r>
          </w:p>
        </w:tc>
        <w:tc>
          <w:tcPr/>
          <w:p>
            <w:pPr>
              <w:pStyle w:val="Compact"/>
              <w:spacing w:after="20" w:before="20" w:line="240" w:lineRule="auto"/>
              <w:jc w:val="left"/>
            </w:pPr>
            <w:r>
              <w:rPr>
                <w:sz w:val="17"/>
              </w:rPr>
              <w:t xml:space="preserve">Scénarios de</w:t>
            </w:r>
            <w:r>
              <w:rPr>
                <w:sz w:val="17"/>
              </w:rPr>
              <w:t xml:space="preserve"> </w:t>
            </w:r>
            <w:r>
              <w:rPr>
                <w:sz w:val="17"/>
              </w:rPr>
              <w:t xml:space="preserve">recettes</w:t>
            </w:r>
          </w:p>
        </w:tc>
        <w:tc>
          <w:tcPr/>
          <w:p>
            <w:pPr>
              <w:pStyle w:val="Compact"/>
              <w:spacing w:after="20" w:before="20" w:line="240" w:lineRule="auto"/>
              <w:jc w:val="left"/>
            </w:pPr>
            <w:r>
              <w:rPr>
                <w:sz w:val="17"/>
              </w:rPr>
              <w:t xml:space="preserve">Direction,</w:t>
            </w:r>
            <w:r>
              <w:rPr>
                <w:sz w:val="17"/>
              </w:rPr>
              <w:t xml:space="preserve"> </w:t>
            </w:r>
            <w:r>
              <w:rPr>
                <w:sz w:val="17"/>
              </w:rPr>
              <w:t xml:space="preserve">Gouverneur</w:t>
            </w:r>
          </w:p>
        </w:tc>
        <w:tc>
          <w:tcPr/>
          <w:p>
            <w:pPr>
              <w:pStyle w:val="Compact"/>
              <w:spacing w:after="20" w:before="20" w:line="240" w:lineRule="auto"/>
              <w:jc w:val="left"/>
            </w:pPr>
            <w:r>
              <w:rPr>
                <w:sz w:val="17"/>
              </w:rPr>
              <w:t xml:space="preserve">Hypothèses jointes</w:t>
            </w:r>
          </w:p>
        </w:tc>
      </w:tr>
      <w:tr>
        <w:tc>
          <w:tcPr>
            <w:shd w:val="clear" w:color="auto" w:fill="F2F9F8"/>
          </w:tcPr>
          <w:p>
            <w:pPr>
              <w:pStyle w:val="Compact"/>
              <w:spacing w:after="20" w:before="20" w:line="240" w:lineRule="auto"/>
              <w:jc w:val="left"/>
            </w:pPr>
            <w:r>
              <w:rPr>
                <w:sz w:val="17"/>
              </w:rPr>
              <w:t xml:space="preserve">POST /v1/affectations/scenarios</w:t>
            </w:r>
          </w:p>
        </w:tc>
        <w:tc>
          <w:tcPr>
            <w:shd w:val="clear" w:color="auto" w:fill="F2F9F8"/>
          </w:tcPr>
          <w:p>
            <w:pPr>
              <w:pStyle w:val="Compact"/>
              <w:spacing w:after="20" w:before="20" w:line="240" w:lineRule="auto"/>
              <w:jc w:val="left"/>
            </w:pPr>
            <w:r>
              <w:rPr>
                <w:sz w:val="17"/>
              </w:rPr>
              <w:t xml:space="preserve">Générer des</w:t>
            </w:r>
            <w:r>
              <w:rPr>
                <w:sz w:val="17"/>
              </w:rPr>
              <w:t xml:space="preserve"> </w:t>
            </w:r>
            <w:r>
              <w:rPr>
                <w:sz w:val="17"/>
              </w:rPr>
              <w:t xml:space="preserve">scénarios</w:t>
            </w:r>
            <w:r>
              <w:rPr>
                <w:sz w:val="17"/>
              </w:rPr>
              <w:t xml:space="preserve"> </w:t>
            </w:r>
            <w:r>
              <w:rPr>
                <w:sz w:val="17"/>
              </w:rPr>
              <w:t xml:space="preserve">d'affectation</w:t>
            </w:r>
          </w:p>
        </w:tc>
        <w:tc>
          <w:tcPr>
            <w:shd w:val="clear" w:color="auto" w:fill="F2F9F8"/>
          </w:tcPr>
          <w:p>
            <w:pPr>
              <w:pStyle w:val="Compact"/>
              <w:spacing w:after="20" w:before="20" w:line="240" w:lineRule="auto"/>
              <w:jc w:val="left"/>
            </w:pPr>
            <w:r>
              <w:rPr>
                <w:sz w:val="17"/>
              </w:rPr>
              <w:t xml:space="preserve">Finances</w:t>
            </w:r>
          </w:p>
        </w:tc>
        <w:tc>
          <w:tcPr>
            <w:shd w:val="clear" w:color="auto" w:fill="F2F9F8"/>
          </w:tcPr>
          <w:p>
            <w:pPr>
              <w:pStyle w:val="Compact"/>
              <w:spacing w:after="20" w:before="20" w:line="240" w:lineRule="auto"/>
              <w:jc w:val="left"/>
            </w:pPr>
            <w:r>
              <w:rPr>
                <w:sz w:val="17"/>
              </w:rPr>
              <w:t xml:space="preserve">Aucune exécution de</w:t>
            </w:r>
            <w:r>
              <w:rPr>
                <w:sz w:val="17"/>
              </w:rPr>
              <w:t xml:space="preserve"> </w:t>
            </w:r>
            <w:r>
              <w:rPr>
                <w:sz w:val="17"/>
              </w:rPr>
              <w:t xml:space="preserve">dépense</w:t>
            </w:r>
          </w:p>
        </w:tc>
      </w:tr>
    </w:tbl>
    <w:bookmarkStart w:id="249" w:name="normes-dinterface"/>
    <w:p>
      <w:pPr>
        <w:pStyle w:val="Heading2"/>
      </w:pPr>
      <w:r>
        <w:t xml:space="preserve">30.1 Normes d’interface</w:t>
      </w:r>
    </w:p>
    <w:p>
      <w:pPr>
        <w:pStyle w:val="FirstParagraph"/>
      </w:pPr>
      <w:r>
        <w:t xml:space="preserve">API REST/JSON versionnées, complétées d’événements asynchrones pour le règlement et l’audit. Authentification OAuth2/OIDC ; TLS mutuel (mTLS) pour les partenaires sensibles ; portées (scopes) ; clé d’idempotence (idempotency-key) ; rappels signés (signed webhooks) ; limites de débit (rate limits) ; audit de chaque appel. Domaines : identité, géographie, règles juridiques, liquidations, obligations, paiements, règlements, rapprochement, quittances, dossiers, missions, preuves, recours, analytique et partenaires.</w:t>
      </w:r>
    </w:p>
    <w:bookmarkEnd w:id="249"/>
    <w:bookmarkStart w:id="250" w:name="routes-complémentaires-et-correspondance"/>
    <w:p>
      <w:pPr>
        <w:pStyle w:val="Heading2"/>
      </w:pPr>
      <w:r>
        <w:t xml:space="preserve">30.2 Routes complémentaires et correspondance</w:t>
      </w:r>
    </w:p>
    <w:p>
      <w:pPr>
        <w:pStyle w:val="FirstParagraph"/>
      </w:pPr>
      <w:r>
        <w:t xml:space="preserve">Les documents sources emploient deux conventions de nommage. Une convention unique est arrêtée en phase 1 ; l’autre est maintenue comme alias documenté pendant la transition.</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Route (convention anglaise)</w:t>
            </w:r>
          </w:p>
        </w:tc>
        <w:tc>
          <w:tcPr>
            <w:shd w:val="clear" w:color="auto" w:fill="1BA996"/>
          </w:tcPr>
          <w:p>
            <w:pPr>
              <w:pStyle w:val="Compact"/>
              <w:spacing w:after="20" w:before="20" w:line="240" w:lineRule="auto"/>
              <w:jc w:val="left"/>
            </w:pPr>
            <w:r>
              <w:rPr>
                <w:b/>
                <w:color w:val="FFFFFF"/>
                <w:sz w:val="17"/>
              </w:rPr>
              <w:t xml:space="preserve">Objet</w:t>
            </w:r>
          </w:p>
        </w:tc>
        <w:tc>
          <w:tcPr>
            <w:shd w:val="clear" w:color="auto" w:fill="1BA996"/>
          </w:tcPr>
          <w:p>
            <w:pPr>
              <w:pStyle w:val="Compact"/>
              <w:spacing w:after="20" w:before="20" w:line="240" w:lineRule="auto"/>
              <w:jc w:val="left"/>
            </w:pPr>
            <w:r>
              <w:rPr>
                <w:b/>
                <w:color w:val="FFFFFF"/>
                <w:sz w:val="17"/>
              </w:rPr>
              <w:t xml:space="preserve">Équivalent au § 30</w:t>
            </w:r>
          </w:p>
        </w:tc>
      </w:tr>
      <w:tr>
        <w:tc>
          <w:tcPr/>
          <w:p>
            <w:pPr>
              <w:pStyle w:val="Compact"/>
              <w:spacing w:after="20" w:before="20" w:line="240" w:lineRule="auto"/>
              <w:jc w:val="left"/>
            </w:pPr>
            <w:r>
              <w:rPr>
                <w:sz w:val="17"/>
              </w:rPr>
              <w:t xml:space="preserve">POST /v1/identity/persons</w:t>
            </w:r>
          </w:p>
        </w:tc>
        <w:tc>
          <w:tcPr/>
          <w:p>
            <w:pPr>
              <w:pStyle w:val="Compact"/>
              <w:spacing w:after="20" w:before="20" w:line="240" w:lineRule="auto"/>
              <w:jc w:val="left"/>
            </w:pPr>
            <w:r>
              <w:rPr>
                <w:sz w:val="17"/>
              </w:rPr>
              <w:t xml:space="preserve">Créer une identité provisoire ou vérifiée selon le workflow</w:t>
            </w:r>
          </w:p>
        </w:tc>
        <w:tc>
          <w:tcPr/>
          <w:p>
            <w:pPr>
              <w:pStyle w:val="Compact"/>
              <w:spacing w:after="20" w:before="20" w:line="240" w:lineRule="auto"/>
              <w:jc w:val="left"/>
            </w:pPr>
            <w:r>
              <w:rPr>
                <w:sz w:val="17"/>
              </w:rPr>
              <w:t xml:space="preserve">POST /v1/comptes</w:t>
            </w:r>
          </w:p>
        </w:tc>
      </w:tr>
      <w:tr>
        <w:tc>
          <w:tcPr>
            <w:shd w:val="clear" w:color="auto" w:fill="F2F9F8"/>
          </w:tcPr>
          <w:p>
            <w:pPr>
              <w:pStyle w:val="Compact"/>
              <w:spacing w:after="20" w:before="20" w:line="240" w:lineRule="auto"/>
              <w:jc w:val="left"/>
            </w:pPr>
            <w:r>
              <w:rPr>
                <w:sz w:val="17"/>
              </w:rPr>
              <w:t xml:space="preserve">POST /v1/legal-rules</w:t>
            </w:r>
          </w:p>
        </w:tc>
        <w:tc>
          <w:tcPr>
            <w:shd w:val="clear" w:color="auto" w:fill="F2F9F8"/>
          </w:tcPr>
          <w:p>
            <w:pPr>
              <w:pStyle w:val="Compact"/>
              <w:spacing w:after="20" w:before="20" w:line="240" w:lineRule="auto"/>
              <w:jc w:val="left"/>
            </w:pPr>
            <w:r>
              <w:rPr>
                <w:sz w:val="17"/>
              </w:rPr>
              <w:t xml:space="preserve">Créer une nouvelle version de règle, en brouillon uniquement</w:t>
            </w:r>
          </w:p>
        </w:tc>
        <w:tc>
          <w:tcPr>
            <w:shd w:val="clear" w:color="auto" w:fill="F2F9F8"/>
          </w:tcPr>
          <w:p>
            <w:pPr>
              <w:pStyle w:val="Compact"/>
              <w:spacing w:after="20" w:before="20" w:line="240" w:lineRule="auto"/>
              <w:jc w:val="left"/>
            </w:pPr>
            <w:r>
              <w:rPr>
                <w:sz w:val="17"/>
              </w:rPr>
              <w:t xml:space="preserve">POST /v1/regles</w:t>
            </w:r>
          </w:p>
        </w:tc>
      </w:tr>
      <w:tr>
        <w:tc>
          <w:tcPr/>
          <w:p>
            <w:pPr>
              <w:pStyle w:val="Compact"/>
              <w:spacing w:after="20" w:before="20" w:line="240" w:lineRule="auto"/>
              <w:jc w:val="left"/>
            </w:pPr>
            <w:r>
              <w:rPr>
                <w:sz w:val="17"/>
              </w:rPr>
              <w:t xml:space="preserve">POST /v1/obligations/{id}/payment-references</w:t>
            </w:r>
          </w:p>
        </w:tc>
        <w:tc>
          <w:tcPr/>
          <w:p>
            <w:pPr>
              <w:pStyle w:val="Compact"/>
              <w:spacing w:after="20" w:before="20" w:line="240" w:lineRule="auto"/>
              <w:jc w:val="left"/>
            </w:pPr>
            <w:r>
              <w:rPr>
                <w:sz w:val="17"/>
              </w:rPr>
              <w:t xml:space="preserve">Émettre une référence de paiement idempotente</w:t>
            </w:r>
          </w:p>
        </w:tc>
        <w:tc>
          <w:tcPr/>
          <w:p>
            <w:pPr>
              <w:pStyle w:val="Compact"/>
              <w:spacing w:after="20" w:before="20" w:line="240" w:lineRule="auto"/>
              <w:jc w:val="left"/>
            </w:pPr>
            <w:r>
              <w:rPr>
                <w:sz w:val="17"/>
              </w:rPr>
              <w:t xml:space="preserve">POST /v1/paiements/ordres</w:t>
            </w:r>
          </w:p>
        </w:tc>
      </w:tr>
      <w:tr>
        <w:tc>
          <w:tcPr>
            <w:shd w:val="clear" w:color="auto" w:fill="F2F9F8"/>
          </w:tcPr>
          <w:p>
            <w:pPr>
              <w:pStyle w:val="Compact"/>
              <w:spacing w:after="20" w:before="20" w:line="240" w:lineRule="auto"/>
              <w:jc w:val="left"/>
            </w:pPr>
            <w:r>
              <w:rPr>
                <w:sz w:val="17"/>
              </w:rPr>
              <w:t xml:space="preserve">POST /v1/payments/webhooks/{provider}</w:t>
            </w:r>
          </w:p>
        </w:tc>
        <w:tc>
          <w:tcPr>
            <w:shd w:val="clear" w:color="auto" w:fill="F2F9F8"/>
          </w:tcPr>
          <w:p>
            <w:pPr>
              <w:pStyle w:val="Compact"/>
              <w:spacing w:after="20" w:before="20" w:line="240" w:lineRule="auto"/>
              <w:jc w:val="left"/>
            </w:pPr>
            <w:r>
              <w:rPr>
                <w:sz w:val="17"/>
              </w:rPr>
              <w:t xml:space="preserve">Recevoir un rappel signé, anti-rejeu</w:t>
            </w:r>
          </w:p>
        </w:tc>
        <w:tc>
          <w:tcPr>
            <w:shd w:val="clear" w:color="auto" w:fill="F2F9F8"/>
          </w:tcPr>
          <w:p>
            <w:pPr>
              <w:pStyle w:val="Compact"/>
              <w:spacing w:after="20" w:before="20" w:line="240" w:lineRule="auto"/>
              <w:jc w:val="left"/>
            </w:pPr>
            <w:r>
              <w:rPr>
                <w:sz w:val="17"/>
              </w:rPr>
              <w:t xml:space="preserve">POST /v1/paiements/callback</w:t>
            </w:r>
          </w:p>
        </w:tc>
      </w:tr>
      <w:tr>
        <w:tc>
          <w:tcPr/>
          <w:p>
            <w:pPr>
              <w:pStyle w:val="Compact"/>
              <w:spacing w:after="20" w:before="20" w:line="240" w:lineRule="auto"/>
              <w:jc w:val="left"/>
            </w:pPr>
            <w:r>
              <w:rPr>
                <w:sz w:val="17"/>
              </w:rPr>
              <w:t xml:space="preserve">POST /v1/reconciliations/jobs</w:t>
            </w:r>
          </w:p>
        </w:tc>
        <w:tc>
          <w:tcPr/>
          <w:p>
            <w:pPr>
              <w:pStyle w:val="Compact"/>
              <w:spacing w:after="20" w:before="20" w:line="240" w:lineRule="auto"/>
              <w:jc w:val="left"/>
            </w:pPr>
            <w:r>
              <w:rPr>
                <w:sz w:val="17"/>
              </w:rPr>
              <w:t xml:space="preserve">Lancer un rapprochement autorisé</w:t>
            </w:r>
          </w:p>
        </w:tc>
        <w:tc>
          <w:tcPr/>
          <w:p>
            <w:pPr>
              <w:pStyle w:val="Compact"/>
              <w:spacing w:after="20" w:before="20" w:line="240" w:lineRule="auto"/>
              <w:jc w:val="left"/>
            </w:pPr>
            <w:r>
              <w:rPr>
                <w:sz w:val="17"/>
              </w:rPr>
              <w:t xml:space="preserve">Nouvelle route</w:t>
            </w:r>
          </w:p>
        </w:tc>
      </w:tr>
      <w:tr>
        <w:tc>
          <w:tcPr>
            <w:shd w:val="clear" w:color="auto" w:fill="F2F9F8"/>
          </w:tcPr>
          <w:p>
            <w:pPr>
              <w:pStyle w:val="Compact"/>
              <w:spacing w:after="20" w:before="20" w:line="240" w:lineRule="auto"/>
              <w:jc w:val="left"/>
            </w:pPr>
            <w:r>
              <w:rPr>
                <w:sz w:val="17"/>
              </w:rPr>
              <w:t xml:space="preserve">GET /v1/receipts/{id}/verify</w:t>
            </w:r>
          </w:p>
        </w:tc>
        <w:tc>
          <w:tcPr>
            <w:shd w:val="clear" w:color="auto" w:fill="F2F9F8"/>
          </w:tcPr>
          <w:p>
            <w:pPr>
              <w:pStyle w:val="Compact"/>
              <w:spacing w:after="20" w:before="20" w:line="240" w:lineRule="auto"/>
              <w:jc w:val="left"/>
            </w:pPr>
            <w:r>
              <w:rPr>
                <w:sz w:val="17"/>
              </w:rPr>
              <w:t xml:space="preserve">Vérification minimale d’une quittance</w:t>
            </w:r>
          </w:p>
        </w:tc>
        <w:tc>
          <w:tcPr>
            <w:shd w:val="clear" w:color="auto" w:fill="F2F9F8"/>
          </w:tcPr>
          <w:p>
            <w:pPr>
              <w:pStyle w:val="Compact"/>
              <w:spacing w:after="20" w:before="20" w:line="240" w:lineRule="auto"/>
              <w:jc w:val="left"/>
            </w:pPr>
            <w:r>
              <w:rPr>
                <w:sz w:val="17"/>
              </w:rPr>
              <w:t xml:space="preserve">GET /v1/quittances/{ref}/verification</w:t>
            </w:r>
          </w:p>
        </w:tc>
      </w:tr>
      <w:tr>
        <w:tc>
          <w:tcPr/>
          <w:p>
            <w:pPr>
              <w:pStyle w:val="Compact"/>
              <w:spacing w:after="20" w:before="20" w:line="240" w:lineRule="auto"/>
              <w:jc w:val="left"/>
            </w:pPr>
            <w:r>
              <w:rPr>
                <w:sz w:val="17"/>
              </w:rPr>
              <w:t xml:space="preserve">POST /v1/field-missions/{id}/evidence</w:t>
            </w:r>
          </w:p>
        </w:tc>
        <w:tc>
          <w:tcPr/>
          <w:p>
            <w:pPr>
              <w:pStyle w:val="Compact"/>
              <w:spacing w:after="20" w:before="20" w:line="240" w:lineRule="auto"/>
              <w:jc w:val="left"/>
            </w:pPr>
            <w:r>
              <w:rPr>
                <w:sz w:val="17"/>
              </w:rPr>
              <w:t xml:space="preserve">Synchroniser une preuve terrain</w:t>
            </w:r>
          </w:p>
        </w:tc>
        <w:tc>
          <w:tcPr/>
          <w:p>
            <w:pPr>
              <w:pStyle w:val="Compact"/>
              <w:spacing w:after="20" w:before="20" w:line="240" w:lineRule="auto"/>
              <w:jc w:val="left"/>
            </w:pPr>
            <w:r>
              <w:rPr>
                <w:sz w:val="17"/>
              </w:rPr>
              <w:t xml:space="preserve">POST /v1/missions/synchronisation</w:t>
            </w:r>
          </w:p>
        </w:tc>
      </w:tr>
      <w:tr>
        <w:tc>
          <w:tcPr>
            <w:shd w:val="clear" w:color="auto" w:fill="F2F9F8"/>
          </w:tcPr>
          <w:p>
            <w:pPr>
              <w:pStyle w:val="Compact"/>
              <w:spacing w:after="20" w:before="20" w:line="240" w:lineRule="auto"/>
              <w:jc w:val="left"/>
            </w:pPr>
            <w:r>
              <w:rPr>
                <w:sz w:val="17"/>
              </w:rPr>
              <w:t xml:space="preserve">POST /v1/appeals</w:t>
            </w:r>
          </w:p>
        </w:tc>
        <w:tc>
          <w:tcPr>
            <w:shd w:val="clear" w:color="auto" w:fill="F2F9F8"/>
          </w:tcPr>
          <w:p>
            <w:pPr>
              <w:pStyle w:val="Compact"/>
              <w:spacing w:after="20" w:before="20" w:line="240" w:lineRule="auto"/>
              <w:jc w:val="left"/>
            </w:pPr>
            <w:r>
              <w:rPr>
                <w:sz w:val="17"/>
              </w:rPr>
              <w:t xml:space="preserve">Ouvrir un recours</w:t>
            </w:r>
          </w:p>
        </w:tc>
        <w:tc>
          <w:tcPr>
            <w:shd w:val="clear" w:color="auto" w:fill="F2F9F8"/>
          </w:tcPr>
          <w:p>
            <w:pPr>
              <w:pStyle w:val="Compact"/>
              <w:spacing w:after="20" w:before="20" w:line="240" w:lineRule="auto"/>
              <w:jc w:val="left"/>
            </w:pPr>
            <w:r>
              <w:rPr>
                <w:sz w:val="17"/>
              </w:rPr>
              <w:t xml:space="preserve">POST /v1/recours</w:t>
            </w:r>
          </w:p>
        </w:tc>
      </w:tr>
    </w:tbl>
    <w:bookmarkEnd w:id="250"/>
    <w:bookmarkStart w:id="251" w:name="Xea005bab0ca005cb52e6ba15def922df9312252"/>
    <w:p>
      <w:pPr>
        <w:pStyle w:val="Heading2"/>
      </w:pPr>
      <w:r>
        <w:t xml:space="preserve">30.3 Spécification de référence : émission d’une référence de paiement</w:t>
      </w:r>
    </w:p>
    <w:p>
      <w:pPr>
        <w:pStyle w:val="FirstParagraph"/>
      </w:pPr>
      <w:r>
        <w:rPr>
          <w:b/>
          <w:bCs/>
        </w:rPr>
        <w:t xml:space="preserve">POST /v1/obligations/{obligationId}/payment-references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Élément</w:t>
            </w:r>
          </w:p>
        </w:tc>
        <w:tc>
          <w:tcPr>
            <w:shd w:val="clear" w:color="auto" w:fill="1BA996"/>
          </w:tcPr>
          <w:p>
            <w:pPr>
              <w:pStyle w:val="Compact"/>
              <w:spacing w:after="20" w:before="20" w:line="240" w:lineRule="auto"/>
              <w:jc w:val="left"/>
            </w:pPr>
            <w:r>
              <w:rPr>
                <w:b/>
                <w:color w:val="FFFFFF"/>
                <w:sz w:val="17"/>
              </w:rPr>
              <w:t xml:space="preserve">Spécification</w:t>
            </w:r>
          </w:p>
        </w:tc>
      </w:tr>
      <w:tr>
        <w:tc>
          <w:tcPr/>
          <w:p>
            <w:pPr>
              <w:pStyle w:val="Compact"/>
              <w:spacing w:after="20" w:before="20" w:line="240" w:lineRule="auto"/>
              <w:jc w:val="left"/>
            </w:pPr>
            <w:r>
              <w:rPr>
                <w:sz w:val="17"/>
              </w:rPr>
              <w:t xml:space="preserve">Acteur</w:t>
            </w:r>
          </w:p>
        </w:tc>
        <w:tc>
          <w:tcPr/>
          <w:p>
            <w:pPr>
              <w:pStyle w:val="Compact"/>
              <w:spacing w:after="20" w:before="20" w:line="240" w:lineRule="auto"/>
              <w:jc w:val="left"/>
            </w:pPr>
            <w:r>
              <w:rPr>
                <w:sz w:val="17"/>
              </w:rPr>
              <w:t xml:space="preserve">Contribuable ou agent autorisé</w:t>
            </w:r>
          </w:p>
        </w:tc>
      </w:tr>
      <w:tr>
        <w:tc>
          <w:tcPr>
            <w:shd w:val="clear" w:color="auto" w:fill="F2F9F8"/>
          </w:tcPr>
          <w:p>
            <w:pPr>
              <w:pStyle w:val="Compact"/>
              <w:spacing w:after="20" w:before="20" w:line="240" w:lineRule="auto"/>
              <w:jc w:val="left"/>
            </w:pPr>
            <w:r>
              <w:rPr>
                <w:sz w:val="17"/>
              </w:rPr>
              <w:t xml:space="preserve">Entrée</w:t>
            </w:r>
          </w:p>
        </w:tc>
        <w:tc>
          <w:tcPr>
            <w:shd w:val="clear" w:color="auto" w:fill="F2F9F8"/>
          </w:tcPr>
          <w:p>
            <w:pPr>
              <w:pStyle w:val="Compact"/>
              <w:spacing w:after="20" w:before="20" w:line="240" w:lineRule="auto"/>
              <w:jc w:val="left"/>
            </w:pPr>
            <w:r>
              <w:rPr>
                <w:sz w:val="17"/>
              </w:rPr>
              <w:t xml:space="preserve">obligationId, channel, payerAccount, idempotencyKey</w:t>
            </w:r>
          </w:p>
        </w:tc>
      </w:tr>
      <w:tr>
        <w:tc>
          <w:tcPr/>
          <w:p>
            <w:pPr>
              <w:pStyle w:val="Compact"/>
              <w:spacing w:after="20" w:before="20" w:line="240" w:lineRule="auto"/>
              <w:jc w:val="left"/>
            </w:pPr>
            <w:r>
              <w:rPr>
                <w:sz w:val="17"/>
              </w:rPr>
              <w:t xml:space="preserve">Sortie</w:t>
            </w:r>
          </w:p>
        </w:tc>
        <w:tc>
          <w:tcPr/>
          <w:p>
            <w:pPr>
              <w:pStyle w:val="Compact"/>
              <w:spacing w:after="20" w:before="20" w:line="240" w:lineRule="auto"/>
              <w:jc w:val="left"/>
            </w:pPr>
            <w:r>
              <w:rPr>
                <w:sz w:val="17"/>
              </w:rPr>
              <w:t xml:space="preserve">paymentReference, amount, currency, beneficiaryAlias, expiry, status</w:t>
            </w:r>
          </w:p>
        </w:tc>
      </w:tr>
      <w:tr>
        <w:tc>
          <w:tcPr>
            <w:shd w:val="clear" w:color="auto" w:fill="F2F9F8"/>
          </w:tcPr>
          <w:p>
            <w:pPr>
              <w:pStyle w:val="Compact"/>
              <w:spacing w:after="20" w:before="20" w:line="240" w:lineRule="auto"/>
              <w:jc w:val="left"/>
            </w:pPr>
            <w:r>
              <w:rPr>
                <w:sz w:val="17"/>
              </w:rPr>
              <w:t xml:space="preserve">Contrôles</w:t>
            </w:r>
          </w:p>
        </w:tc>
        <w:tc>
          <w:tcPr>
            <w:shd w:val="clear" w:color="auto" w:fill="F2F9F8"/>
          </w:tcPr>
          <w:p>
            <w:pPr>
              <w:pStyle w:val="Compact"/>
              <w:spacing w:after="20" w:before="20" w:line="240" w:lineRule="auto"/>
              <w:jc w:val="left"/>
            </w:pPr>
            <w:r>
              <w:rPr>
                <w:sz w:val="17"/>
              </w:rPr>
              <w:t xml:space="preserve">Obligation active ; montant immuable ; canal autorisé ; bénéficiaire issu du coffre approuvé ; anti-duplication ; journal d’audit</w:t>
            </w:r>
          </w:p>
        </w:tc>
      </w:tr>
      <w:tr>
        <w:tc>
          <w:tcPr/>
          <w:p>
            <w:pPr>
              <w:pStyle w:val="Compact"/>
              <w:spacing w:after="20" w:before="20" w:line="240" w:lineRule="auto"/>
              <w:jc w:val="left"/>
            </w:pPr>
            <w:r>
              <w:rPr>
                <w:sz w:val="17"/>
              </w:rPr>
              <w:t xml:space="preserve">Erreurs</w:t>
            </w:r>
          </w:p>
        </w:tc>
        <w:tc>
          <w:tcPr/>
          <w:p>
            <w:pPr>
              <w:pStyle w:val="Compact"/>
              <w:spacing w:after="20" w:before="20" w:line="240" w:lineRule="auto"/>
              <w:jc w:val="left"/>
            </w:pPr>
            <w:r>
              <w:rPr>
                <w:sz w:val="17"/>
              </w:rPr>
              <w:t xml:space="preserve">400 validation ; 403 portée insuffisante ; 409 doublon ou conflit d’idempotence ; 422 obligation non payable</w:t>
            </w:r>
          </w:p>
        </w:tc>
      </w:tr>
    </w:tbl>
    <w:p>
      <w:pPr>
        <w:pStyle w:val="BodyText"/>
      </w:pPr>
      <w:r>
        <w:t xml:space="preserve">Cette fiche sert de modèle à la spécification complète des API livrée en phase 2.</w:t>
      </w:r>
    </w:p>
    <w:bookmarkEnd w:id="251"/>
    <w:bookmarkStart w:id="252" w:name="X614e3e1fc34161dab6c222136486cc9266f629c"/>
    <w:p>
      <w:pPr>
        <w:pStyle w:val="Heading2"/>
      </w:pPr>
      <w:r>
        <w:t xml:space="preserve">30.4 Routes complémentaires (canaux assistés, points de paiement, sous-traitance)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blHeader/>
        </w:trPr>
        <w:tc>
          <w:tcPr>
            <w:shd w:val="clear" w:color="auto" w:fill="1BA996"/>
          </w:tcPr>
          <w:p>
            <w:pPr>
              <w:pStyle w:val="Compact"/>
              <w:spacing w:after="20" w:before="20" w:line="240" w:lineRule="auto"/>
              <w:jc w:val="left"/>
            </w:pPr>
            <w:r>
              <w:rPr>
                <w:b/>
                <w:color w:val="FFFFFF"/>
                <w:sz w:val="17"/>
              </w:rPr>
              <w:t xml:space="preserve">Route</w:t>
            </w:r>
          </w:p>
        </w:tc>
        <w:tc>
          <w:tcPr>
            <w:shd w:val="clear" w:color="auto" w:fill="1BA996"/>
          </w:tcPr>
          <w:p>
            <w:pPr>
              <w:pStyle w:val="Compact"/>
              <w:spacing w:after="20" w:before="20" w:line="240" w:lineRule="auto"/>
              <w:jc w:val="left"/>
            </w:pPr>
            <w:r>
              <w:rPr>
                <w:b/>
                <w:color w:val="FFFFFF"/>
                <w:sz w:val="17"/>
              </w:rPr>
              <w:t xml:space="preserve">Objet</w:t>
            </w:r>
          </w:p>
        </w:tc>
        <w:tc>
          <w:tcPr>
            <w:shd w:val="clear" w:color="auto" w:fill="1BA996"/>
          </w:tcPr>
          <w:p>
            <w:pPr>
              <w:pStyle w:val="Compact"/>
              <w:spacing w:after="20" w:before="20" w:line="240" w:lineRule="auto"/>
              <w:jc w:val="left"/>
            </w:pPr>
            <w:r>
              <w:rPr>
                <w:b/>
                <w:color w:val="FFFFFF"/>
                <w:sz w:val="17"/>
              </w:rPr>
              <w:t xml:space="preserve">Acteur autorisé</w:t>
            </w:r>
          </w:p>
        </w:tc>
        <w:tc>
          <w:tcPr>
            <w:shd w:val="clear" w:color="auto" w:fill="1BA996"/>
          </w:tcPr>
          <w:p>
            <w:pPr>
              <w:pStyle w:val="Compact"/>
              <w:spacing w:after="20" w:before="20" w:line="240" w:lineRule="auto"/>
              <w:jc w:val="left"/>
            </w:pPr>
            <w:r>
              <w:rPr>
                <w:b/>
                <w:color w:val="FFFFFF"/>
                <w:sz w:val="17"/>
              </w:rPr>
              <w:t xml:space="preserve">Contrôles</w:t>
            </w:r>
          </w:p>
        </w:tc>
      </w:tr>
      <w:tr>
        <w:tc>
          <w:tcPr/>
          <w:p>
            <w:pPr>
              <w:pStyle w:val="Compact"/>
              <w:spacing w:after="20" w:before="20" w:line="240" w:lineRule="auto"/>
              <w:jc w:val="left"/>
            </w:pPr>
            <w:r>
              <w:rPr>
                <w:sz w:val="17"/>
              </w:rPr>
              <w:t xml:space="preserve">POST /v1/enrolements/assistes</w:t>
            </w:r>
          </w:p>
        </w:tc>
        <w:tc>
          <w:tcPr/>
          <w:p>
            <w:pPr>
              <w:pStyle w:val="Compact"/>
              <w:spacing w:after="20" w:before="20" w:line="240" w:lineRule="auto"/>
              <w:jc w:val="left"/>
            </w:pPr>
            <w:r>
              <w:rPr>
                <w:sz w:val="17"/>
              </w:rPr>
              <w:t xml:space="preserve">Enrôlement assisté hors ligne</w:t>
            </w:r>
          </w:p>
        </w:tc>
        <w:tc>
          <w:tcPr/>
          <w:p>
            <w:pPr>
              <w:pStyle w:val="Compact"/>
              <w:spacing w:after="20" w:before="20" w:line="240" w:lineRule="auto"/>
              <w:jc w:val="left"/>
            </w:pPr>
            <w:r>
              <w:rPr>
                <w:sz w:val="17"/>
              </w:rPr>
              <w:t xml:space="preserve">Agent d’enrôlement habilité</w:t>
            </w:r>
          </w:p>
        </w:tc>
        <w:tc>
          <w:tcPr/>
          <w:p>
            <w:pPr>
              <w:pStyle w:val="Compact"/>
              <w:spacing w:after="20" w:before="20" w:line="240" w:lineRule="auto"/>
              <w:jc w:val="left"/>
            </w:pPr>
            <w:r>
              <w:rPr>
                <w:sz w:val="17"/>
              </w:rPr>
              <w:t xml:space="preserve">Lecture audio du résumé, consentement horodaté, zone et horaire autorisés</w:t>
            </w:r>
          </w:p>
        </w:tc>
      </w:tr>
      <w:tr>
        <w:tc>
          <w:tcPr>
            <w:shd w:val="clear" w:color="auto" w:fill="F2F9F8"/>
          </w:tcPr>
          <w:p>
            <w:pPr>
              <w:pStyle w:val="Compact"/>
              <w:spacing w:after="20" w:before="20" w:line="240" w:lineRule="auto"/>
              <w:jc w:val="left"/>
            </w:pPr>
            <w:r>
              <w:rPr>
                <w:sz w:val="17"/>
              </w:rPr>
              <w:t xml:space="preserve">POST /v1/cartes</w:t>
            </w:r>
          </w:p>
        </w:tc>
        <w:tc>
          <w:tcPr>
            <w:shd w:val="clear" w:color="auto" w:fill="F2F9F8"/>
          </w:tcPr>
          <w:p>
            <w:pPr>
              <w:pStyle w:val="Compact"/>
              <w:spacing w:after="20" w:before="20" w:line="240" w:lineRule="auto"/>
              <w:jc w:val="left"/>
            </w:pPr>
            <w:r>
              <w:rPr>
                <w:sz w:val="17"/>
              </w:rPr>
              <w:t xml:space="preserve">Émettre ou révoquer une carte MOSOLO</w:t>
            </w:r>
          </w:p>
        </w:tc>
        <w:tc>
          <w:tcPr>
            <w:shd w:val="clear" w:color="auto" w:fill="F2F9F8"/>
          </w:tcPr>
          <w:p>
            <w:pPr>
              <w:pStyle w:val="Compact"/>
              <w:spacing w:after="20" w:before="20" w:line="240" w:lineRule="auto"/>
              <w:jc w:val="left"/>
            </w:pPr>
            <w:r>
              <w:rPr>
                <w:sz w:val="17"/>
              </w:rPr>
              <w:t xml:space="preserve">Agent, guichet</w:t>
            </w:r>
          </w:p>
        </w:tc>
        <w:tc>
          <w:tcPr>
            <w:shd w:val="clear" w:color="auto" w:fill="F2F9F8"/>
          </w:tcPr>
          <w:p>
            <w:pPr>
              <w:pStyle w:val="Compact"/>
              <w:spacing w:after="20" w:before="20" w:line="240" w:lineRule="auto"/>
              <w:jc w:val="left"/>
            </w:pPr>
            <w:r>
              <w:rPr>
                <w:sz w:val="17"/>
              </w:rPr>
              <w:t xml:space="preserve">Double validation pour réémission</w:t>
            </w:r>
          </w:p>
        </w:tc>
      </w:tr>
      <w:tr>
        <w:tc>
          <w:tcPr/>
          <w:p>
            <w:pPr>
              <w:pStyle w:val="Compact"/>
              <w:spacing w:after="20" w:before="20" w:line="240" w:lineRule="auto"/>
              <w:jc w:val="left"/>
            </w:pPr>
            <w:r>
              <w:rPr>
                <w:sz w:val="17"/>
              </w:rPr>
              <w:t xml:space="preserve">GET /v1/verification/code/{code}</w:t>
            </w:r>
          </w:p>
        </w:tc>
        <w:tc>
          <w:tcPr/>
          <w:p>
            <w:pPr>
              <w:pStyle w:val="Compact"/>
              <w:spacing w:after="20" w:before="20" w:line="240" w:lineRule="auto"/>
              <w:jc w:val="left"/>
            </w:pPr>
            <w:r>
              <w:rPr>
                <w:sz w:val="17"/>
              </w:rPr>
              <w:t xml:space="preserve">Vérifier une quittance, une carte ou un agent par code court (SMS, USSD, SVI)</w:t>
            </w:r>
          </w:p>
        </w:tc>
        <w:tc>
          <w:tcPr/>
          <w:p>
            <w:pPr>
              <w:pStyle w:val="Compact"/>
              <w:spacing w:after="20" w:before="20" w:line="240" w:lineRule="auto"/>
              <w:jc w:val="left"/>
            </w:pPr>
            <w:r>
              <w:rPr>
                <w:sz w:val="17"/>
              </w:rPr>
              <w:t xml:space="preserve">Public</w:t>
            </w:r>
          </w:p>
        </w:tc>
        <w:tc>
          <w:tcPr/>
          <w:p>
            <w:pPr>
              <w:pStyle w:val="Compact"/>
              <w:spacing w:after="20" w:before="20" w:line="240" w:lineRule="auto"/>
              <w:jc w:val="left"/>
            </w:pPr>
            <w:r>
              <w:rPr>
                <w:sz w:val="17"/>
              </w:rPr>
              <w:t xml:space="preserve">Chiffre de contrôle, limitation de fréquence, divulgation minimale</w:t>
            </w:r>
          </w:p>
        </w:tc>
      </w:tr>
      <w:tr>
        <w:tc>
          <w:tcPr>
            <w:shd w:val="clear" w:color="auto" w:fill="F2F9F8"/>
          </w:tcPr>
          <w:p>
            <w:pPr>
              <w:pStyle w:val="Compact"/>
              <w:spacing w:after="20" w:before="20" w:line="240" w:lineRule="auto"/>
              <w:jc w:val="left"/>
            </w:pPr>
            <w:r>
              <w:rPr>
                <w:sz w:val="17"/>
              </w:rPr>
              <w:t xml:space="preserve">GET /v1/points-paiement</w:t>
            </w:r>
          </w:p>
        </w:tc>
        <w:tc>
          <w:tcPr>
            <w:shd w:val="clear" w:color="auto" w:fill="F2F9F8"/>
          </w:tcPr>
          <w:p>
            <w:pPr>
              <w:pStyle w:val="Compact"/>
              <w:spacing w:after="20" w:before="20" w:line="240" w:lineRule="auto"/>
              <w:jc w:val="left"/>
            </w:pPr>
            <w:r>
              <w:rPr>
                <w:sz w:val="17"/>
              </w:rPr>
              <w:t xml:space="preserve">Lister les points de paiement agréés</w:t>
            </w:r>
          </w:p>
        </w:tc>
        <w:tc>
          <w:tcPr>
            <w:shd w:val="clear" w:color="auto" w:fill="F2F9F8"/>
          </w:tcPr>
          <w:p>
            <w:pPr>
              <w:pStyle w:val="Compact"/>
              <w:spacing w:after="20" w:before="20" w:line="240" w:lineRule="auto"/>
              <w:jc w:val="left"/>
            </w:pPr>
            <w:r>
              <w:rPr>
                <w:sz w:val="17"/>
              </w:rPr>
              <w:t xml:space="preserve">Public</w:t>
            </w:r>
          </w:p>
        </w:tc>
        <w:tc>
          <w:tcPr>
            <w:shd w:val="clear" w:color="auto" w:fill="F2F9F8"/>
          </w:tcPr>
          <w:p>
            <w:pPr>
              <w:pStyle w:val="Compact"/>
              <w:spacing w:after="20" w:before="20" w:line="240" w:lineRule="auto"/>
              <w:jc w:val="left"/>
            </w:pPr>
            <w:r>
              <w:rPr>
                <w:sz w:val="17"/>
              </w:rPr>
              <w:t xml:space="preserve">Données publiques uniquement</w:t>
            </w:r>
          </w:p>
        </w:tc>
      </w:tr>
      <w:tr>
        <w:tc>
          <w:tcPr/>
          <w:p>
            <w:pPr>
              <w:pStyle w:val="Compact"/>
              <w:spacing w:after="20" w:before="20" w:line="240" w:lineRule="auto"/>
              <w:jc w:val="left"/>
            </w:pPr>
            <w:r>
              <w:rPr>
                <w:sz w:val="17"/>
              </w:rPr>
              <w:t xml:space="preserve">POST /v1/points-paiement/{id}/encaissements</w:t>
            </w:r>
          </w:p>
        </w:tc>
        <w:tc>
          <w:tcPr/>
          <w:p>
            <w:pPr>
              <w:pStyle w:val="Compact"/>
              <w:spacing w:after="20" w:before="20" w:line="240" w:lineRule="auto"/>
              <w:jc w:val="left"/>
            </w:pPr>
            <w:r>
              <w:rPr>
                <w:sz w:val="17"/>
              </w:rPr>
              <w:t xml:space="preserve">Enregistrer un encaissement sur référence</w:t>
            </w:r>
          </w:p>
        </w:tc>
        <w:tc>
          <w:tcPr/>
          <w:p>
            <w:pPr>
              <w:pStyle w:val="Compact"/>
              <w:spacing w:after="20" w:before="20" w:line="240" w:lineRule="auto"/>
              <w:jc w:val="left"/>
            </w:pPr>
            <w:r>
              <w:rPr>
                <w:sz w:val="17"/>
              </w:rPr>
              <w:t xml:space="preserve">Point de paiement agréé</w:t>
            </w:r>
          </w:p>
        </w:tc>
        <w:tc>
          <w:tcPr/>
          <w:p>
            <w:pPr>
              <w:pStyle w:val="Compact"/>
              <w:spacing w:after="20" w:before="20" w:line="240" w:lineRule="auto"/>
              <w:jc w:val="left"/>
            </w:pPr>
            <w:r>
              <w:rPr>
                <w:sz w:val="17"/>
              </w:rPr>
              <w:t xml:space="preserve">mTLS, référence valide, montant immuable, idempotence</w:t>
            </w:r>
          </w:p>
        </w:tc>
      </w:tr>
      <w:tr>
        <w:tc>
          <w:tcPr>
            <w:shd w:val="clear" w:color="auto" w:fill="F2F9F8"/>
          </w:tcPr>
          <w:p>
            <w:pPr>
              <w:pStyle w:val="Compact"/>
              <w:spacing w:after="20" w:before="20" w:line="240" w:lineRule="auto"/>
              <w:jc w:val="left"/>
            </w:pPr>
            <w:r>
              <w:rPr>
                <w:sz w:val="17"/>
              </w:rPr>
              <w:t xml:space="preserve">POST /v1/partenaires/sous-traitants</w:t>
            </w:r>
          </w:p>
        </w:tc>
        <w:tc>
          <w:tcPr>
            <w:shd w:val="clear" w:color="auto" w:fill="F2F9F8"/>
          </w:tcPr>
          <w:p>
            <w:pPr>
              <w:pStyle w:val="Compact"/>
              <w:spacing w:after="20" w:before="20" w:line="240" w:lineRule="auto"/>
              <w:jc w:val="left"/>
            </w:pPr>
            <w:r>
              <w:rPr>
                <w:sz w:val="17"/>
              </w:rPr>
              <w:t xml:space="preserve">Inviter un sous-traitant et ouvrir son dossier d’accréditation</w:t>
            </w:r>
          </w:p>
        </w:tc>
        <w:tc>
          <w:tcPr>
            <w:shd w:val="clear" w:color="auto" w:fill="F2F9F8"/>
          </w:tcPr>
          <w:p>
            <w:pPr>
              <w:pStyle w:val="Compact"/>
              <w:spacing w:after="20" w:before="20" w:line="240" w:lineRule="auto"/>
              <w:jc w:val="left"/>
            </w:pPr>
            <w:r>
              <w:rPr>
                <w:sz w:val="17"/>
              </w:rPr>
              <w:t xml:space="preserve">Direction de régie, responsable de module</w:t>
            </w:r>
          </w:p>
        </w:tc>
        <w:tc>
          <w:tcPr>
            <w:shd w:val="clear" w:color="auto" w:fill="F2F9F8"/>
          </w:tcPr>
          <w:p>
            <w:pPr>
              <w:pStyle w:val="Compact"/>
              <w:spacing w:after="20" w:before="20" w:line="240" w:lineRule="auto"/>
              <w:jc w:val="left"/>
            </w:pPr>
            <w:r>
              <w:rPr>
                <w:sz w:val="17"/>
              </w:rPr>
              <w:t xml:space="preserve">Invitation nominative, pièces obligatoires, statut « en diligence »</w:t>
            </w:r>
          </w:p>
        </w:tc>
      </w:tr>
      <w:tr>
        <w:tc>
          <w:tcPr/>
          <w:p>
            <w:pPr>
              <w:pStyle w:val="Compact"/>
              <w:spacing w:after="20" w:before="20" w:line="240" w:lineRule="auto"/>
              <w:jc w:val="left"/>
            </w:pPr>
            <w:r>
              <w:rPr>
                <w:sz w:val="17"/>
              </w:rPr>
              <w:t xml:space="preserve">POST /v1/sous-traitants/{id}/agents</w:t>
            </w:r>
          </w:p>
        </w:tc>
        <w:tc>
          <w:tcPr/>
          <w:p>
            <w:pPr>
              <w:pStyle w:val="Compact"/>
              <w:spacing w:after="20" w:before="20" w:line="240" w:lineRule="auto"/>
              <w:jc w:val="left"/>
            </w:pPr>
            <w:r>
              <w:rPr>
                <w:sz w:val="17"/>
              </w:rPr>
              <w:t xml:space="preserve">Inviter un agent</w:t>
            </w:r>
          </w:p>
        </w:tc>
        <w:tc>
          <w:tcPr/>
          <w:p>
            <w:pPr>
              <w:pStyle w:val="Compact"/>
              <w:spacing w:after="20" w:before="20" w:line="240" w:lineRule="auto"/>
              <w:jc w:val="left"/>
            </w:pPr>
            <w:r>
              <w:rPr>
                <w:sz w:val="17"/>
              </w:rPr>
              <w:t xml:space="preserve">Sous-traitant, responsable de module</w:t>
            </w:r>
          </w:p>
        </w:tc>
        <w:tc>
          <w:tcPr/>
          <w:p>
            <w:pPr>
              <w:pStyle w:val="Compact"/>
              <w:spacing w:after="20" w:before="20" w:line="240" w:lineRule="auto"/>
              <w:jc w:val="left"/>
            </w:pPr>
            <w:r>
              <w:rPr>
                <w:sz w:val="17"/>
              </w:rPr>
              <w:t xml:space="preserve">Agent inactif jusqu’à habilitation par la régie</w:t>
            </w:r>
          </w:p>
        </w:tc>
      </w:tr>
      <w:tr>
        <w:tc>
          <w:tcPr>
            <w:shd w:val="clear" w:color="auto" w:fill="F2F9F8"/>
          </w:tcPr>
          <w:p>
            <w:pPr>
              <w:pStyle w:val="Compact"/>
              <w:spacing w:after="20" w:before="20" w:line="240" w:lineRule="auto"/>
              <w:jc w:val="left"/>
            </w:pPr>
            <w:r>
              <w:rPr>
                <w:sz w:val="17"/>
              </w:rPr>
              <w:t xml:space="preserve">POST /v1/lots/{id}/missions/affectations</w:t>
            </w:r>
          </w:p>
        </w:tc>
        <w:tc>
          <w:tcPr>
            <w:shd w:val="clear" w:color="auto" w:fill="F2F9F8"/>
          </w:tcPr>
          <w:p>
            <w:pPr>
              <w:pStyle w:val="Compact"/>
              <w:spacing w:after="20" w:before="20" w:line="240" w:lineRule="auto"/>
              <w:jc w:val="left"/>
            </w:pPr>
            <w:r>
              <w:rPr>
                <w:sz w:val="17"/>
              </w:rPr>
              <w:t xml:space="preserve">Répartir les missions d’un lot</w:t>
            </w:r>
          </w:p>
        </w:tc>
        <w:tc>
          <w:tcPr>
            <w:shd w:val="clear" w:color="auto" w:fill="F2F9F8"/>
          </w:tcPr>
          <w:p>
            <w:pPr>
              <w:pStyle w:val="Compact"/>
              <w:spacing w:after="20" w:before="20" w:line="240" w:lineRule="auto"/>
              <w:jc w:val="left"/>
            </w:pPr>
            <w:r>
              <w:rPr>
                <w:sz w:val="17"/>
              </w:rPr>
              <w:t xml:space="preserve">Sous-traitant, superviseur, responsable de module</w:t>
            </w:r>
          </w:p>
        </w:tc>
        <w:tc>
          <w:tcPr>
            <w:shd w:val="clear" w:color="auto" w:fill="F2F9F8"/>
          </w:tcPr>
          <w:p>
            <w:pPr>
              <w:pStyle w:val="Compact"/>
              <w:spacing w:after="20" w:before="20" w:line="240" w:lineRule="auto"/>
              <w:jc w:val="left"/>
            </w:pPr>
            <w:r>
              <w:rPr>
                <w:sz w:val="17"/>
              </w:rPr>
              <w:t xml:space="preserve">Limité au lot attribué</w:t>
            </w:r>
          </w:p>
        </w:tc>
      </w:tr>
      <w:tr>
        <w:tc>
          <w:tcPr/>
          <w:p>
            <w:pPr>
              <w:pStyle w:val="Compact"/>
              <w:spacing w:after="20" w:before="20" w:line="240" w:lineRule="auto"/>
              <w:jc w:val="left"/>
            </w:pPr>
            <w:r>
              <w:rPr>
                <w:sz w:val="17"/>
              </w:rPr>
              <w:t xml:space="preserve">GET /v1/agents/{badge}/verification</w:t>
            </w:r>
          </w:p>
        </w:tc>
        <w:tc>
          <w:tcPr/>
          <w:p>
            <w:pPr>
              <w:pStyle w:val="Compact"/>
              <w:spacing w:after="20" w:before="20" w:line="240" w:lineRule="auto"/>
              <w:jc w:val="left"/>
            </w:pPr>
            <w:r>
              <w:rPr>
                <w:sz w:val="17"/>
              </w:rPr>
              <w:t xml:space="preserve">Vérifier un badge d’agent</w:t>
            </w:r>
          </w:p>
        </w:tc>
        <w:tc>
          <w:tcPr/>
          <w:p>
            <w:pPr>
              <w:pStyle w:val="Compact"/>
              <w:spacing w:after="20" w:before="20" w:line="240" w:lineRule="auto"/>
              <w:jc w:val="left"/>
            </w:pPr>
            <w:r>
              <w:rPr>
                <w:sz w:val="17"/>
              </w:rPr>
              <w:t xml:space="preserve">Public</w:t>
            </w:r>
          </w:p>
        </w:tc>
        <w:tc>
          <w:tcPr/>
          <w:p>
            <w:pPr>
              <w:pStyle w:val="Compact"/>
              <w:spacing w:after="20" w:before="20" w:line="240" w:lineRule="auto"/>
              <w:jc w:val="left"/>
            </w:pPr>
            <w:r>
              <w:rPr>
                <w:sz w:val="17"/>
              </w:rPr>
              <w:t xml:space="preserve">Statut, module, zone, période, structure</w:t>
            </w:r>
          </w:p>
        </w:tc>
      </w:tr>
      <w:tr>
        <w:tc>
          <w:tcPr>
            <w:shd w:val="clear" w:color="auto" w:fill="F2F9F8"/>
          </w:tcPr>
          <w:p>
            <w:pPr>
              <w:pStyle w:val="Compact"/>
              <w:spacing w:after="20" w:before="20" w:line="240" w:lineRule="auto"/>
              <w:jc w:val="left"/>
            </w:pPr>
            <w:r>
              <w:rPr>
                <w:sz w:val="17"/>
              </w:rPr>
              <w:t xml:space="preserve">POST /v1/signalements</w:t>
            </w:r>
          </w:p>
        </w:tc>
        <w:tc>
          <w:tcPr>
            <w:shd w:val="clear" w:color="auto" w:fill="F2F9F8"/>
          </w:tcPr>
          <w:p>
            <w:pPr>
              <w:pStyle w:val="Compact"/>
              <w:spacing w:after="20" w:before="20" w:line="240" w:lineRule="auto"/>
              <w:jc w:val="left"/>
            </w:pPr>
            <w:r>
              <w:rPr>
                <w:sz w:val="17"/>
              </w:rPr>
              <w:t xml:space="preserve">Signaler une irrégularité</w:t>
            </w:r>
          </w:p>
        </w:tc>
        <w:tc>
          <w:tcPr>
            <w:shd w:val="clear" w:color="auto" w:fill="F2F9F8"/>
          </w:tcPr>
          <w:p>
            <w:pPr>
              <w:pStyle w:val="Compact"/>
              <w:spacing w:after="20" w:before="20" w:line="240" w:lineRule="auto"/>
              <w:jc w:val="left"/>
            </w:pPr>
            <w:r>
              <w:rPr>
                <w:sz w:val="17"/>
              </w:rPr>
              <w:t xml:space="preserve">Public</w:t>
            </w:r>
          </w:p>
        </w:tc>
        <w:tc>
          <w:tcPr>
            <w:shd w:val="clear" w:color="auto" w:fill="F2F9F8"/>
          </w:tcPr>
          <w:p>
            <w:pPr>
              <w:pStyle w:val="Compact"/>
              <w:spacing w:after="20" w:before="20" w:line="240" w:lineRule="auto"/>
              <w:jc w:val="left"/>
            </w:pPr>
            <w:r>
              <w:rPr>
                <w:sz w:val="17"/>
              </w:rPr>
              <w:t xml:space="preserve">Anonymat possible, accusé de réception</w:t>
            </w:r>
          </w:p>
        </w:tc>
      </w:tr>
    </w:tbl>
    <w:bookmarkEnd w:id="252"/>
    <w:bookmarkStart w:id="253" w:name="routes-des-titres-et-des-entités"/>
    <w:p>
      <w:pPr>
        <w:pStyle w:val="Heading2"/>
      </w:pPr>
      <w:r>
        <w:t xml:space="preserve">30.5 Routes des titres et des entités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blHeader/>
        </w:trPr>
        <w:tc>
          <w:tcPr>
            <w:shd w:val="clear" w:color="auto" w:fill="1BA996"/>
          </w:tcPr>
          <w:p>
            <w:pPr>
              <w:pStyle w:val="Compact"/>
              <w:spacing w:after="20" w:before="20" w:line="240" w:lineRule="auto"/>
              <w:jc w:val="left"/>
            </w:pPr>
            <w:r>
              <w:rPr>
                <w:b/>
                <w:color w:val="FFFFFF"/>
                <w:sz w:val="17"/>
              </w:rPr>
              <w:t xml:space="preserve">Route</w:t>
            </w:r>
          </w:p>
        </w:tc>
        <w:tc>
          <w:tcPr>
            <w:shd w:val="clear" w:color="auto" w:fill="1BA996"/>
          </w:tcPr>
          <w:p>
            <w:pPr>
              <w:pStyle w:val="Compact"/>
              <w:spacing w:after="20" w:before="20" w:line="240" w:lineRule="auto"/>
              <w:jc w:val="left"/>
            </w:pPr>
            <w:r>
              <w:rPr>
                <w:b/>
                <w:color w:val="FFFFFF"/>
                <w:sz w:val="17"/>
              </w:rPr>
              <w:t xml:space="preserve">Objet</w:t>
            </w:r>
          </w:p>
        </w:tc>
        <w:tc>
          <w:tcPr>
            <w:shd w:val="clear" w:color="auto" w:fill="1BA996"/>
          </w:tcPr>
          <w:p>
            <w:pPr>
              <w:pStyle w:val="Compact"/>
              <w:spacing w:after="20" w:before="20" w:line="240" w:lineRule="auto"/>
              <w:jc w:val="left"/>
            </w:pPr>
            <w:r>
              <w:rPr>
                <w:b/>
                <w:color w:val="FFFFFF"/>
                <w:sz w:val="17"/>
              </w:rPr>
              <w:t xml:space="preserve">Acteur autorisé</w:t>
            </w:r>
          </w:p>
        </w:tc>
        <w:tc>
          <w:tcPr>
            <w:shd w:val="clear" w:color="auto" w:fill="1BA996"/>
          </w:tcPr>
          <w:p>
            <w:pPr>
              <w:pStyle w:val="Compact"/>
              <w:spacing w:after="20" w:before="20" w:line="240" w:lineRule="auto"/>
              <w:jc w:val="left"/>
            </w:pPr>
            <w:r>
              <w:rPr>
                <w:b/>
                <w:color w:val="FFFFFF"/>
                <w:sz w:val="17"/>
              </w:rPr>
              <w:t xml:space="preserve">Contrôles</w:t>
            </w:r>
          </w:p>
        </w:tc>
      </w:tr>
      <w:tr>
        <w:tc>
          <w:tcPr/>
          <w:p>
            <w:pPr>
              <w:pStyle w:val="Compact"/>
              <w:spacing w:after="20" w:before="20" w:line="240" w:lineRule="auto"/>
              <w:jc w:val="left"/>
            </w:pPr>
            <w:r>
              <w:rPr>
                <w:sz w:val="17"/>
              </w:rPr>
              <w:t xml:space="preserve">POST /v1/titres</w:t>
            </w:r>
          </w:p>
        </w:tc>
        <w:tc>
          <w:tcPr/>
          <w:p>
            <w:pPr>
              <w:pStyle w:val="Compact"/>
              <w:spacing w:after="20" w:before="20" w:line="240" w:lineRule="auto"/>
              <w:jc w:val="left"/>
            </w:pPr>
            <w:r>
              <w:rPr>
                <w:sz w:val="17"/>
              </w:rPr>
              <w:t xml:space="preserve">Émettre un titre adossé à une quittance ou à une exonération</w:t>
            </w:r>
          </w:p>
        </w:tc>
        <w:tc>
          <w:tcPr/>
          <w:p>
            <w:pPr>
              <w:pStyle w:val="Compact"/>
              <w:spacing w:after="20" w:before="20" w:line="240" w:lineRule="auto"/>
              <w:jc w:val="left"/>
            </w:pPr>
            <w:r>
              <w:rPr>
                <w:sz w:val="17"/>
              </w:rPr>
              <w:t xml:space="preserve">Système, point de paiement agréé</w:t>
            </w:r>
          </w:p>
        </w:tc>
        <w:tc>
          <w:tcPr/>
          <w:p>
            <w:pPr>
              <w:pStyle w:val="Compact"/>
              <w:spacing w:after="20" w:before="20" w:line="240" w:lineRule="auto"/>
              <w:jc w:val="left"/>
            </w:pPr>
            <w:r>
              <w:rPr>
                <w:sz w:val="17"/>
              </w:rPr>
              <w:t xml:space="preserve">Quittance valide, type de titre activé, validité calculée par le serveur</w:t>
            </w:r>
          </w:p>
        </w:tc>
      </w:tr>
      <w:tr>
        <w:tc>
          <w:tcPr>
            <w:shd w:val="clear" w:color="auto" w:fill="F2F9F8"/>
          </w:tcPr>
          <w:p>
            <w:pPr>
              <w:pStyle w:val="Compact"/>
              <w:spacing w:after="20" w:before="20" w:line="240" w:lineRule="auto"/>
              <w:jc w:val="left"/>
            </w:pPr>
            <w:r>
              <w:rPr>
                <w:sz w:val="17"/>
              </w:rPr>
              <w:t xml:space="preserve">GET /v1/titres/{id}/statut</w:t>
            </w:r>
          </w:p>
        </w:tc>
        <w:tc>
          <w:tcPr>
            <w:shd w:val="clear" w:color="auto" w:fill="F2F9F8"/>
          </w:tcPr>
          <w:p>
            <w:pPr>
              <w:pStyle w:val="Compact"/>
              <w:spacing w:after="20" w:before="20" w:line="240" w:lineRule="auto"/>
              <w:jc w:val="left"/>
            </w:pPr>
            <w:r>
              <w:rPr>
                <w:sz w:val="17"/>
              </w:rPr>
              <w:t xml:space="preserve">Statut, couleur, temps restant</w:t>
            </w:r>
          </w:p>
        </w:tc>
        <w:tc>
          <w:tcPr>
            <w:shd w:val="clear" w:color="auto" w:fill="F2F9F8"/>
          </w:tcPr>
          <w:p>
            <w:pPr>
              <w:pStyle w:val="Compact"/>
              <w:spacing w:after="20" w:before="20" w:line="240" w:lineRule="auto"/>
              <w:jc w:val="left"/>
            </w:pPr>
            <w:r>
              <w:rPr>
                <w:sz w:val="17"/>
              </w:rPr>
              <w:t xml:space="preserve">Public (divulgation minimale), contrôleur</w:t>
            </w:r>
          </w:p>
        </w:tc>
        <w:tc>
          <w:tcPr>
            <w:shd w:val="clear" w:color="auto" w:fill="F2F9F8"/>
          </w:tcPr>
          <w:p>
            <w:pPr>
              <w:pStyle w:val="Compact"/>
              <w:spacing w:after="20" w:before="20" w:line="240" w:lineRule="auto"/>
              <w:jc w:val="left"/>
            </w:pPr>
            <w:r>
              <w:rPr>
                <w:sz w:val="17"/>
              </w:rPr>
              <w:t xml:space="preserve">Heure du serveur, liste de révocation</w:t>
            </w:r>
          </w:p>
        </w:tc>
      </w:tr>
      <w:tr>
        <w:tc>
          <w:tcPr/>
          <w:p>
            <w:pPr>
              <w:pStyle w:val="Compact"/>
              <w:spacing w:after="20" w:before="20" w:line="240" w:lineRule="auto"/>
              <w:jc w:val="left"/>
            </w:pPr>
            <w:r>
              <w:rPr>
                <w:sz w:val="17"/>
              </w:rPr>
              <w:t xml:space="preserve">POST /v1/titres/{id}/controles</w:t>
            </w:r>
          </w:p>
        </w:tc>
        <w:tc>
          <w:tcPr/>
          <w:p>
            <w:pPr>
              <w:pStyle w:val="Compact"/>
              <w:spacing w:after="20" w:before="20" w:line="240" w:lineRule="auto"/>
              <w:jc w:val="left"/>
            </w:pPr>
            <w:r>
              <w:rPr>
                <w:sz w:val="17"/>
              </w:rPr>
              <w:t xml:space="preserve">Enregistrer un contrôle (en ligne ou hors ligne synchronisé)</w:t>
            </w:r>
          </w:p>
        </w:tc>
        <w:tc>
          <w:tcPr/>
          <w:p>
            <w:pPr>
              <w:pStyle w:val="Compact"/>
              <w:spacing w:after="20" w:before="20" w:line="240" w:lineRule="auto"/>
              <w:jc w:val="left"/>
            </w:pPr>
            <w:r>
              <w:rPr>
                <w:sz w:val="17"/>
              </w:rPr>
              <w:t xml:space="preserve">Contrôleur habilité</w:t>
            </w:r>
          </w:p>
        </w:tc>
        <w:tc>
          <w:tcPr/>
          <w:p>
            <w:pPr>
              <w:pStyle w:val="Compact"/>
              <w:spacing w:after="20" w:before="20" w:line="240" w:lineRule="auto"/>
              <w:jc w:val="left"/>
            </w:pPr>
            <w:r>
              <w:rPr>
                <w:sz w:val="17"/>
              </w:rPr>
              <w:t xml:space="preserve">Terminal enregistré, géolocalisation, consommation si usage unique</w:t>
            </w:r>
          </w:p>
        </w:tc>
      </w:tr>
      <w:tr>
        <w:tc>
          <w:tcPr>
            <w:shd w:val="clear" w:color="auto" w:fill="F2F9F8"/>
          </w:tcPr>
          <w:p>
            <w:pPr>
              <w:pStyle w:val="Compact"/>
              <w:spacing w:after="20" w:before="20" w:line="240" w:lineRule="auto"/>
              <w:jc w:val="left"/>
            </w:pPr>
            <w:r>
              <w:rPr>
                <w:sz w:val="17"/>
              </w:rPr>
              <w:t xml:space="preserve">POST /v1/titres/{id}/prolongations</w:t>
            </w:r>
          </w:p>
        </w:tc>
        <w:tc>
          <w:tcPr>
            <w:shd w:val="clear" w:color="auto" w:fill="F2F9F8"/>
          </w:tcPr>
          <w:p>
            <w:pPr>
              <w:pStyle w:val="Compact"/>
              <w:spacing w:after="20" w:before="20" w:line="240" w:lineRule="auto"/>
              <w:jc w:val="left"/>
            </w:pPr>
            <w:r>
              <w:rPr>
                <w:sz w:val="17"/>
              </w:rPr>
              <w:t xml:space="preserve">Prolonger ou renouveler</w:t>
            </w:r>
          </w:p>
        </w:tc>
        <w:tc>
          <w:tcPr>
            <w:shd w:val="clear" w:color="auto" w:fill="F2F9F8"/>
          </w:tcPr>
          <w:p>
            <w:pPr>
              <w:pStyle w:val="Compact"/>
              <w:spacing w:after="20" w:before="20" w:line="240" w:lineRule="auto"/>
              <w:jc w:val="left"/>
            </w:pPr>
            <w:r>
              <w:rPr>
                <w:sz w:val="17"/>
              </w:rPr>
              <w:t xml:space="preserve">Titulaire, guichet</w:t>
            </w:r>
          </w:p>
        </w:tc>
        <w:tc>
          <w:tcPr>
            <w:shd w:val="clear" w:color="auto" w:fill="F2F9F8"/>
          </w:tcPr>
          <w:p>
            <w:pPr>
              <w:pStyle w:val="Compact"/>
              <w:spacing w:after="20" w:before="20" w:line="240" w:lineRule="auto"/>
              <w:jc w:val="left"/>
            </w:pPr>
            <w:r>
              <w:rPr>
                <w:sz w:val="17"/>
              </w:rPr>
              <w:t xml:space="preserve">Règle du module, nouveau paiement</w:t>
            </w:r>
          </w:p>
        </w:tc>
      </w:tr>
      <w:tr>
        <w:tc>
          <w:tcPr/>
          <w:p>
            <w:pPr>
              <w:pStyle w:val="Compact"/>
              <w:spacing w:after="20" w:before="20" w:line="240" w:lineRule="auto"/>
              <w:jc w:val="left"/>
            </w:pPr>
            <w:r>
              <w:rPr>
                <w:sz w:val="17"/>
              </w:rPr>
              <w:t xml:space="preserve">GET /v1/vehicules/{plaque}/titres</w:t>
            </w:r>
          </w:p>
        </w:tc>
        <w:tc>
          <w:tcPr/>
          <w:p>
            <w:pPr>
              <w:pStyle w:val="Compact"/>
              <w:spacing w:after="20" w:before="20" w:line="240" w:lineRule="auto"/>
              <w:jc w:val="left"/>
            </w:pPr>
            <w:r>
              <w:rPr>
                <w:sz w:val="17"/>
              </w:rPr>
              <w:t xml:space="preserve">Titres actifs liés à une plaque</w:t>
            </w:r>
          </w:p>
        </w:tc>
        <w:tc>
          <w:tcPr/>
          <w:p>
            <w:pPr>
              <w:pStyle w:val="Compact"/>
              <w:spacing w:after="20" w:before="20" w:line="240" w:lineRule="auto"/>
              <w:jc w:val="left"/>
            </w:pPr>
            <w:r>
              <w:rPr>
                <w:sz w:val="17"/>
              </w:rPr>
              <w:t xml:space="preserve">Contrôleur habilité</w:t>
            </w:r>
          </w:p>
        </w:tc>
        <w:tc>
          <w:tcPr/>
          <w:p>
            <w:pPr>
              <w:pStyle w:val="Compact"/>
              <w:spacing w:after="20" w:before="20" w:line="240" w:lineRule="auto"/>
              <w:jc w:val="left"/>
            </w:pPr>
            <w:r>
              <w:rPr>
                <w:sz w:val="17"/>
              </w:rPr>
              <w:t xml:space="preserve">Journalisation, filtrage par module et par entité</w:t>
            </w:r>
          </w:p>
        </w:tc>
      </w:tr>
      <w:tr>
        <w:tc>
          <w:tcPr>
            <w:shd w:val="clear" w:color="auto" w:fill="F2F9F8"/>
          </w:tcPr>
          <w:p>
            <w:pPr>
              <w:pStyle w:val="Compact"/>
              <w:spacing w:after="20" w:before="20" w:line="240" w:lineRule="auto"/>
              <w:jc w:val="left"/>
            </w:pPr>
            <w:r>
              <w:rPr>
                <w:sz w:val="17"/>
              </w:rPr>
              <w:t xml:space="preserve">GET /v1/revocations</w:t>
            </w:r>
          </w:p>
        </w:tc>
        <w:tc>
          <w:tcPr>
            <w:shd w:val="clear" w:color="auto" w:fill="F2F9F8"/>
          </w:tcPr>
          <w:p>
            <w:pPr>
              <w:pStyle w:val="Compact"/>
              <w:spacing w:after="20" w:before="20" w:line="240" w:lineRule="auto"/>
              <w:jc w:val="left"/>
            </w:pPr>
            <w:r>
              <w:rPr>
                <w:sz w:val="17"/>
              </w:rPr>
              <w:t xml:space="preserve">Liste de révocation pour le hors-ligne</w:t>
            </w:r>
          </w:p>
        </w:tc>
        <w:tc>
          <w:tcPr>
            <w:shd w:val="clear" w:color="auto" w:fill="F2F9F8"/>
          </w:tcPr>
          <w:p>
            <w:pPr>
              <w:pStyle w:val="Compact"/>
              <w:spacing w:after="20" w:before="20" w:line="240" w:lineRule="auto"/>
              <w:jc w:val="left"/>
            </w:pPr>
            <w:r>
              <w:rPr>
                <w:sz w:val="17"/>
              </w:rPr>
              <w:t xml:space="preserve">Terminaux de contrôle</w:t>
            </w:r>
          </w:p>
        </w:tc>
        <w:tc>
          <w:tcPr>
            <w:shd w:val="clear" w:color="auto" w:fill="F2F9F8"/>
          </w:tcPr>
          <w:p>
            <w:pPr>
              <w:pStyle w:val="Compact"/>
              <w:spacing w:after="20" w:before="20" w:line="240" w:lineRule="auto"/>
              <w:jc w:val="left"/>
            </w:pPr>
            <w:r>
              <w:rPr>
                <w:sz w:val="17"/>
              </w:rPr>
              <w:t xml:space="preserve">mTLS, liste signée</w:t>
            </w:r>
          </w:p>
        </w:tc>
      </w:tr>
      <w:tr>
        <w:tc>
          <w:tcPr/>
          <w:p>
            <w:pPr>
              <w:pStyle w:val="Compact"/>
              <w:spacing w:after="20" w:before="20" w:line="240" w:lineRule="auto"/>
              <w:jc w:val="left"/>
            </w:pPr>
            <w:r>
              <w:rPr>
                <w:sz w:val="17"/>
              </w:rPr>
              <w:t xml:space="preserve">POST /v1/entites/{id}/modules</w:t>
            </w:r>
          </w:p>
        </w:tc>
        <w:tc>
          <w:tcPr/>
          <w:p>
            <w:pPr>
              <w:pStyle w:val="Compact"/>
              <w:spacing w:after="20" w:before="20" w:line="240" w:lineRule="auto"/>
              <w:jc w:val="left"/>
            </w:pPr>
            <w:r>
              <w:rPr>
                <w:sz w:val="17"/>
              </w:rPr>
              <w:t xml:space="preserve">Soumettre une fiche de configuration de module</w:t>
            </w:r>
          </w:p>
        </w:tc>
        <w:tc>
          <w:tcPr/>
          <w:p>
            <w:pPr>
              <w:pStyle w:val="Compact"/>
              <w:spacing w:after="20" w:before="20" w:line="240" w:lineRule="auto"/>
              <w:jc w:val="left"/>
            </w:pPr>
            <w:r>
              <w:rPr>
                <w:sz w:val="17"/>
              </w:rPr>
              <w:t xml:space="preserve">Programme, entité</w:t>
            </w:r>
          </w:p>
        </w:tc>
        <w:tc>
          <w:tcPr/>
          <w:p>
            <w:pPr>
              <w:pStyle w:val="Compact"/>
              <w:spacing w:after="20" w:before="20" w:line="240" w:lineRule="auto"/>
              <w:jc w:val="left"/>
            </w:pPr>
            <w:r>
              <w:rPr>
                <w:sz w:val="17"/>
              </w:rPr>
              <w:t xml:space="preserve">Maker-checker, recette avant activation</w:t>
            </w:r>
          </w:p>
        </w:tc>
      </w:tr>
      <w:tr>
        <w:tc>
          <w:tcPr>
            <w:shd w:val="clear" w:color="auto" w:fill="F2F9F8"/>
          </w:tcPr>
          <w:p>
            <w:pPr>
              <w:pStyle w:val="Compact"/>
              <w:spacing w:after="20" w:before="20" w:line="240" w:lineRule="auto"/>
              <w:jc w:val="left"/>
            </w:pPr>
            <w:r>
              <w:rPr>
                <w:sz w:val="17"/>
              </w:rPr>
              <w:t xml:space="preserve">POST /v1/arbitrages</w:t>
            </w:r>
          </w:p>
        </w:tc>
        <w:tc>
          <w:tcPr>
            <w:shd w:val="clear" w:color="auto" w:fill="F2F9F8"/>
          </w:tcPr>
          <w:p>
            <w:pPr>
              <w:pStyle w:val="Compact"/>
              <w:spacing w:after="20" w:before="20" w:line="240" w:lineRule="auto"/>
              <w:jc w:val="left"/>
            </w:pPr>
            <w:r>
              <w:rPr>
                <w:sz w:val="17"/>
              </w:rPr>
              <w:t xml:space="preserve">Ouvrir un arbitrage entre entités</w:t>
            </w:r>
          </w:p>
        </w:tc>
        <w:tc>
          <w:tcPr>
            <w:shd w:val="clear" w:color="auto" w:fill="F2F9F8"/>
          </w:tcPr>
          <w:p>
            <w:pPr>
              <w:pStyle w:val="Compact"/>
              <w:spacing w:after="20" w:before="20" w:line="240" w:lineRule="auto"/>
              <w:jc w:val="left"/>
            </w:pPr>
            <w:r>
              <w:rPr>
                <w:sz w:val="17"/>
              </w:rPr>
              <w:t xml:space="preserve">Système, entité</w:t>
            </w:r>
          </w:p>
        </w:tc>
        <w:tc>
          <w:tcPr>
            <w:shd w:val="clear" w:color="auto" w:fill="F2F9F8"/>
          </w:tcPr>
          <w:p>
            <w:pPr>
              <w:pStyle w:val="Compact"/>
              <w:spacing w:after="20" w:before="20" w:line="240" w:lineRule="auto"/>
              <w:jc w:val="left"/>
            </w:pPr>
            <w:r>
              <w:rPr>
                <w:sz w:val="17"/>
              </w:rPr>
              <w:t xml:space="preserve">Transmission au comité juridique et tarifaire</w:t>
            </w:r>
          </w:p>
        </w:tc>
      </w:tr>
    </w:tbl>
    <w:bookmarkEnd w:id="253"/>
    <w:bookmarkStart w:id="254" w:name="routes-de-la-répartition-des-recettes"/>
    <w:p>
      <w:pPr>
        <w:pStyle w:val="Heading2"/>
      </w:pPr>
      <w:r>
        <w:t xml:space="preserve">30.6 Routes de la répartition des recettes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blHeader/>
        </w:trPr>
        <w:tc>
          <w:tcPr>
            <w:shd w:val="clear" w:color="auto" w:fill="1BA996"/>
          </w:tcPr>
          <w:p>
            <w:pPr>
              <w:pStyle w:val="Compact"/>
              <w:spacing w:after="20" w:before="20" w:line="240" w:lineRule="auto"/>
              <w:jc w:val="left"/>
            </w:pPr>
            <w:r>
              <w:rPr>
                <w:b/>
                <w:color w:val="FFFFFF"/>
                <w:sz w:val="17"/>
              </w:rPr>
              <w:t xml:space="preserve">Route</w:t>
            </w:r>
          </w:p>
        </w:tc>
        <w:tc>
          <w:tcPr>
            <w:shd w:val="clear" w:color="auto" w:fill="1BA996"/>
          </w:tcPr>
          <w:p>
            <w:pPr>
              <w:pStyle w:val="Compact"/>
              <w:spacing w:after="20" w:before="20" w:line="240" w:lineRule="auto"/>
              <w:jc w:val="left"/>
            </w:pPr>
            <w:r>
              <w:rPr>
                <w:b/>
                <w:color w:val="FFFFFF"/>
                <w:sz w:val="17"/>
              </w:rPr>
              <w:t xml:space="preserve">Objet</w:t>
            </w:r>
          </w:p>
        </w:tc>
        <w:tc>
          <w:tcPr>
            <w:shd w:val="clear" w:color="auto" w:fill="1BA996"/>
          </w:tcPr>
          <w:p>
            <w:pPr>
              <w:pStyle w:val="Compact"/>
              <w:spacing w:after="20" w:before="20" w:line="240" w:lineRule="auto"/>
              <w:jc w:val="left"/>
            </w:pPr>
            <w:r>
              <w:rPr>
                <w:b/>
                <w:color w:val="FFFFFF"/>
                <w:sz w:val="17"/>
              </w:rPr>
              <w:t xml:space="preserve">Acteur autorisé</w:t>
            </w:r>
          </w:p>
        </w:tc>
        <w:tc>
          <w:tcPr>
            <w:shd w:val="clear" w:color="auto" w:fill="1BA996"/>
          </w:tcPr>
          <w:p>
            <w:pPr>
              <w:pStyle w:val="Compact"/>
              <w:spacing w:after="20" w:before="20" w:line="240" w:lineRule="auto"/>
              <w:jc w:val="left"/>
            </w:pPr>
            <w:r>
              <w:rPr>
                <w:b/>
                <w:color w:val="FFFFFF"/>
                <w:sz w:val="17"/>
              </w:rPr>
              <w:t xml:space="preserve">Contrôles</w:t>
            </w:r>
          </w:p>
        </w:tc>
      </w:tr>
      <w:tr>
        <w:tc>
          <w:tcPr/>
          <w:p>
            <w:pPr>
              <w:pStyle w:val="Compact"/>
              <w:spacing w:after="20" w:before="20" w:line="240" w:lineRule="auto"/>
              <w:jc w:val="left"/>
            </w:pPr>
            <w:r>
              <w:rPr>
                <w:sz w:val="17"/>
              </w:rPr>
              <w:t xml:space="preserve">GET /v1/repartition/cles</w:t>
            </w:r>
          </w:p>
        </w:tc>
        <w:tc>
          <w:tcPr/>
          <w:p>
            <w:pPr>
              <w:pStyle w:val="Compact"/>
              <w:spacing w:after="20" w:before="20" w:line="240" w:lineRule="auto"/>
              <w:jc w:val="left"/>
            </w:pPr>
            <w:r>
              <w:rPr>
                <w:sz w:val="17"/>
              </w:rPr>
              <w:t xml:space="preserve">Consulter la clé de répartition en vigueur et ses versions</w:t>
            </w:r>
          </w:p>
        </w:tc>
        <w:tc>
          <w:tcPr/>
          <w:p>
            <w:pPr>
              <w:pStyle w:val="Compact"/>
              <w:spacing w:after="20" w:before="20" w:line="240" w:lineRule="auto"/>
              <w:jc w:val="left"/>
            </w:pPr>
            <w:r>
              <w:rPr>
                <w:sz w:val="17"/>
              </w:rPr>
              <w:t xml:space="preserve">Finances, audit, Groupe Nseya</w:t>
            </w:r>
          </w:p>
        </w:tc>
        <w:tc>
          <w:tcPr/>
          <w:p>
            <w:pPr>
              <w:pStyle w:val="Compact"/>
              <w:spacing w:after="20" w:before="20" w:line="240" w:lineRule="auto"/>
              <w:jc w:val="left"/>
            </w:pPr>
            <w:r>
              <w:rPr>
                <w:sz w:val="17"/>
              </w:rPr>
              <w:t xml:space="preserve">Lecture seule</w:t>
            </w:r>
          </w:p>
        </w:tc>
      </w:tr>
      <w:tr>
        <w:tc>
          <w:tcPr>
            <w:shd w:val="clear" w:color="auto" w:fill="F2F9F8"/>
          </w:tcPr>
          <w:p>
            <w:pPr>
              <w:pStyle w:val="Compact"/>
              <w:spacing w:after="20" w:before="20" w:line="240" w:lineRule="auto"/>
              <w:jc w:val="left"/>
            </w:pPr>
            <w:r>
              <w:rPr>
                <w:sz w:val="17"/>
              </w:rPr>
              <w:t xml:space="preserve">POST /v1/repartition/cles</w:t>
            </w:r>
          </w:p>
        </w:tc>
        <w:tc>
          <w:tcPr>
            <w:shd w:val="clear" w:color="auto" w:fill="F2F9F8"/>
          </w:tcPr>
          <w:p>
            <w:pPr>
              <w:pStyle w:val="Compact"/>
              <w:spacing w:after="20" w:before="20" w:line="240" w:lineRule="auto"/>
              <w:jc w:val="left"/>
            </w:pPr>
            <w:r>
              <w:rPr>
                <w:sz w:val="17"/>
              </w:rPr>
              <w:t xml:space="preserve">Proposer une nouvelle version de clé</w:t>
            </w:r>
          </w:p>
        </w:tc>
        <w:tc>
          <w:tcPr>
            <w:shd w:val="clear" w:color="auto" w:fill="F2F9F8"/>
          </w:tcPr>
          <w:p>
            <w:pPr>
              <w:pStyle w:val="Compact"/>
              <w:spacing w:after="20" w:before="20" w:line="240" w:lineRule="auto"/>
              <w:jc w:val="left"/>
            </w:pPr>
            <w:r>
              <w:rPr>
                <w:sz w:val="17"/>
              </w:rPr>
              <w:t xml:space="preserve">Juridique</w:t>
            </w:r>
          </w:p>
        </w:tc>
        <w:tc>
          <w:tcPr>
            <w:shd w:val="clear" w:color="auto" w:fill="F2F9F8"/>
          </w:tcPr>
          <w:p>
            <w:pPr>
              <w:pStyle w:val="Compact"/>
              <w:spacing w:after="20" w:before="20" w:line="240" w:lineRule="auto"/>
              <w:jc w:val="left"/>
            </w:pPr>
            <w:r>
              <w:rPr>
                <w:sz w:val="17"/>
              </w:rPr>
              <w:t xml:space="preserve">Brouillon ; référence d’acte obligatoire ; quorum</w:t>
            </w:r>
          </w:p>
        </w:tc>
      </w:tr>
      <w:tr>
        <w:tc>
          <w:tcPr/>
          <w:p>
            <w:pPr>
              <w:pStyle w:val="Compact"/>
              <w:spacing w:after="20" w:before="20" w:line="240" w:lineRule="auto"/>
              <w:jc w:val="left"/>
            </w:pPr>
            <w:r>
              <w:rPr>
                <w:sz w:val="17"/>
              </w:rPr>
              <w:t xml:space="preserve">POST /v1/repartition/calculs</w:t>
            </w:r>
          </w:p>
        </w:tc>
        <w:tc>
          <w:tcPr/>
          <w:p>
            <w:pPr>
              <w:pStyle w:val="Compact"/>
              <w:spacing w:after="20" w:before="20" w:line="240" w:lineRule="auto"/>
              <w:jc w:val="left"/>
            </w:pPr>
            <w:r>
              <w:rPr>
                <w:sz w:val="17"/>
              </w:rPr>
              <w:t xml:space="preserve">Calculer la répartition d’un lot de paiements rapprochés</w:t>
            </w:r>
          </w:p>
        </w:tc>
        <w:tc>
          <w:tcPr/>
          <w:p>
            <w:pPr>
              <w:pStyle w:val="Compact"/>
              <w:spacing w:after="20" w:before="20" w:line="240" w:lineRule="auto"/>
              <w:jc w:val="left"/>
            </w:pPr>
            <w:r>
              <w:rPr>
                <w:sz w:val="17"/>
              </w:rPr>
              <w:t xml:space="preserve">Système</w:t>
            </w:r>
          </w:p>
        </w:tc>
        <w:tc>
          <w:tcPr/>
          <w:p>
            <w:pPr>
              <w:pStyle w:val="Compact"/>
              <w:spacing w:after="20" w:before="20" w:line="240" w:lineRule="auto"/>
              <w:jc w:val="left"/>
            </w:pPr>
            <w:r>
              <w:rPr>
                <w:sz w:val="17"/>
              </w:rPr>
              <w:t xml:space="preserve">Somme des parts = 100 % ; idempotence</w:t>
            </w:r>
          </w:p>
        </w:tc>
      </w:tr>
      <w:tr>
        <w:tc>
          <w:tcPr>
            <w:shd w:val="clear" w:color="auto" w:fill="F2F9F8"/>
          </w:tcPr>
          <w:p>
            <w:pPr>
              <w:pStyle w:val="Compact"/>
              <w:spacing w:after="20" w:before="20" w:line="240" w:lineRule="auto"/>
              <w:jc w:val="left"/>
            </w:pPr>
            <w:r>
              <w:rPr>
                <w:sz w:val="17"/>
              </w:rPr>
              <w:t xml:space="preserve">POST /v1/repartition/ordres</w:t>
            </w:r>
          </w:p>
        </w:tc>
        <w:tc>
          <w:tcPr>
            <w:shd w:val="clear" w:color="auto" w:fill="F2F9F8"/>
          </w:tcPr>
          <w:p>
            <w:pPr>
              <w:pStyle w:val="Compact"/>
              <w:spacing w:after="20" w:before="20" w:line="240" w:lineRule="auto"/>
              <w:jc w:val="left"/>
            </w:pPr>
            <w:r>
              <w:rPr>
                <w:sz w:val="17"/>
              </w:rPr>
              <w:t xml:space="preserve">Émettre les deux instructions de virement vers la banque de règlement</w:t>
            </w:r>
          </w:p>
        </w:tc>
        <w:tc>
          <w:tcPr>
            <w:shd w:val="clear" w:color="auto" w:fill="F2F9F8"/>
          </w:tcPr>
          <w:p>
            <w:pPr>
              <w:pStyle w:val="Compact"/>
              <w:spacing w:after="20" w:before="20" w:line="240" w:lineRule="auto"/>
              <w:jc w:val="left"/>
            </w:pPr>
            <w:r>
              <w:rPr>
                <w:sz w:val="17"/>
              </w:rPr>
              <w:t xml:space="preserve">Système, validation Trésor</w:t>
            </w:r>
          </w:p>
        </w:tc>
        <w:tc>
          <w:tcPr>
            <w:shd w:val="clear" w:color="auto" w:fill="F2F9F8"/>
          </w:tcPr>
          <w:p>
            <w:pPr>
              <w:pStyle w:val="Compact"/>
              <w:spacing w:after="20" w:before="20" w:line="240" w:lineRule="auto"/>
              <w:jc w:val="left"/>
            </w:pPr>
            <w:r>
              <w:rPr>
                <w:sz w:val="17"/>
              </w:rPr>
              <w:t xml:space="preserve">Deux flux uniquement ; comptes verrouillés ; signature</w:t>
            </w:r>
          </w:p>
        </w:tc>
      </w:tr>
      <w:tr>
        <w:tc>
          <w:tcPr/>
          <w:p>
            <w:pPr>
              <w:pStyle w:val="Compact"/>
              <w:spacing w:after="20" w:before="20" w:line="240" w:lineRule="auto"/>
              <w:jc w:val="left"/>
            </w:pPr>
            <w:r>
              <w:rPr>
                <w:sz w:val="17"/>
              </w:rPr>
              <w:t xml:space="preserve">GET /v1/repartition/tableau/{beneficiaire}</w:t>
            </w:r>
          </w:p>
        </w:tc>
        <w:tc>
          <w:tcPr/>
          <w:p>
            <w:pPr>
              <w:pStyle w:val="Compact"/>
              <w:spacing w:after="20" w:before="20" w:line="240" w:lineRule="auto"/>
              <w:jc w:val="left"/>
            </w:pPr>
            <w:r>
              <w:rPr>
                <w:sz w:val="17"/>
              </w:rPr>
              <w:t xml:space="preserve">Montants calculés, rapprochés et versés</w:t>
            </w:r>
          </w:p>
        </w:tc>
        <w:tc>
          <w:tcPr/>
          <w:p>
            <w:pPr>
              <w:pStyle w:val="Compact"/>
              <w:spacing w:after="20" w:before="20" w:line="240" w:lineRule="auto"/>
              <w:jc w:val="left"/>
            </w:pPr>
            <w:r>
              <w:rPr>
                <w:sz w:val="17"/>
              </w:rPr>
              <w:t xml:space="preserve">Bénéficiaire, dans son périmètre</w:t>
            </w:r>
          </w:p>
        </w:tc>
        <w:tc>
          <w:tcPr/>
          <w:p>
            <w:pPr>
              <w:pStyle w:val="Compact"/>
              <w:spacing w:after="20" w:before="20" w:line="240" w:lineRule="auto"/>
              <w:jc w:val="left"/>
            </w:pPr>
            <w:r>
              <w:rPr>
                <w:sz w:val="17"/>
              </w:rPr>
              <w:t xml:space="preserve">Filtrage par périmètre</w:t>
            </w:r>
          </w:p>
        </w:tc>
      </w:tr>
      <w:tr>
        <w:tc>
          <w:tcPr>
            <w:shd w:val="clear" w:color="auto" w:fill="F2F9F8"/>
          </w:tcPr>
          <w:p>
            <w:pPr>
              <w:pStyle w:val="Compact"/>
              <w:spacing w:after="20" w:before="20" w:line="240" w:lineRule="auto"/>
              <w:jc w:val="left"/>
            </w:pPr>
            <w:r>
              <w:rPr>
                <w:sz w:val="17"/>
              </w:rPr>
              <w:t xml:space="preserve">GET /v1/repartition/reserve-agents/{module}</w:t>
            </w:r>
          </w:p>
        </w:tc>
        <w:tc>
          <w:tcPr>
            <w:shd w:val="clear" w:color="auto" w:fill="F2F9F8"/>
          </w:tcPr>
          <w:p>
            <w:pPr>
              <w:pStyle w:val="Compact"/>
              <w:spacing w:after="20" w:before="20" w:line="240" w:lineRule="auto"/>
              <w:jc w:val="left"/>
            </w:pPr>
            <w:r>
              <w:rPr>
                <w:sz w:val="17"/>
              </w:rPr>
              <w:t xml:space="preserve">Points et parts des équipes et sous-traitants</w:t>
            </w:r>
          </w:p>
        </w:tc>
        <w:tc>
          <w:tcPr>
            <w:shd w:val="clear" w:color="auto" w:fill="F2F9F8"/>
          </w:tcPr>
          <w:p>
            <w:pPr>
              <w:pStyle w:val="Compact"/>
              <w:spacing w:after="20" w:before="20" w:line="240" w:lineRule="auto"/>
              <w:jc w:val="left"/>
            </w:pPr>
            <w:r>
              <w:rPr>
                <w:sz w:val="17"/>
              </w:rPr>
              <w:t xml:space="preserve">Responsable de module, sous-traitant</w:t>
            </w:r>
          </w:p>
        </w:tc>
        <w:tc>
          <w:tcPr>
            <w:shd w:val="clear" w:color="auto" w:fill="F2F9F8"/>
          </w:tcPr>
          <w:p>
            <w:pPr>
              <w:pStyle w:val="Compact"/>
              <w:spacing w:after="20" w:before="20" w:line="240" w:lineRule="auto"/>
              <w:jc w:val="left"/>
            </w:pPr>
            <w:r>
              <w:rPr>
                <w:sz w:val="17"/>
              </w:rPr>
              <w:t xml:space="preserve">Filtrage par périmètre</w:t>
            </w:r>
          </w:p>
        </w:tc>
      </w:tr>
    </w:tbl>
    <w:bookmarkEnd w:id="254"/>
    <w:bookmarkStart w:id="255" w:name="routes-des-invitations-et-des-accès"/>
    <w:p>
      <w:pPr>
        <w:pStyle w:val="Heading2"/>
      </w:pPr>
      <w:r>
        <w:t xml:space="preserve">30.7 Routes des invitations et des accès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blHeader/>
        </w:trPr>
        <w:tc>
          <w:tcPr>
            <w:shd w:val="clear" w:color="auto" w:fill="1BA996"/>
          </w:tcPr>
          <w:p>
            <w:pPr>
              <w:pStyle w:val="Compact"/>
              <w:spacing w:after="20" w:before="20" w:line="240" w:lineRule="auto"/>
              <w:jc w:val="left"/>
            </w:pPr>
            <w:r>
              <w:rPr>
                <w:b/>
                <w:color w:val="FFFFFF"/>
                <w:sz w:val="17"/>
              </w:rPr>
              <w:t xml:space="preserve">Route</w:t>
            </w:r>
          </w:p>
        </w:tc>
        <w:tc>
          <w:tcPr>
            <w:shd w:val="clear" w:color="auto" w:fill="1BA996"/>
          </w:tcPr>
          <w:p>
            <w:pPr>
              <w:pStyle w:val="Compact"/>
              <w:spacing w:after="20" w:before="20" w:line="240" w:lineRule="auto"/>
              <w:jc w:val="left"/>
            </w:pPr>
            <w:r>
              <w:rPr>
                <w:b/>
                <w:color w:val="FFFFFF"/>
                <w:sz w:val="17"/>
              </w:rPr>
              <w:t xml:space="preserve">Objet</w:t>
            </w:r>
          </w:p>
        </w:tc>
        <w:tc>
          <w:tcPr>
            <w:shd w:val="clear" w:color="auto" w:fill="1BA996"/>
          </w:tcPr>
          <w:p>
            <w:pPr>
              <w:pStyle w:val="Compact"/>
              <w:spacing w:after="20" w:before="20" w:line="240" w:lineRule="auto"/>
              <w:jc w:val="left"/>
            </w:pPr>
            <w:r>
              <w:rPr>
                <w:b/>
                <w:color w:val="FFFFFF"/>
                <w:sz w:val="17"/>
              </w:rPr>
              <w:t xml:space="preserve">Acteur autorisé</w:t>
            </w:r>
          </w:p>
        </w:tc>
        <w:tc>
          <w:tcPr>
            <w:shd w:val="clear" w:color="auto" w:fill="1BA996"/>
          </w:tcPr>
          <w:p>
            <w:pPr>
              <w:pStyle w:val="Compact"/>
              <w:spacing w:after="20" w:before="20" w:line="240" w:lineRule="auto"/>
              <w:jc w:val="left"/>
            </w:pPr>
            <w:r>
              <w:rPr>
                <w:b/>
                <w:color w:val="FFFFFF"/>
                <w:sz w:val="17"/>
              </w:rPr>
              <w:t xml:space="preserve">Contrôles</w:t>
            </w:r>
          </w:p>
        </w:tc>
      </w:tr>
      <w:tr>
        <w:tc>
          <w:tcPr/>
          <w:p>
            <w:pPr>
              <w:pStyle w:val="Compact"/>
              <w:spacing w:after="20" w:before="20" w:line="240" w:lineRule="auto"/>
              <w:jc w:val="left"/>
            </w:pPr>
            <w:r>
              <w:rPr>
                <w:sz w:val="17"/>
              </w:rPr>
              <w:t xml:space="preserve">POST /v1/entites</w:t>
            </w:r>
          </w:p>
        </w:tc>
        <w:tc>
          <w:tcPr/>
          <w:p>
            <w:pPr>
              <w:pStyle w:val="Compact"/>
              <w:spacing w:after="20" w:before="20" w:line="240" w:lineRule="auto"/>
              <w:jc w:val="left"/>
            </w:pPr>
            <w:r>
              <w:rPr>
                <w:sz w:val="17"/>
              </w:rPr>
              <w:t xml:space="preserve">Créer l’espace d’une entité</w:t>
            </w:r>
          </w:p>
        </w:tc>
        <w:tc>
          <w:tcPr/>
          <w:p>
            <w:pPr>
              <w:pStyle w:val="Compact"/>
              <w:spacing w:after="20" w:before="20" w:line="240" w:lineRule="auto"/>
              <w:jc w:val="left"/>
            </w:pPr>
            <w:r>
              <w:rPr>
                <w:sz w:val="17"/>
              </w:rPr>
              <w:t xml:space="preserve">Administrateur de la plateforme</w:t>
            </w:r>
          </w:p>
        </w:tc>
        <w:tc>
          <w:tcPr/>
          <w:p>
            <w:pPr>
              <w:pStyle w:val="Compact"/>
              <w:spacing w:after="20" w:before="20" w:line="240" w:lineRule="auto"/>
              <w:jc w:val="left"/>
            </w:pPr>
            <w:r>
              <w:rPr>
                <w:sz w:val="17"/>
              </w:rPr>
              <w:t xml:space="preserve">Journalisation, visibilité audit</w:t>
            </w:r>
          </w:p>
        </w:tc>
      </w:tr>
      <w:tr>
        <w:tc>
          <w:tcPr>
            <w:shd w:val="clear" w:color="auto" w:fill="F2F9F8"/>
          </w:tcPr>
          <w:p>
            <w:pPr>
              <w:pStyle w:val="Compact"/>
              <w:spacing w:after="20" w:before="20" w:line="240" w:lineRule="auto"/>
              <w:jc w:val="left"/>
            </w:pPr>
            <w:r>
              <w:rPr>
                <w:sz w:val="17"/>
              </w:rPr>
              <w:t xml:space="preserve">POST /v1/entites/{id}/modules/rattachements</w:t>
            </w:r>
          </w:p>
        </w:tc>
        <w:tc>
          <w:tcPr>
            <w:shd w:val="clear" w:color="auto" w:fill="F2F9F8"/>
          </w:tcPr>
          <w:p>
            <w:pPr>
              <w:pStyle w:val="Compact"/>
              <w:spacing w:after="20" w:before="20" w:line="240" w:lineRule="auto"/>
              <w:jc w:val="left"/>
            </w:pPr>
            <w:r>
              <w:rPr>
                <w:sz w:val="17"/>
              </w:rPr>
              <w:t xml:space="preserve">Proposer le rattachement d’un module à une entité</w:t>
            </w:r>
          </w:p>
        </w:tc>
        <w:tc>
          <w:tcPr>
            <w:shd w:val="clear" w:color="auto" w:fill="F2F9F8"/>
          </w:tcPr>
          <w:p>
            <w:pPr>
              <w:pStyle w:val="Compact"/>
              <w:spacing w:after="20" w:before="20" w:line="240" w:lineRule="auto"/>
              <w:jc w:val="left"/>
            </w:pPr>
            <w:r>
              <w:rPr>
                <w:sz w:val="17"/>
              </w:rPr>
              <w:t xml:space="preserve">Administrateur de la plateforme</w:t>
            </w:r>
          </w:p>
        </w:tc>
        <w:tc>
          <w:tcPr>
            <w:shd w:val="clear" w:color="auto" w:fill="F2F9F8"/>
          </w:tcPr>
          <w:p>
            <w:pPr>
              <w:pStyle w:val="Compact"/>
              <w:spacing w:after="20" w:before="20" w:line="240" w:lineRule="auto"/>
              <w:jc w:val="left"/>
            </w:pPr>
            <w:r>
              <w:rPr>
                <w:sz w:val="17"/>
              </w:rPr>
              <w:t xml:space="preserve">Seconde validation du comité de pilotage, référence d’arrêté</w:t>
            </w:r>
          </w:p>
        </w:tc>
      </w:tr>
      <w:tr>
        <w:tc>
          <w:tcPr/>
          <w:p>
            <w:pPr>
              <w:pStyle w:val="Compact"/>
              <w:spacing w:after="20" w:before="20" w:line="240" w:lineRule="auto"/>
              <w:jc w:val="left"/>
            </w:pPr>
            <w:r>
              <w:rPr>
                <w:sz w:val="17"/>
              </w:rPr>
              <w:t xml:space="preserve">POST /v1/invitations</w:t>
            </w:r>
          </w:p>
        </w:tc>
        <w:tc>
          <w:tcPr/>
          <w:p>
            <w:pPr>
              <w:pStyle w:val="Compact"/>
              <w:spacing w:after="20" w:before="20" w:line="240" w:lineRule="auto"/>
              <w:jc w:val="left"/>
            </w:pPr>
            <w:r>
              <w:rPr>
                <w:sz w:val="17"/>
              </w:rPr>
              <w:t xml:space="preserve">Inviter une personne à un niveau d’accès</w:t>
            </w:r>
          </w:p>
        </w:tc>
        <w:tc>
          <w:tcPr/>
          <w:p>
            <w:pPr>
              <w:pStyle w:val="Compact"/>
              <w:spacing w:after="20" w:before="20" w:line="240" w:lineRule="auto"/>
              <w:jc w:val="left"/>
            </w:pPr>
            <w:r>
              <w:rPr>
                <w:sz w:val="17"/>
              </w:rPr>
              <w:t xml:space="preserve">Tout compte disposant du droit d’inviter</w:t>
            </w:r>
          </w:p>
        </w:tc>
        <w:tc>
          <w:tcPr/>
          <w:p>
            <w:pPr>
              <w:pStyle w:val="Compact"/>
              <w:spacing w:after="20" w:before="20" w:line="240" w:lineRule="auto"/>
              <w:jc w:val="left"/>
            </w:pPr>
            <w:r>
              <w:rPr>
                <w:sz w:val="17"/>
              </w:rPr>
              <w:t xml:space="preserve">Pas d’élévation, périmètre propre, invitation nominative à durée limitée</w:t>
            </w:r>
          </w:p>
        </w:tc>
      </w:tr>
      <w:tr>
        <w:tc>
          <w:tcPr>
            <w:shd w:val="clear" w:color="auto" w:fill="F2F9F8"/>
          </w:tcPr>
          <w:p>
            <w:pPr>
              <w:pStyle w:val="Compact"/>
              <w:spacing w:after="20" w:before="20" w:line="240" w:lineRule="auto"/>
              <w:jc w:val="left"/>
            </w:pPr>
            <w:r>
              <w:rPr>
                <w:sz w:val="17"/>
              </w:rPr>
              <w:t xml:space="preserve">POST /v1/invitations/{code}/acceptation</w:t>
            </w:r>
          </w:p>
        </w:tc>
        <w:tc>
          <w:tcPr>
            <w:shd w:val="clear" w:color="auto" w:fill="F2F9F8"/>
          </w:tcPr>
          <w:p>
            <w:pPr>
              <w:pStyle w:val="Compact"/>
              <w:spacing w:after="20" w:before="20" w:line="240" w:lineRule="auto"/>
              <w:jc w:val="left"/>
            </w:pPr>
            <w:r>
              <w:rPr>
                <w:sz w:val="17"/>
              </w:rPr>
              <w:t xml:space="preserve">Finaliser l’inscription depuis le lien d’invitation</w:t>
            </w:r>
          </w:p>
        </w:tc>
        <w:tc>
          <w:tcPr>
            <w:shd w:val="clear" w:color="auto" w:fill="F2F9F8"/>
          </w:tcPr>
          <w:p>
            <w:pPr>
              <w:pStyle w:val="Compact"/>
              <w:spacing w:after="20" w:before="20" w:line="240" w:lineRule="auto"/>
              <w:jc w:val="left"/>
            </w:pPr>
            <w:r>
              <w:rPr>
                <w:sz w:val="17"/>
              </w:rPr>
              <w:t xml:space="preserve">Personne invitée</w:t>
            </w:r>
          </w:p>
        </w:tc>
        <w:tc>
          <w:tcPr>
            <w:shd w:val="clear" w:color="auto" w:fill="F2F9F8"/>
          </w:tcPr>
          <w:p>
            <w:pPr>
              <w:pStyle w:val="Compact"/>
              <w:spacing w:after="20" w:before="20" w:line="240" w:lineRule="auto"/>
              <w:jc w:val="left"/>
            </w:pPr>
            <w:r>
              <w:rPr>
                <w:sz w:val="17"/>
              </w:rPr>
              <w:t xml:space="preserve">Lien et code à usage unique liés au numéro invité, vérification d’identité, authentification multifacteur</w:t>
            </w:r>
          </w:p>
        </w:tc>
      </w:tr>
      <w:tr>
        <w:tc>
          <w:tcPr/>
          <w:p>
            <w:pPr>
              <w:pStyle w:val="Compact"/>
              <w:spacing w:after="20" w:before="20" w:line="240" w:lineRule="auto"/>
              <w:jc w:val="left"/>
            </w:pPr>
            <w:r>
              <w:rPr>
                <w:sz w:val="17"/>
              </w:rPr>
              <w:t xml:space="preserve">POST /v1/invitations/{id}/inscription-assistee</w:t>
            </w:r>
          </w:p>
        </w:tc>
        <w:tc>
          <w:tcPr/>
          <w:p>
            <w:pPr>
              <w:pStyle w:val="Compact"/>
              <w:spacing w:after="20" w:before="20" w:line="240" w:lineRule="auto"/>
              <w:jc w:val="left"/>
            </w:pPr>
            <w:r>
              <w:rPr>
                <w:sz w:val="17"/>
              </w:rPr>
              <w:t xml:space="preserve">Finaliser l’inscription d’une personne invitée, en sa présence</w:t>
            </w:r>
          </w:p>
        </w:tc>
        <w:tc>
          <w:tcPr/>
          <w:p>
            <w:pPr>
              <w:pStyle w:val="Compact"/>
              <w:spacing w:after="20" w:before="20" w:line="240" w:lineRule="auto"/>
              <w:jc w:val="left"/>
            </w:pPr>
            <w:r>
              <w:rPr>
                <w:sz w:val="17"/>
              </w:rPr>
              <w:t xml:space="preserve">Opérateur d’accès désigné de l’entité</w:t>
            </w:r>
          </w:p>
        </w:tc>
        <w:tc>
          <w:tcPr/>
          <w:p>
            <w:pPr>
              <w:pStyle w:val="Compact"/>
              <w:spacing w:after="20" w:before="20" w:line="240" w:lineRule="auto"/>
              <w:jc w:val="left"/>
            </w:pPr>
            <w:r>
              <w:rPr>
                <w:sz w:val="17"/>
              </w:rPr>
              <w:t xml:space="preserve">Invitation existante de la même entité, niveau et périmètre inchangés, identité vérifiée, secrets définis par la personne, journalisation</w:t>
            </w:r>
          </w:p>
        </w:tc>
      </w:tr>
      <w:tr>
        <w:tc>
          <w:tcPr>
            <w:shd w:val="clear" w:color="auto" w:fill="F2F9F8"/>
          </w:tcPr>
          <w:p>
            <w:pPr>
              <w:pStyle w:val="Compact"/>
              <w:spacing w:after="20" w:before="20" w:line="240" w:lineRule="auto"/>
              <w:jc w:val="left"/>
            </w:pPr>
            <w:r>
              <w:rPr>
                <w:sz w:val="17"/>
              </w:rPr>
              <w:t xml:space="preserve">POST /v1/comptes/{id}/validations</w:t>
            </w:r>
          </w:p>
        </w:tc>
        <w:tc>
          <w:tcPr>
            <w:shd w:val="clear" w:color="auto" w:fill="F2F9F8"/>
          </w:tcPr>
          <w:p>
            <w:pPr>
              <w:pStyle w:val="Compact"/>
              <w:spacing w:after="20" w:before="20" w:line="240" w:lineRule="auto"/>
              <w:jc w:val="left"/>
            </w:pPr>
            <w:r>
              <w:rPr>
                <w:sz w:val="17"/>
              </w:rPr>
              <w:t xml:space="preserve">Seconde validation d’un rôle sensible</w:t>
            </w:r>
          </w:p>
        </w:tc>
        <w:tc>
          <w:tcPr>
            <w:shd w:val="clear" w:color="auto" w:fill="F2F9F8"/>
          </w:tcPr>
          <w:p>
            <w:pPr>
              <w:pStyle w:val="Compact"/>
              <w:spacing w:after="20" w:before="20" w:line="240" w:lineRule="auto"/>
              <w:jc w:val="left"/>
            </w:pPr>
            <w:r>
              <w:rPr>
                <w:sz w:val="17"/>
              </w:rPr>
              <w:t xml:space="preserve">Validateur désigné</w:t>
            </w:r>
          </w:p>
        </w:tc>
        <w:tc>
          <w:tcPr>
            <w:shd w:val="clear" w:color="auto" w:fill="F2F9F8"/>
          </w:tcPr>
          <w:p>
            <w:pPr>
              <w:pStyle w:val="Compact"/>
              <w:spacing w:after="20" w:before="20" w:line="240" w:lineRule="auto"/>
              <w:jc w:val="left"/>
            </w:pPr>
            <w:r>
              <w:rPr>
                <w:sz w:val="17"/>
              </w:rPr>
              <w:t xml:space="preserve">Validateur distinct de l’invitant</w:t>
            </w:r>
          </w:p>
        </w:tc>
      </w:tr>
      <w:tr>
        <w:tc>
          <w:tcPr/>
          <w:p>
            <w:pPr>
              <w:pStyle w:val="Compact"/>
              <w:spacing w:after="20" w:before="20" w:line="240" w:lineRule="auto"/>
              <w:jc w:val="left"/>
            </w:pPr>
            <w:r>
              <w:rPr>
                <w:sz w:val="17"/>
              </w:rPr>
              <w:t xml:space="preserve">POST /v1/comptes/{id}/revocations</w:t>
            </w:r>
          </w:p>
        </w:tc>
        <w:tc>
          <w:tcPr/>
          <w:p>
            <w:pPr>
              <w:pStyle w:val="Compact"/>
              <w:spacing w:after="20" w:before="20" w:line="240" w:lineRule="auto"/>
              <w:jc w:val="left"/>
            </w:pPr>
            <w:r>
              <w:rPr>
                <w:sz w:val="17"/>
              </w:rPr>
              <w:t xml:space="preserve">Révoquer un compte ou tous les comptes d’une entité</w:t>
            </w:r>
          </w:p>
        </w:tc>
        <w:tc>
          <w:tcPr/>
          <w:p>
            <w:pPr>
              <w:pStyle w:val="Compact"/>
              <w:spacing w:after="20" w:before="20" w:line="240" w:lineRule="auto"/>
              <w:jc w:val="left"/>
            </w:pPr>
            <w:r>
              <w:rPr>
                <w:sz w:val="17"/>
              </w:rPr>
              <w:t xml:space="preserve">Administrateur d’entité, administrateur de la plateforme</w:t>
            </w:r>
          </w:p>
        </w:tc>
        <w:tc>
          <w:tcPr/>
          <w:p>
            <w:pPr>
              <w:pStyle w:val="Compact"/>
              <w:spacing w:after="20" w:before="20" w:line="240" w:lineRule="auto"/>
              <w:jc w:val="left"/>
            </w:pPr>
            <w:r>
              <w:rPr>
                <w:sz w:val="17"/>
              </w:rPr>
              <w:t xml:space="preserve">Effet immédiat sur les terminaux</w:t>
            </w:r>
          </w:p>
        </w:tc>
      </w:tr>
      <w:tr>
        <w:tc>
          <w:tcPr>
            <w:shd w:val="clear" w:color="auto" w:fill="F2F9F8"/>
          </w:tcPr>
          <w:p>
            <w:pPr>
              <w:pStyle w:val="Compact"/>
              <w:spacing w:after="20" w:before="20" w:line="240" w:lineRule="auto"/>
              <w:jc w:val="left"/>
            </w:pPr>
            <w:r>
              <w:rPr>
                <w:sz w:val="17"/>
              </w:rPr>
              <w:t xml:space="preserve">POST /v1/public/inscriptions</w:t>
            </w:r>
          </w:p>
        </w:tc>
        <w:tc>
          <w:tcPr>
            <w:shd w:val="clear" w:color="auto" w:fill="F2F9F8"/>
          </w:tcPr>
          <w:p>
            <w:pPr>
              <w:pStyle w:val="Compact"/>
              <w:spacing w:after="20" w:before="20" w:line="240" w:lineRule="auto"/>
              <w:jc w:val="left"/>
            </w:pPr>
            <w:r>
              <w:rPr>
                <w:sz w:val="17"/>
              </w:rPr>
              <w:t xml:space="preserve">Inscription publique</w:t>
            </w:r>
          </w:p>
        </w:tc>
        <w:tc>
          <w:tcPr>
            <w:shd w:val="clear" w:color="auto" w:fill="F2F9F8"/>
          </w:tcPr>
          <w:p>
            <w:pPr>
              <w:pStyle w:val="Compact"/>
              <w:spacing w:after="20" w:before="20" w:line="240" w:lineRule="auto"/>
              <w:jc w:val="left"/>
            </w:pPr>
            <w:r>
              <w:rPr>
                <w:sz w:val="17"/>
              </w:rPr>
              <w:t xml:space="preserve">Public</w:t>
            </w:r>
          </w:p>
        </w:tc>
        <w:tc>
          <w:tcPr>
            <w:shd w:val="clear" w:color="auto" w:fill="F2F9F8"/>
          </w:tcPr>
          <w:p>
            <w:pPr>
              <w:pStyle w:val="Compact"/>
              <w:spacing w:after="20" w:before="20" w:line="240" w:lineRule="auto"/>
              <w:jc w:val="left"/>
            </w:pPr>
            <w:r>
              <w:rPr>
                <w:sz w:val="17"/>
              </w:rPr>
              <w:t xml:space="preserve">Crée exclusivement un compte de contribuable</w:t>
            </w:r>
          </w:p>
        </w:tc>
      </w:tr>
    </w:tbl>
    <w:bookmarkEnd w:id="255"/>
    <w:bookmarkStart w:id="256" w:name="routes-de-la-spécification-kin-recettes"/>
    <w:p>
      <w:pPr>
        <w:pStyle w:val="Heading2"/>
      </w:pPr>
      <w:r>
        <w:t xml:space="preserve">30.8 Routes de la spécification KIN RECETTES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blHeader/>
        </w:trPr>
        <w:tc>
          <w:tcPr>
            <w:shd w:val="clear" w:color="auto" w:fill="1BA996"/>
          </w:tcPr>
          <w:p>
            <w:pPr>
              <w:pStyle w:val="Compact"/>
              <w:spacing w:after="20" w:before="20" w:line="240" w:lineRule="auto"/>
              <w:jc w:val="left"/>
            </w:pPr>
            <w:r>
              <w:rPr>
                <w:b/>
                <w:color w:val="FFFFFF"/>
                <w:sz w:val="17"/>
              </w:rPr>
              <w:t xml:space="preserve">Route</w:t>
            </w:r>
          </w:p>
        </w:tc>
        <w:tc>
          <w:tcPr>
            <w:shd w:val="clear" w:color="auto" w:fill="1BA996"/>
          </w:tcPr>
          <w:p>
            <w:pPr>
              <w:pStyle w:val="Compact"/>
              <w:spacing w:after="20" w:before="20" w:line="240" w:lineRule="auto"/>
              <w:jc w:val="left"/>
            </w:pPr>
            <w:r>
              <w:rPr>
                <w:b/>
                <w:color w:val="FFFFFF"/>
                <w:sz w:val="17"/>
              </w:rPr>
              <w:t xml:space="preserve">Fonction</w:t>
            </w:r>
          </w:p>
        </w:tc>
        <w:tc>
          <w:tcPr>
            <w:shd w:val="clear" w:color="auto" w:fill="1BA996"/>
          </w:tcPr>
          <w:p>
            <w:pPr>
              <w:pStyle w:val="Compact"/>
              <w:spacing w:after="20" w:before="20" w:line="240" w:lineRule="auto"/>
              <w:jc w:val="left"/>
            </w:pPr>
            <w:r>
              <w:rPr>
                <w:b/>
                <w:color w:val="FFFFFF"/>
                <w:sz w:val="17"/>
              </w:rPr>
              <w:t xml:space="preserve">Contrôle</w:t>
            </w:r>
          </w:p>
        </w:tc>
        <w:tc>
          <w:tcPr>
            <w:shd w:val="clear" w:color="auto" w:fill="1BA996"/>
          </w:tcPr>
          <w:p>
            <w:pPr>
              <w:pStyle w:val="Compact"/>
              <w:spacing w:after="20" w:before="20" w:line="240" w:lineRule="auto"/>
              <w:jc w:val="left"/>
            </w:pPr>
            <w:r>
              <w:rPr>
                <w:b/>
                <w:color w:val="FFFFFF"/>
                <w:sz w:val="17"/>
              </w:rPr>
              <w:t xml:space="preserve">Équivalent</w:t>
            </w:r>
          </w:p>
        </w:tc>
      </w:tr>
      <w:tr>
        <w:tc>
          <w:tcPr/>
          <w:p>
            <w:pPr>
              <w:pStyle w:val="Compact"/>
              <w:spacing w:after="20" w:before="20" w:line="240" w:lineRule="auto"/>
              <w:jc w:val="left"/>
            </w:pPr>
            <w:r>
              <w:rPr>
                <w:sz w:val="17"/>
              </w:rPr>
              <w:t xml:space="preserve">POST /v1/taxpayers</w:t>
            </w:r>
          </w:p>
        </w:tc>
        <w:tc>
          <w:tcPr/>
          <w:p>
            <w:pPr>
              <w:pStyle w:val="Compact"/>
              <w:spacing w:after="20" w:before="20" w:line="240" w:lineRule="auto"/>
              <w:jc w:val="left"/>
            </w:pPr>
            <w:r>
              <w:rPr>
                <w:sz w:val="17"/>
              </w:rPr>
              <w:t xml:space="preserve">Créer une identité</w:t>
            </w:r>
          </w:p>
        </w:tc>
        <w:tc>
          <w:tcPr/>
          <w:p>
            <w:pPr>
              <w:pStyle w:val="Compact"/>
              <w:spacing w:after="20" w:before="20" w:line="240" w:lineRule="auto"/>
              <w:jc w:val="left"/>
            </w:pPr>
            <w:r>
              <w:rPr>
                <w:sz w:val="17"/>
              </w:rPr>
              <w:t xml:space="preserve">Clé d’idempotence et preuve</w:t>
            </w:r>
          </w:p>
        </w:tc>
        <w:tc>
          <w:tcPr/>
          <w:p>
            <w:pPr>
              <w:pStyle w:val="Compact"/>
              <w:spacing w:after="20" w:before="20" w:line="240" w:lineRule="auto"/>
              <w:jc w:val="left"/>
            </w:pPr>
            <w:r>
              <w:rPr>
                <w:sz w:val="17"/>
              </w:rPr>
              <w:t xml:space="preserve">POST /v1/comptes</w:t>
            </w:r>
          </w:p>
        </w:tc>
      </w:tr>
      <w:tr>
        <w:tc>
          <w:tcPr>
            <w:shd w:val="clear" w:color="auto" w:fill="F2F9F8"/>
          </w:tcPr>
          <w:p>
            <w:pPr>
              <w:pStyle w:val="Compact"/>
              <w:spacing w:after="20" w:before="20" w:line="240" w:lineRule="auto"/>
              <w:jc w:val="left"/>
            </w:pPr>
            <w:r>
              <w:rPr>
                <w:sz w:val="17"/>
              </w:rPr>
              <w:t xml:space="preserve">POST /v1/objects</w:t>
            </w:r>
          </w:p>
        </w:tc>
        <w:tc>
          <w:tcPr>
            <w:shd w:val="clear" w:color="auto" w:fill="F2F9F8"/>
          </w:tcPr>
          <w:p>
            <w:pPr>
              <w:pStyle w:val="Compact"/>
              <w:spacing w:after="20" w:before="20" w:line="240" w:lineRule="auto"/>
              <w:jc w:val="left"/>
            </w:pPr>
            <w:r>
              <w:rPr>
                <w:sz w:val="17"/>
              </w:rPr>
              <w:t xml:space="preserve">Créer un objet</w:t>
            </w:r>
          </w:p>
        </w:tc>
        <w:tc>
          <w:tcPr>
            <w:shd w:val="clear" w:color="auto" w:fill="F2F9F8"/>
          </w:tcPr>
          <w:p>
            <w:pPr>
              <w:pStyle w:val="Compact"/>
              <w:spacing w:after="20" w:before="20" w:line="240" w:lineRule="auto"/>
              <w:jc w:val="left"/>
            </w:pPr>
            <w:r>
              <w:rPr>
                <w:sz w:val="17"/>
              </w:rPr>
              <w:t xml:space="preserve">Provenance et géométrie</w:t>
            </w:r>
          </w:p>
        </w:tc>
        <w:tc>
          <w:tcPr>
            <w:shd w:val="clear" w:color="auto" w:fill="F2F9F8"/>
          </w:tcPr>
          <w:p>
            <w:pPr>
              <w:pStyle w:val="Compact"/>
              <w:spacing w:after="20" w:before="20" w:line="240" w:lineRule="auto"/>
              <w:jc w:val="left"/>
            </w:pPr>
            <w:r>
              <w:rPr>
                <w:sz w:val="17"/>
              </w:rPr>
              <w:t xml:space="preserve">POST /v1/objets</w:t>
            </w:r>
          </w:p>
        </w:tc>
      </w:tr>
      <w:tr>
        <w:tc>
          <w:tcPr/>
          <w:p>
            <w:pPr>
              <w:pStyle w:val="Compact"/>
              <w:spacing w:after="20" w:before="20" w:line="240" w:lineRule="auto"/>
              <w:jc w:val="left"/>
            </w:pPr>
            <w:r>
              <w:rPr>
                <w:sz w:val="17"/>
              </w:rPr>
              <w:t xml:space="preserve">POST /v1/relationships</w:t>
            </w:r>
          </w:p>
        </w:tc>
        <w:tc>
          <w:tcPr/>
          <w:p>
            <w:pPr>
              <w:pStyle w:val="Compact"/>
              <w:spacing w:after="20" w:before="20" w:line="240" w:lineRule="auto"/>
              <w:jc w:val="left"/>
            </w:pPr>
            <w:r>
              <w:rPr>
                <w:sz w:val="17"/>
              </w:rPr>
              <w:t xml:space="preserve">Rattacher contribuable et objet</w:t>
            </w:r>
          </w:p>
        </w:tc>
        <w:tc>
          <w:tcPr/>
          <w:p>
            <w:pPr>
              <w:pStyle w:val="Compact"/>
              <w:spacing w:after="20" w:before="20" w:line="240" w:lineRule="auto"/>
              <w:jc w:val="left"/>
            </w:pPr>
            <w:r>
              <w:rPr>
                <w:sz w:val="17"/>
              </w:rPr>
              <w:t xml:space="preserve">Pièces et validation</w:t>
            </w:r>
          </w:p>
        </w:tc>
        <w:tc>
          <w:tcPr/>
          <w:p>
            <w:pPr>
              <w:pStyle w:val="Compact"/>
              <w:spacing w:after="20" w:before="20" w:line="240" w:lineRule="auto"/>
              <w:jc w:val="left"/>
            </w:pPr>
            <w:r>
              <w:rPr>
                <w:sz w:val="17"/>
              </w:rPr>
              <w:t xml:space="preserve">Nouvelle route</w:t>
            </w:r>
          </w:p>
        </w:tc>
      </w:tr>
      <w:tr>
        <w:tc>
          <w:tcPr>
            <w:shd w:val="clear" w:color="auto" w:fill="F2F9F8"/>
          </w:tcPr>
          <w:p>
            <w:pPr>
              <w:pStyle w:val="Compact"/>
              <w:spacing w:after="20" w:before="20" w:line="240" w:lineRule="auto"/>
              <w:jc w:val="left"/>
            </w:pPr>
            <w:r>
              <w:rPr>
                <w:sz w:val="17"/>
              </w:rPr>
              <w:t xml:space="preserve">GET /v1/obligations</w:t>
            </w:r>
          </w:p>
        </w:tc>
        <w:tc>
          <w:tcPr>
            <w:shd w:val="clear" w:color="auto" w:fill="F2F9F8"/>
          </w:tcPr>
          <w:p>
            <w:pPr>
              <w:pStyle w:val="Compact"/>
              <w:spacing w:after="20" w:before="20" w:line="240" w:lineRule="auto"/>
              <w:jc w:val="left"/>
            </w:pPr>
            <w:r>
              <w:rPr>
                <w:sz w:val="17"/>
              </w:rPr>
              <w:t xml:space="preserve">Lister les obligations autorisées</w:t>
            </w:r>
          </w:p>
        </w:tc>
        <w:tc>
          <w:tcPr>
            <w:shd w:val="clear" w:color="auto" w:fill="F2F9F8"/>
          </w:tcPr>
          <w:p>
            <w:pPr>
              <w:pStyle w:val="Compact"/>
              <w:spacing w:after="20" w:before="20" w:line="240" w:lineRule="auto"/>
              <w:jc w:val="left"/>
            </w:pPr>
            <w:r>
              <w:rPr>
                <w:sz w:val="17"/>
              </w:rPr>
              <w:t xml:space="preserve">Filtrage par identité et périmètre</w:t>
            </w:r>
          </w:p>
        </w:tc>
        <w:tc>
          <w:tcPr>
            <w:shd w:val="clear" w:color="auto" w:fill="F2F9F8"/>
          </w:tcPr>
          <w:p>
            <w:pPr>
              <w:pStyle w:val="Compact"/>
              <w:spacing w:after="20" w:before="20" w:line="240" w:lineRule="auto"/>
              <w:jc w:val="left"/>
            </w:pPr>
            <w:r>
              <w:rPr>
                <w:sz w:val="17"/>
              </w:rPr>
              <w:t xml:space="preserve">GET /v1/objets/{id}/obligations</w:t>
            </w:r>
          </w:p>
        </w:tc>
      </w:tr>
      <w:tr>
        <w:tc>
          <w:tcPr/>
          <w:p>
            <w:pPr>
              <w:pStyle w:val="Compact"/>
              <w:spacing w:after="20" w:before="20" w:line="240" w:lineRule="auto"/>
              <w:jc w:val="left"/>
            </w:pPr>
            <w:r>
              <w:rPr>
                <w:sz w:val="17"/>
              </w:rPr>
              <w:t xml:space="preserve">POST /v1/declarations</w:t>
            </w:r>
          </w:p>
        </w:tc>
        <w:tc>
          <w:tcPr/>
          <w:p>
            <w:pPr>
              <w:pStyle w:val="Compact"/>
              <w:spacing w:after="20" w:before="20" w:line="240" w:lineRule="auto"/>
              <w:jc w:val="left"/>
            </w:pPr>
            <w:r>
              <w:rPr>
                <w:sz w:val="17"/>
              </w:rPr>
              <w:t xml:space="preserve">Soumettre une déclaration</w:t>
            </w:r>
          </w:p>
        </w:tc>
        <w:tc>
          <w:tcPr/>
          <w:p>
            <w:pPr>
              <w:pStyle w:val="Compact"/>
              <w:spacing w:after="20" w:before="20" w:line="240" w:lineRule="auto"/>
              <w:jc w:val="left"/>
            </w:pPr>
            <w:r>
              <w:rPr>
                <w:sz w:val="17"/>
              </w:rPr>
              <w:t xml:space="preserve">Version, signature, verrouillage</w:t>
            </w:r>
          </w:p>
        </w:tc>
        <w:tc>
          <w:tcPr/>
          <w:p>
            <w:pPr>
              <w:pStyle w:val="Compact"/>
              <w:spacing w:after="20" w:before="20" w:line="240" w:lineRule="auto"/>
              <w:jc w:val="left"/>
            </w:pPr>
            <w:r>
              <w:rPr>
                <w:sz w:val="17"/>
              </w:rPr>
              <w:t xml:space="preserve">Nouvelle route</w:t>
            </w:r>
          </w:p>
        </w:tc>
      </w:tr>
      <w:tr>
        <w:tc>
          <w:tcPr>
            <w:shd w:val="clear" w:color="auto" w:fill="F2F9F8"/>
          </w:tcPr>
          <w:p>
            <w:pPr>
              <w:pStyle w:val="Compact"/>
              <w:spacing w:after="20" w:before="20" w:line="240" w:lineRule="auto"/>
              <w:jc w:val="left"/>
            </w:pPr>
            <w:r>
              <w:rPr>
                <w:sz w:val="17"/>
              </w:rPr>
              <w:t xml:space="preserve">POST /v1/payment-orders</w:t>
            </w:r>
          </w:p>
        </w:tc>
        <w:tc>
          <w:tcPr>
            <w:shd w:val="clear" w:color="auto" w:fill="F2F9F8"/>
          </w:tcPr>
          <w:p>
            <w:pPr>
              <w:pStyle w:val="Compact"/>
              <w:spacing w:after="20" w:before="20" w:line="240" w:lineRule="auto"/>
              <w:jc w:val="left"/>
            </w:pPr>
            <w:r>
              <w:rPr>
                <w:sz w:val="17"/>
              </w:rPr>
              <w:t xml:space="preserve">Créer un ordre de paiement</w:t>
            </w:r>
          </w:p>
        </w:tc>
        <w:tc>
          <w:tcPr>
            <w:shd w:val="clear" w:color="auto" w:fill="F2F9F8"/>
          </w:tcPr>
          <w:p>
            <w:pPr>
              <w:pStyle w:val="Compact"/>
              <w:spacing w:after="20" w:before="20" w:line="240" w:lineRule="auto"/>
              <w:jc w:val="left"/>
            </w:pPr>
            <w:r>
              <w:rPr>
                <w:sz w:val="17"/>
              </w:rPr>
              <w:t xml:space="preserve">Bénéficiaire verrouillé</w:t>
            </w:r>
          </w:p>
        </w:tc>
        <w:tc>
          <w:tcPr>
            <w:shd w:val="clear" w:color="auto" w:fill="F2F9F8"/>
          </w:tcPr>
          <w:p>
            <w:pPr>
              <w:pStyle w:val="Compact"/>
              <w:spacing w:after="20" w:before="20" w:line="240" w:lineRule="auto"/>
              <w:jc w:val="left"/>
            </w:pPr>
            <w:r>
              <w:rPr>
                <w:sz w:val="17"/>
              </w:rPr>
              <w:t xml:space="preserve">POST /v1/paiements/ordres</w:t>
            </w:r>
          </w:p>
        </w:tc>
      </w:tr>
      <w:tr>
        <w:tc>
          <w:tcPr/>
          <w:p>
            <w:pPr>
              <w:pStyle w:val="Compact"/>
              <w:spacing w:after="20" w:before="20" w:line="240" w:lineRule="auto"/>
              <w:jc w:val="left"/>
            </w:pPr>
            <w:r>
              <w:rPr>
                <w:sz w:val="17"/>
              </w:rPr>
              <w:t xml:space="preserve">POST /v1/payment-events</w:t>
            </w:r>
          </w:p>
        </w:tc>
        <w:tc>
          <w:tcPr/>
          <w:p>
            <w:pPr>
              <w:pStyle w:val="Compact"/>
              <w:spacing w:after="20" w:before="20" w:line="240" w:lineRule="auto"/>
              <w:jc w:val="left"/>
            </w:pPr>
            <w:r>
              <w:rPr>
                <w:sz w:val="17"/>
              </w:rPr>
              <w:t xml:space="preserve">Recevoir un rappel signé</w:t>
            </w:r>
          </w:p>
        </w:tc>
        <w:tc>
          <w:tcPr/>
          <w:p>
            <w:pPr>
              <w:pStyle w:val="Compact"/>
              <w:spacing w:after="20" w:before="20" w:line="240" w:lineRule="auto"/>
              <w:jc w:val="left"/>
            </w:pPr>
            <w:r>
              <w:rPr>
                <w:sz w:val="17"/>
              </w:rPr>
              <w:t xml:space="preserve">Anti-rejeu, idempotence</w:t>
            </w:r>
          </w:p>
        </w:tc>
        <w:tc>
          <w:tcPr/>
          <w:p>
            <w:pPr>
              <w:pStyle w:val="Compact"/>
              <w:spacing w:after="20" w:before="20" w:line="240" w:lineRule="auto"/>
              <w:jc w:val="left"/>
            </w:pPr>
            <w:r>
              <w:rPr>
                <w:sz w:val="17"/>
              </w:rPr>
              <w:t xml:space="preserve">POST /v1/paiements/callback</w:t>
            </w:r>
          </w:p>
        </w:tc>
      </w:tr>
      <w:tr>
        <w:tc>
          <w:tcPr>
            <w:shd w:val="clear" w:color="auto" w:fill="F2F9F8"/>
          </w:tcPr>
          <w:p>
            <w:pPr>
              <w:pStyle w:val="Compact"/>
              <w:spacing w:after="20" w:before="20" w:line="240" w:lineRule="auto"/>
              <w:jc w:val="left"/>
            </w:pPr>
            <w:r>
              <w:rPr>
                <w:sz w:val="17"/>
              </w:rPr>
              <w:t xml:space="preserve">POST /v1/reconciliations</w:t>
            </w:r>
          </w:p>
        </w:tc>
        <w:tc>
          <w:tcPr>
            <w:shd w:val="clear" w:color="auto" w:fill="F2F9F8"/>
          </w:tcPr>
          <w:p>
            <w:pPr>
              <w:pStyle w:val="Compact"/>
              <w:spacing w:after="20" w:before="20" w:line="240" w:lineRule="auto"/>
              <w:jc w:val="left"/>
            </w:pPr>
            <w:r>
              <w:rPr>
                <w:sz w:val="17"/>
              </w:rPr>
              <w:t xml:space="preserve">Rapprocher</w:t>
            </w:r>
          </w:p>
        </w:tc>
        <w:tc>
          <w:tcPr>
            <w:shd w:val="clear" w:color="auto" w:fill="F2F9F8"/>
          </w:tcPr>
          <w:p>
            <w:pPr>
              <w:pStyle w:val="Compact"/>
              <w:spacing w:after="20" w:before="20" w:line="240" w:lineRule="auto"/>
              <w:jc w:val="left"/>
            </w:pPr>
            <w:r>
              <w:rPr>
                <w:sz w:val="17"/>
              </w:rPr>
              <w:t xml:space="preserve">Règles à trois voies</w:t>
            </w:r>
          </w:p>
        </w:tc>
        <w:tc>
          <w:tcPr>
            <w:shd w:val="clear" w:color="auto" w:fill="F2F9F8"/>
          </w:tcPr>
          <w:p>
            <w:pPr>
              <w:pStyle w:val="Compact"/>
              <w:spacing w:after="20" w:before="20" w:line="240" w:lineRule="auto"/>
              <w:jc w:val="left"/>
            </w:pPr>
            <w:r>
              <w:rPr>
                <w:sz w:val="17"/>
              </w:rPr>
              <w:t xml:space="preserve">POST /v1/reconciliations/jobs</w:t>
            </w:r>
          </w:p>
        </w:tc>
      </w:tr>
      <w:tr>
        <w:tc>
          <w:tcPr/>
          <w:p>
            <w:pPr>
              <w:pStyle w:val="Compact"/>
              <w:spacing w:after="20" w:before="20" w:line="240" w:lineRule="auto"/>
              <w:jc w:val="left"/>
            </w:pPr>
            <w:r>
              <w:rPr>
                <w:sz w:val="17"/>
              </w:rPr>
              <w:t xml:space="preserve">GET /v1/receipts/{id}/verify</w:t>
            </w:r>
          </w:p>
        </w:tc>
        <w:tc>
          <w:tcPr/>
          <w:p>
            <w:pPr>
              <w:pStyle w:val="Compact"/>
              <w:spacing w:after="20" w:before="20" w:line="240" w:lineRule="auto"/>
              <w:jc w:val="left"/>
            </w:pPr>
            <w:r>
              <w:rPr>
                <w:sz w:val="17"/>
              </w:rPr>
              <w:t xml:space="preserve">Vérifier un statut minimal</w:t>
            </w:r>
          </w:p>
        </w:tc>
        <w:tc>
          <w:tcPr/>
          <w:p>
            <w:pPr>
              <w:pStyle w:val="Compact"/>
              <w:spacing w:after="20" w:before="20" w:line="240" w:lineRule="auto"/>
              <w:jc w:val="left"/>
            </w:pPr>
            <w:r>
              <w:rPr>
                <w:sz w:val="17"/>
              </w:rPr>
              <w:t xml:space="preserve">Aucune donnée personnelle excédentaire</w:t>
            </w:r>
          </w:p>
        </w:tc>
        <w:tc>
          <w:tcPr/>
          <w:p>
            <w:pPr>
              <w:pStyle w:val="Compact"/>
              <w:spacing w:after="20" w:before="20" w:line="240" w:lineRule="auto"/>
              <w:jc w:val="left"/>
            </w:pPr>
            <w:r>
              <w:rPr>
                <w:sz w:val="17"/>
              </w:rPr>
              <w:t xml:space="preserve">GET /v1/quittances/{ref}/verification</w:t>
            </w:r>
          </w:p>
        </w:tc>
      </w:tr>
      <w:tr>
        <w:tc>
          <w:tcPr>
            <w:shd w:val="clear" w:color="auto" w:fill="F2F9F8"/>
          </w:tcPr>
          <w:p>
            <w:pPr>
              <w:pStyle w:val="Compact"/>
              <w:spacing w:after="20" w:before="20" w:line="240" w:lineRule="auto"/>
              <w:jc w:val="left"/>
            </w:pPr>
            <w:r>
              <w:rPr>
                <w:sz w:val="17"/>
              </w:rPr>
              <w:t xml:space="preserve">POST /v1/appeals</w:t>
            </w:r>
          </w:p>
        </w:tc>
        <w:tc>
          <w:tcPr>
            <w:shd w:val="clear" w:color="auto" w:fill="F2F9F8"/>
          </w:tcPr>
          <w:p>
            <w:pPr>
              <w:pStyle w:val="Compact"/>
              <w:spacing w:after="20" w:before="20" w:line="240" w:lineRule="auto"/>
              <w:jc w:val="left"/>
            </w:pPr>
            <w:r>
              <w:rPr>
                <w:sz w:val="17"/>
              </w:rPr>
              <w:t xml:space="preserve">Introduire un recours</w:t>
            </w:r>
          </w:p>
        </w:tc>
        <w:tc>
          <w:tcPr>
            <w:shd w:val="clear" w:color="auto" w:fill="F2F9F8"/>
          </w:tcPr>
          <w:p>
            <w:pPr>
              <w:pStyle w:val="Compact"/>
              <w:spacing w:after="20" w:before="20" w:line="240" w:lineRule="auto"/>
              <w:jc w:val="left"/>
            </w:pPr>
            <w:r>
              <w:rPr>
                <w:sz w:val="17"/>
              </w:rPr>
              <w:t xml:space="preserve">Accusé horodaté</w:t>
            </w:r>
          </w:p>
        </w:tc>
        <w:tc>
          <w:tcPr>
            <w:shd w:val="clear" w:color="auto" w:fill="F2F9F8"/>
          </w:tcPr>
          <w:p>
            <w:pPr>
              <w:pStyle w:val="Compact"/>
              <w:spacing w:after="20" w:before="20" w:line="240" w:lineRule="auto"/>
              <w:jc w:val="left"/>
            </w:pPr>
            <w:r>
              <w:rPr>
                <w:sz w:val="17"/>
              </w:rPr>
              <w:t xml:space="preserve">POST /v1/recours</w:t>
            </w:r>
          </w:p>
        </w:tc>
      </w:tr>
      <w:tr>
        <w:tc>
          <w:tcPr/>
          <w:p>
            <w:pPr>
              <w:pStyle w:val="Compact"/>
              <w:spacing w:after="20" w:before="20" w:line="240" w:lineRule="auto"/>
              <w:jc w:val="left"/>
            </w:pPr>
            <w:r>
              <w:rPr>
                <w:sz w:val="17"/>
              </w:rPr>
              <w:t xml:space="preserve">POST /v1/field/sync</w:t>
            </w:r>
          </w:p>
        </w:tc>
        <w:tc>
          <w:tcPr/>
          <w:p>
            <w:pPr>
              <w:pStyle w:val="Compact"/>
              <w:spacing w:after="20" w:before="20" w:line="240" w:lineRule="auto"/>
              <w:jc w:val="left"/>
            </w:pPr>
            <w:r>
              <w:rPr>
                <w:sz w:val="17"/>
              </w:rPr>
              <w:t xml:space="preserve">Synchroniser une mission hors ligne</w:t>
            </w:r>
          </w:p>
        </w:tc>
        <w:tc>
          <w:tcPr/>
          <w:p>
            <w:pPr>
              <w:pStyle w:val="Compact"/>
              <w:spacing w:after="20" w:before="20" w:line="240" w:lineRule="auto"/>
              <w:jc w:val="left"/>
            </w:pPr>
            <w:r>
              <w:rPr>
                <w:sz w:val="17"/>
              </w:rPr>
              <w:t xml:space="preserve">Conflits et appareil attesté</w:t>
            </w:r>
          </w:p>
        </w:tc>
        <w:tc>
          <w:tcPr/>
          <w:p>
            <w:pPr>
              <w:pStyle w:val="Compact"/>
              <w:spacing w:after="20" w:before="20" w:line="240" w:lineRule="auto"/>
              <w:jc w:val="left"/>
            </w:pPr>
            <w:r>
              <w:rPr>
                <w:sz w:val="17"/>
              </w:rPr>
              <w:t xml:space="preserve">POST /v1/missions/synchronisation</w:t>
            </w:r>
          </w:p>
        </w:tc>
      </w:tr>
    </w:tbl>
    <w:bookmarkEnd w:id="256"/>
    <w:bookmarkEnd w:id="257"/>
    <w:bookmarkStart w:id="259" w:name="architecture-de-sécurité"/>
    <w:p>
      <w:pPr>
        <w:pStyle w:val="Heading1"/>
      </w:pPr>
      <w:r>
        <w:t xml:space="preserve">31. Architecture de sécurité</w:t>
      </w:r>
    </w:p>
    <w:p>
      <w:pPr>
        <w:pStyle w:val="FirstParagraph"/>
      </w:pPr>
      <w:r>
        <w:t xml:space="preserve">Le modèle est « zéro confiance » : aucun réseau, aucun appareil et aucun</w:t>
      </w:r>
      <w:r>
        <w:t xml:space="preserve"> </w:t>
      </w:r>
      <w:r>
        <w:t xml:space="preserve">compte n'est présumé fiable. Les contrôles suivants sont exigés dès la</w:t>
      </w:r>
      <w:r>
        <w:t xml:space="preserve"> </w:t>
      </w:r>
      <w:r>
        <w:t xml:space="preserve">première mise en production.</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542"/>
        <w:gridCol w:w="6171"/>
      </w:tblGrid>
      <w:tr>
        <w:trPr>
          <w:tblHeader w:val="true"/>
          <w:tblHeader/>
        </w:trPr>
        <w:tc>
          <w:tcPr>
            <w:shd w:val="clear" w:color="auto" w:fill="1BA996"/>
          </w:tcPr>
          <w:p>
            <w:pPr>
              <w:pStyle w:val="Compact"/>
              <w:spacing w:after="20" w:before="20" w:line="240" w:lineRule="auto"/>
              <w:jc w:val="left"/>
            </w:pPr>
            <w:r>
              <w:rPr>
                <w:b/>
                <w:bCs/>
                <w:color w:val="FFFFFF"/>
                <w:sz w:val="17"/>
              </w:rPr>
              <w:t xml:space="preserve">Domaine</w:t>
            </w:r>
          </w:p>
        </w:tc>
        <w:tc>
          <w:tcPr>
            <w:shd w:val="clear" w:color="auto" w:fill="1BA996"/>
          </w:tcPr>
          <w:p>
            <w:pPr>
              <w:pStyle w:val="Compact"/>
              <w:spacing w:after="20" w:before="20" w:line="240" w:lineRule="auto"/>
              <w:jc w:val="left"/>
            </w:pPr>
            <w:r>
              <w:rPr>
                <w:b/>
                <w:bCs/>
                <w:color w:val="FFFFFF"/>
                <w:sz w:val="17"/>
              </w:rPr>
              <w:t xml:space="preserve">Contrôles</w:t>
            </w:r>
          </w:p>
        </w:tc>
      </w:tr>
      <w:tr>
        <w:tc>
          <w:tcPr/>
          <w:p>
            <w:pPr>
              <w:pStyle w:val="Compact"/>
              <w:spacing w:after="20" w:before="20" w:line="240" w:lineRule="auto"/>
              <w:jc w:val="left"/>
            </w:pPr>
            <w:r>
              <w:rPr>
                <w:sz w:val="17"/>
              </w:rPr>
              <w:t xml:space="preserve">Identité</w:t>
            </w:r>
          </w:p>
        </w:tc>
        <w:tc>
          <w:tcPr/>
          <w:p>
            <w:pPr>
              <w:pStyle w:val="Compact"/>
              <w:spacing w:after="20" w:before="20" w:line="240" w:lineRule="auto"/>
              <w:jc w:val="left"/>
            </w:pPr>
            <w:r>
              <w:rPr>
                <w:sz w:val="17"/>
              </w:rPr>
              <w:t xml:space="preserve">Authentification multifacteur pour tout compte interne,</w:t>
            </w:r>
            <w:r>
              <w:rPr>
                <w:sz w:val="17"/>
              </w:rPr>
              <w:t xml:space="preserve"> </w:t>
            </w:r>
            <w:r>
              <w:rPr>
                <w:sz w:val="17"/>
              </w:rPr>
              <w:t xml:space="preserve">clés d'accès résistantes au hameçonnage pour les rôles</w:t>
            </w:r>
            <w:r>
              <w:rPr>
                <w:sz w:val="17"/>
              </w:rPr>
              <w:t xml:space="preserve"> </w:t>
            </w:r>
            <w:r>
              <w:rPr>
                <w:sz w:val="17"/>
              </w:rPr>
              <w:t xml:space="preserve">sensibles, liaison appareil–utilisateur, sessions courtes</w:t>
            </w:r>
          </w:p>
        </w:tc>
      </w:tr>
      <w:tr>
        <w:tc>
          <w:tcPr>
            <w:shd w:val="clear" w:color="auto" w:fill="F2F9F8"/>
          </w:tcPr>
          <w:p>
            <w:pPr>
              <w:pStyle w:val="Compact"/>
              <w:spacing w:after="20" w:before="20" w:line="240" w:lineRule="auto"/>
              <w:jc w:val="left"/>
            </w:pPr>
            <w:r>
              <w:rPr>
                <w:sz w:val="17"/>
              </w:rPr>
              <w:t xml:space="preserve">Autorisation</w:t>
            </w:r>
          </w:p>
        </w:tc>
        <w:tc>
          <w:tcPr>
            <w:shd w:val="clear" w:color="auto" w:fill="F2F9F8"/>
          </w:tcPr>
          <w:p>
            <w:pPr>
              <w:pStyle w:val="Compact"/>
              <w:spacing w:after="20" w:before="20" w:line="240" w:lineRule="auto"/>
              <w:jc w:val="left"/>
            </w:pPr>
            <w:r>
              <w:rPr>
                <w:sz w:val="17"/>
              </w:rPr>
              <w:t xml:space="preserve">Rôles et attributs, moindre privilège, accès juste-à-temps,</w:t>
            </w:r>
            <w:r>
              <w:rPr>
                <w:sz w:val="17"/>
              </w:rPr>
              <w:t xml:space="preserve"> </w:t>
            </w:r>
            <w:r>
              <w:rPr>
                <w:sz w:val="17"/>
              </w:rPr>
              <w:t xml:space="preserve">revues périodiques, détection de conflits</w:t>
            </w:r>
          </w:p>
        </w:tc>
      </w:tr>
      <w:tr>
        <w:tc>
          <w:tcPr/>
          <w:p>
            <w:pPr>
              <w:pStyle w:val="Compact"/>
              <w:spacing w:after="20" w:before="20" w:line="240" w:lineRule="auto"/>
              <w:jc w:val="left"/>
            </w:pPr>
            <w:r>
              <w:rPr>
                <w:sz w:val="17"/>
              </w:rPr>
              <w:t xml:space="preserve">Données</w:t>
            </w:r>
          </w:p>
        </w:tc>
        <w:tc>
          <w:tcPr/>
          <w:p>
            <w:pPr>
              <w:pStyle w:val="Compact"/>
              <w:spacing w:after="20" w:before="20" w:line="240" w:lineRule="auto"/>
              <w:jc w:val="left"/>
            </w:pPr>
            <w:r>
              <w:rPr>
                <w:sz w:val="17"/>
              </w:rPr>
              <w:t xml:space="preserve">Chiffrement en transit et au repos, gestion des clés</w:t>
            </w:r>
            <w:r>
              <w:rPr>
                <w:sz w:val="17"/>
              </w:rPr>
              <w:t xml:space="preserve"> </w:t>
            </w:r>
            <w:r>
              <w:rPr>
                <w:sz w:val="17"/>
              </w:rPr>
              <w:t xml:space="preserve">protégée par matériel, cloisonnement par périmètre,</w:t>
            </w:r>
            <w:r>
              <w:rPr>
                <w:sz w:val="17"/>
              </w:rPr>
              <w:t xml:space="preserve"> </w:t>
            </w:r>
            <w:r>
              <w:rPr>
                <w:sz w:val="17"/>
              </w:rPr>
              <w:t xml:space="preserve">masquage des données sensibles</w:t>
            </w:r>
          </w:p>
        </w:tc>
      </w:tr>
      <w:tr>
        <w:tc>
          <w:tcPr>
            <w:shd w:val="clear" w:color="auto" w:fill="F2F9F8"/>
          </w:tcPr>
          <w:p>
            <w:pPr>
              <w:pStyle w:val="Compact"/>
              <w:spacing w:after="20" w:before="20" w:line="240" w:lineRule="auto"/>
              <w:jc w:val="left"/>
            </w:pPr>
            <w:r>
              <w:rPr>
                <w:sz w:val="17"/>
              </w:rPr>
              <w:t xml:space="preserve">Applications</w:t>
            </w:r>
          </w:p>
        </w:tc>
        <w:tc>
          <w:tcPr>
            <w:shd w:val="clear" w:color="auto" w:fill="F2F9F8"/>
          </w:tcPr>
          <w:p>
            <w:pPr>
              <w:pStyle w:val="Compact"/>
              <w:spacing w:after="20" w:before="20" w:line="240" w:lineRule="auto"/>
              <w:jc w:val="left"/>
            </w:pPr>
            <w:r>
              <w:rPr>
                <w:sz w:val="17"/>
              </w:rPr>
              <w:t xml:space="preserve">Développement sécurisé, revue de code, analyse de</w:t>
            </w:r>
            <w:r>
              <w:rPr>
                <w:sz w:val="17"/>
              </w:rPr>
              <w:t xml:space="preserve"> </w:t>
            </w:r>
            <w:r>
              <w:rPr>
                <w:sz w:val="17"/>
              </w:rPr>
              <w:t xml:space="preserve">dépendances, tests d'intrusion avant chaque mise en</w:t>
            </w:r>
            <w:r>
              <w:rPr>
                <w:sz w:val="17"/>
              </w:rPr>
              <w:t xml:space="preserve"> </w:t>
            </w:r>
            <w:r>
              <w:rPr>
                <w:sz w:val="17"/>
              </w:rPr>
              <w:t xml:space="preserve">production majeure</w:t>
            </w:r>
          </w:p>
        </w:tc>
      </w:tr>
      <w:tr>
        <w:tc>
          <w:tcPr/>
          <w:p>
            <w:pPr>
              <w:pStyle w:val="Compact"/>
              <w:spacing w:after="20" w:before="20" w:line="240" w:lineRule="auto"/>
              <w:jc w:val="left"/>
            </w:pPr>
            <w:r>
              <w:rPr>
                <w:sz w:val="17"/>
              </w:rPr>
              <w:t xml:space="preserve">Réseau</w:t>
            </w:r>
          </w:p>
        </w:tc>
        <w:tc>
          <w:tcPr/>
          <w:p>
            <w:pPr>
              <w:pStyle w:val="Compact"/>
              <w:spacing w:after="20" w:before="20" w:line="240" w:lineRule="auto"/>
              <w:jc w:val="left"/>
            </w:pPr>
            <w:r>
              <w:rPr>
                <w:sz w:val="17"/>
              </w:rPr>
              <w:t xml:space="preserve">Segmentation, pare-feu applicatif, protection anti-déni de</w:t>
            </w:r>
            <w:r>
              <w:rPr>
                <w:sz w:val="17"/>
              </w:rPr>
              <w:t xml:space="preserve"> </w:t>
            </w:r>
            <w:r>
              <w:rPr>
                <w:sz w:val="17"/>
              </w:rPr>
              <w:t xml:space="preserve">service, filtrage des API partenaires</w:t>
            </w:r>
          </w:p>
        </w:tc>
      </w:tr>
      <w:tr>
        <w:tc>
          <w:tcPr>
            <w:shd w:val="clear" w:color="auto" w:fill="F2F9F8"/>
          </w:tcPr>
          <w:p>
            <w:pPr>
              <w:pStyle w:val="Compact"/>
              <w:spacing w:after="20" w:before="20" w:line="240" w:lineRule="auto"/>
              <w:jc w:val="left"/>
            </w:pPr>
            <w:r>
              <w:rPr>
                <w:sz w:val="17"/>
              </w:rPr>
              <w:t xml:space="preserve">Détection</w:t>
            </w:r>
          </w:p>
        </w:tc>
        <w:tc>
          <w:tcPr>
            <w:shd w:val="clear" w:color="auto" w:fill="F2F9F8"/>
          </w:tcPr>
          <w:p>
            <w:pPr>
              <w:pStyle w:val="Compact"/>
              <w:spacing w:after="20" w:before="20" w:line="240" w:lineRule="auto"/>
              <w:jc w:val="left"/>
            </w:pPr>
            <w:r>
              <w:rPr>
                <w:sz w:val="17"/>
              </w:rPr>
              <w:t xml:space="preserve">Supervision de sécurité centralisée, corrélation</w:t>
            </w:r>
            <w:r>
              <w:rPr>
                <w:sz w:val="17"/>
              </w:rPr>
              <w:t xml:space="preserve"> </w:t>
            </w:r>
            <w:r>
              <w:rPr>
                <w:sz w:val="17"/>
              </w:rPr>
              <w:t xml:space="preserve">d'événements, alertes sur accès privilégiés, surveillance</w:t>
            </w:r>
            <w:r>
              <w:rPr>
                <w:sz w:val="17"/>
              </w:rPr>
              <w:t xml:space="preserve"> </w:t>
            </w:r>
            <w:r>
              <w:rPr>
                <w:sz w:val="17"/>
              </w:rPr>
              <w:t xml:space="preserve">des exportations massives</w:t>
            </w:r>
          </w:p>
        </w:tc>
      </w:tr>
      <w:tr>
        <w:tc>
          <w:tcPr/>
          <w:p>
            <w:pPr>
              <w:pStyle w:val="Compact"/>
              <w:spacing w:after="20" w:before="20" w:line="240" w:lineRule="auto"/>
              <w:jc w:val="left"/>
            </w:pPr>
            <w:r>
              <w:rPr>
                <w:sz w:val="17"/>
              </w:rPr>
              <w:t xml:space="preserve">Réaction</w:t>
            </w:r>
          </w:p>
        </w:tc>
        <w:tc>
          <w:tcPr/>
          <w:p>
            <w:pPr>
              <w:pStyle w:val="Compact"/>
              <w:spacing w:after="20" w:before="20" w:line="240" w:lineRule="auto"/>
              <w:jc w:val="left"/>
            </w:pPr>
            <w:r>
              <w:rPr>
                <w:sz w:val="17"/>
              </w:rPr>
              <w:t xml:space="preserve">Procédure d'incident, astreinte, communication de crise,</w:t>
            </w:r>
            <w:r>
              <w:rPr>
                <w:sz w:val="17"/>
              </w:rPr>
              <w:t xml:space="preserve"> </w:t>
            </w:r>
            <w:r>
              <w:rPr>
                <w:sz w:val="17"/>
              </w:rPr>
              <w:t xml:space="preserve">préparation à l'investigation numérique</w:t>
            </w:r>
          </w:p>
        </w:tc>
      </w:tr>
      <w:tr>
        <w:tc>
          <w:tcPr>
            <w:shd w:val="clear" w:color="auto" w:fill="F2F9F8"/>
          </w:tcPr>
          <w:p>
            <w:pPr>
              <w:pStyle w:val="Compact"/>
              <w:spacing w:after="20" w:before="20" w:line="240" w:lineRule="auto"/>
              <w:jc w:val="left"/>
            </w:pPr>
            <w:r>
              <w:rPr>
                <w:sz w:val="17"/>
              </w:rPr>
              <w:t xml:space="preserve">Continuité</w:t>
            </w:r>
          </w:p>
        </w:tc>
        <w:tc>
          <w:tcPr>
            <w:shd w:val="clear" w:color="auto" w:fill="F2F9F8"/>
          </w:tcPr>
          <w:p>
            <w:pPr>
              <w:pStyle w:val="Compact"/>
              <w:spacing w:after="20" w:before="20" w:line="240" w:lineRule="auto"/>
              <w:jc w:val="left"/>
            </w:pPr>
            <w:r>
              <w:rPr>
                <w:sz w:val="17"/>
              </w:rPr>
              <w:t xml:space="preserve">Sauvegardes immuables, restauration testée, plan de reprise</w:t>
            </w:r>
            <w:r>
              <w:rPr>
                <w:sz w:val="17"/>
              </w:rPr>
              <w:t xml:space="preserve"> </w:t>
            </w:r>
            <w:r>
              <w:rPr>
                <w:sz w:val="17"/>
              </w:rPr>
              <w:t xml:space="preserve">avec objectifs de temps et de perte de données définis</w:t>
            </w:r>
            <w:r>
              <w:rPr>
                <w:sz w:val="17"/>
              </w:rPr>
              <w:t xml:space="preserve"> </w:t>
            </w:r>
            <w:r>
              <w:rPr>
                <w:sz w:val="17"/>
              </w:rPr>
              <w:t xml:space="preserve">contractuellement</w:t>
            </w:r>
          </w:p>
        </w:tc>
      </w:tr>
    </w:tbl>
    <w:p>
      <w:pPr>
        <w:pStyle w:val="BodyText"/>
      </w:pPr>
      <w:r>
        <w:t xml:space="preserve">Exigences complémentaires : authentification multifacteur résistante au hameçonnage ; coffre de secrets, aucun secret dans le code ; gestion des clés KMS/HSM ; supervision SIEM et centre opérationnel de sécurité (SOC) ; détection et réponse sur les postes (EDR) ; gestion des terminaux mobiles (MDM) ; analyses SAST et DAST ; nomenclature logicielle (SBOM) ; tests d’intrusion ; délais contractuels de correction des vulnérabilités ; plan de reprise et de continuité (PRA/PCA) avec objectifs de délai (RTO) et de perte de données (RPO) définis, et exercices de restauration réguliers.</w:t>
      </w:r>
    </w:p>
    <w:bookmarkStart w:id="258" w:name="X8460374294c2269d55317df9e6ceb796f36a864"/>
    <w:p>
      <w:pPr>
        <w:pStyle w:val="Heading2"/>
      </w:pPr>
      <w:r>
        <w:t xml:space="preserve">31.1 Exigences non fonctionnelles complémentaires</w:t>
      </w:r>
    </w:p>
    <w:p>
      <w:pPr>
        <w:pStyle w:val="Compact"/>
        <w:numPr>
          <w:ilvl w:val="0"/>
          <w:numId w:val="1067"/>
        </w:numPr>
      </w:pPr>
      <w:r>
        <w:t xml:space="preserve">Toute opération d’écriture est idempotente ou dispose d’une clé de déduplication.</w:t>
      </w:r>
    </w:p>
    <w:p>
      <w:pPr>
        <w:pStyle w:val="Compact"/>
        <w:numPr>
          <w:ilvl w:val="0"/>
          <w:numId w:val="1067"/>
        </w:numPr>
      </w:pPr>
      <w:r>
        <w:t xml:space="preserve">Tout calcul financier est déterministe, reproductible et lié à une version de règle ; toute date financière utilise une source de temps fiable et conserve le fuseau horaire.</w:t>
      </w:r>
    </w:p>
    <w:p>
      <w:pPr>
        <w:pStyle w:val="Compact"/>
        <w:numPr>
          <w:ilvl w:val="0"/>
          <w:numId w:val="1067"/>
        </w:numPr>
      </w:pPr>
      <w:r>
        <w:t xml:space="preserve">Les montants utilisent des types décimaux ; aucun nombre flottant binaire.</w:t>
      </w:r>
    </w:p>
    <w:p>
      <w:pPr>
        <w:pStyle w:val="Compact"/>
        <w:numPr>
          <w:ilvl w:val="0"/>
          <w:numId w:val="1067"/>
        </w:numPr>
      </w:pPr>
      <w:r>
        <w:t xml:space="preserve">Les journaux applicatifs excluent les secrets et les données personnelles inutiles ; les exports sensibles sont filigranés, chiffrés et à durée d’expiration.</w:t>
      </w:r>
    </w:p>
    <w:p>
      <w:pPr>
        <w:pStyle w:val="Compact"/>
        <w:numPr>
          <w:ilvl w:val="0"/>
          <w:numId w:val="1067"/>
        </w:numPr>
      </w:pPr>
      <w:r>
        <w:t xml:space="preserve">Accessibilité, faible débit, petits écrans et appareils modestes font partie des critères d’acceptation ; l’USSD n’affiche jamais de donnée sensible complète ; les SMS sont minimaux et conçus contre l’hameçonnage.</w:t>
      </w:r>
    </w:p>
    <w:bookmarkEnd w:id="258"/>
    <w:bookmarkEnd w:id="259"/>
    <w:bookmarkStart w:id="260" w:name="gouvernance-des-données"/>
    <w:p>
      <w:pPr>
        <w:pStyle w:val="Heading1"/>
      </w:pPr>
      <w:r>
        <w:t xml:space="preserve">32. Gouvernance des données</w:t>
      </w:r>
    </w:p>
    <w:p>
      <w:pPr>
        <w:numPr>
          <w:ilvl w:val="0"/>
          <w:numId w:val="1068"/>
        </w:numPr>
      </w:pPr>
      <w:r>
        <w:t xml:space="preserve">Propriété : la Ville Province de Kinshasa est propriétaire de toutes</w:t>
      </w:r>
      <w:r>
        <w:t xml:space="preserve"> </w:t>
      </w:r>
      <w:r>
        <w:t xml:space="preserve">les données ; le prestataire n'en est que dépositaire.</w:t>
      </w:r>
    </w:p>
    <w:p>
      <w:pPr>
        <w:numPr>
          <w:ilvl w:val="0"/>
          <w:numId w:val="1068"/>
        </w:numPr>
      </w:pPr>
      <w:r>
        <w:t xml:space="preserve">Finalité : chaque traitement est rattaché à une finalité déclarée ;</w:t>
      </w:r>
      <w:r>
        <w:t xml:space="preserve"> </w:t>
      </w:r>
      <w:r>
        <w:t xml:space="preserve">toute consultation d'un dossier individuel est journalisée et</w:t>
      </w:r>
      <w:r>
        <w:t xml:space="preserve"> </w:t>
      </w:r>
      <w:r>
        <w:t xml:space="preserve">attribuable.</w:t>
      </w:r>
    </w:p>
    <w:p>
      <w:pPr>
        <w:numPr>
          <w:ilvl w:val="0"/>
          <w:numId w:val="1068"/>
        </w:numPr>
      </w:pPr>
      <w:r>
        <w:t xml:space="preserve">Minimisation : aucune donnée collectée sans usage administratif,</w:t>
      </w:r>
      <w:r>
        <w:t xml:space="preserve"> </w:t>
      </w:r>
      <w:r>
        <w:t xml:space="preserve">fiscal ou de service identifié.</w:t>
      </w:r>
    </w:p>
    <w:p>
      <w:pPr>
        <w:numPr>
          <w:ilvl w:val="0"/>
          <w:numId w:val="1068"/>
        </w:numPr>
      </w:pPr>
      <w:r>
        <w:t xml:space="preserve">Qualité : chaque donnée porte sa source (déclarée, constatée,</w:t>
      </w:r>
      <w:r>
        <w:t xml:space="preserve"> </w:t>
      </w:r>
      <w:r>
        <w:t xml:space="preserve">vérifiée, partenaire) et sa date ; la valeur probante suit la</w:t>
      </w:r>
      <w:r>
        <w:t xml:space="preserve"> </w:t>
      </w:r>
      <w:r>
        <w:t xml:space="preserve">source.</w:t>
      </w:r>
    </w:p>
    <w:p>
      <w:pPr>
        <w:numPr>
          <w:ilvl w:val="0"/>
          <w:numId w:val="1068"/>
        </w:numPr>
      </w:pPr>
      <w:r>
        <w:t xml:space="preserve">Conservation : durées définies par catégorie, purge automatique,</w:t>
      </w:r>
      <w:r>
        <w:t xml:space="preserve"> </w:t>
      </w:r>
      <w:r>
        <w:t xml:space="preserve">conservation longue limitée aux preuves d'audit.</w:t>
      </w:r>
    </w:p>
    <w:p>
      <w:pPr>
        <w:numPr>
          <w:ilvl w:val="0"/>
          <w:numId w:val="1068"/>
        </w:numPr>
      </w:pPr>
      <w:r>
        <w:t xml:space="preserve">Partage : chaque échange avec un tiers repose sur un protocole signé</w:t>
      </w:r>
      <w:r>
        <w:t xml:space="preserve"> </w:t>
      </w:r>
      <w:r>
        <w:t xml:space="preserve">précisant finalité, champs, fréquence, sécurité et durée.</w:t>
      </w:r>
    </w:p>
    <w:p>
      <w:pPr>
        <w:numPr>
          <w:ilvl w:val="0"/>
          <w:numId w:val="1068"/>
        </w:numPr>
      </w:pPr>
      <w:r>
        <w:t xml:space="preserve">Publication : aucune donnée fiscale individuelle publiée ; les</w:t>
      </w:r>
      <w:r>
        <w:t xml:space="preserve"> </w:t>
      </w:r>
      <w:r>
        <w:t xml:space="preserve">publications sont agrégées et testées contre la ré-identification.</w:t>
      </w:r>
    </w:p>
    <w:p>
      <w:pPr>
        <w:numPr>
          <w:ilvl w:val="0"/>
          <w:numId w:val="1068"/>
        </w:numPr>
      </w:pPr>
      <w:r>
        <w:t xml:space="preserve">Conformité : revue de conformité au Code du numérique avant toute</w:t>
      </w:r>
      <w:r>
        <w:t xml:space="preserve"> </w:t>
      </w:r>
      <w:r>
        <w:t xml:space="preserve">nouvelle catégorie de données ou tout nouveau partenaire.</w:t>
      </w:r>
    </w:p>
    <w:p>
      <w:pPr>
        <w:numPr>
          <w:ilvl w:val="0"/>
          <w:numId w:val="1068"/>
        </w:numPr>
      </w:pPr>
      <w:r>
        <w:t xml:space="preserve">Base légale et classification de chaque catégorie de données ; droits d’accès et de rectification ; protection des données dès la conception (privacy-by-design).</w:t>
      </w:r>
    </w:p>
    <w:p>
      <w:pPr>
        <w:numPr>
          <w:ilvl w:val="0"/>
          <w:numId w:val="1068"/>
        </w:numPr>
      </w:pPr>
      <w:r>
        <w:t xml:space="preserve">Les données fiscales, géographiques et d’identité sont traitées comme données sensibles à accès strict.</w:t>
      </w:r>
    </w:p>
    <w:bookmarkEnd w:id="260"/>
    <w:bookmarkStart w:id="261" w:name="hébergement-et-souveraineté"/>
    <w:p>
      <w:pPr>
        <w:pStyle w:val="Heading1"/>
      </w:pPr>
      <w:r>
        <w:t xml:space="preserve">33. Hébergement et souveraineté</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804"/>
        <w:gridCol w:w="1904"/>
        <w:gridCol w:w="2005"/>
        <w:gridCol w:w="2005"/>
      </w:tblGrid>
      <w:tr>
        <w:trPr>
          <w:tblHeader w:val="true"/>
          <w:tblHeader/>
        </w:trPr>
        <w:tc>
          <w:tcPr>
            <w:shd w:val="clear" w:color="auto" w:fill="1BA996"/>
          </w:tcPr>
          <w:p>
            <w:pPr>
              <w:pStyle w:val="Compact"/>
              <w:spacing w:after="20" w:before="20" w:line="240" w:lineRule="auto"/>
              <w:jc w:val="left"/>
            </w:pPr>
            <w:r>
              <w:rPr>
                <w:b/>
                <w:bCs/>
                <w:color w:val="FFFFFF"/>
                <w:sz w:val="17"/>
              </w:rPr>
              <w:t xml:space="preserve">Option</w:t>
            </w:r>
          </w:p>
        </w:tc>
        <w:tc>
          <w:tcPr>
            <w:shd w:val="clear" w:color="auto" w:fill="1BA996"/>
          </w:tcPr>
          <w:p>
            <w:pPr>
              <w:pStyle w:val="Compact"/>
              <w:spacing w:after="20" w:before="20" w:line="240" w:lineRule="auto"/>
              <w:jc w:val="left"/>
            </w:pPr>
            <w:r>
              <w:rPr>
                <w:b/>
                <w:bCs/>
                <w:color w:val="FFFFFF"/>
                <w:sz w:val="17"/>
              </w:rPr>
              <w:t xml:space="preserve">Avantages</w:t>
            </w:r>
          </w:p>
        </w:tc>
        <w:tc>
          <w:tcPr>
            <w:shd w:val="clear" w:color="auto" w:fill="1BA996"/>
          </w:tcPr>
          <w:p>
            <w:pPr>
              <w:pStyle w:val="Compact"/>
              <w:spacing w:after="20" w:before="20" w:line="240" w:lineRule="auto"/>
              <w:jc w:val="left"/>
            </w:pPr>
            <w:r>
              <w:rPr>
                <w:b/>
                <w:bCs/>
                <w:color w:val="FFFFFF"/>
                <w:sz w:val="17"/>
              </w:rPr>
              <w:t xml:space="preserve">Limites</w:t>
            </w:r>
          </w:p>
        </w:tc>
        <w:tc>
          <w:tcPr>
            <w:shd w:val="clear" w:color="auto" w:fill="1BA996"/>
          </w:tcPr>
          <w:p>
            <w:pPr>
              <w:pStyle w:val="Compact"/>
              <w:spacing w:after="20" w:before="20" w:line="240" w:lineRule="auto"/>
              <w:jc w:val="left"/>
            </w:pPr>
            <w:r>
              <w:rPr>
                <w:b/>
                <w:bCs/>
                <w:color w:val="FFFFFF"/>
                <w:sz w:val="17"/>
              </w:rPr>
              <w:t xml:space="preserve">Appréciation</w:t>
            </w:r>
          </w:p>
        </w:tc>
      </w:tr>
      <w:tr>
        <w:tc>
          <w:tcPr/>
          <w:p>
            <w:pPr>
              <w:pStyle w:val="Compact"/>
              <w:spacing w:after="20" w:before="20" w:line="240" w:lineRule="auto"/>
              <w:jc w:val="left"/>
            </w:pPr>
            <w:r>
              <w:rPr>
                <w:sz w:val="17"/>
              </w:rPr>
              <w:t xml:space="preserve">Hébergement</w:t>
            </w:r>
            <w:r>
              <w:rPr>
                <w:sz w:val="17"/>
              </w:rPr>
              <w:t xml:space="preserve"> </w:t>
            </w:r>
            <w:r>
              <w:rPr>
                <w:sz w:val="17"/>
              </w:rPr>
              <w:t xml:space="preserve">national en</w:t>
            </w:r>
            <w:r>
              <w:rPr>
                <w:sz w:val="17"/>
              </w:rPr>
              <w:t xml:space="preserve"> </w:t>
            </w:r>
            <w:r>
              <w:rPr>
                <w:sz w:val="17"/>
              </w:rPr>
              <w:t xml:space="preserve">centre de données</w:t>
            </w:r>
            <w:r>
              <w:rPr>
                <w:sz w:val="17"/>
              </w:rPr>
              <w:t xml:space="preserve"> </w:t>
            </w:r>
            <w:r>
              <w:rPr>
                <w:sz w:val="17"/>
              </w:rPr>
              <w:t xml:space="preserve">agréé</w:t>
            </w:r>
          </w:p>
        </w:tc>
        <w:tc>
          <w:tcPr/>
          <w:p>
            <w:pPr>
              <w:pStyle w:val="Compact"/>
              <w:spacing w:after="20" w:before="20" w:line="240" w:lineRule="auto"/>
              <w:jc w:val="left"/>
            </w:pPr>
            <w:r>
              <w:rPr>
                <w:sz w:val="17"/>
              </w:rPr>
              <w:t xml:space="preserve">Souveraineté,</w:t>
            </w:r>
            <w:r>
              <w:rPr>
                <w:sz w:val="17"/>
              </w:rPr>
              <w:t xml:space="preserve"> </w:t>
            </w:r>
            <w:r>
              <w:rPr>
                <w:sz w:val="17"/>
              </w:rPr>
              <w:t xml:space="preserve">proximité réseau,</w:t>
            </w:r>
            <w:r>
              <w:rPr>
                <w:sz w:val="17"/>
              </w:rPr>
              <w:t xml:space="preserve"> </w:t>
            </w:r>
            <w:r>
              <w:rPr>
                <w:sz w:val="17"/>
              </w:rPr>
              <w:t xml:space="preserve">conformité de</w:t>
            </w:r>
            <w:r>
              <w:rPr>
                <w:sz w:val="17"/>
              </w:rPr>
              <w:t xml:space="preserve"> </w:t>
            </w:r>
            <w:r>
              <w:rPr>
                <w:sz w:val="17"/>
              </w:rPr>
              <w:t xml:space="preserve">résidence</w:t>
            </w:r>
          </w:p>
        </w:tc>
        <w:tc>
          <w:tcPr/>
          <w:p>
            <w:pPr>
              <w:pStyle w:val="Compact"/>
              <w:spacing w:after="20" w:before="20" w:line="240" w:lineRule="auto"/>
              <w:jc w:val="left"/>
            </w:pPr>
            <w:r>
              <w:rPr>
                <w:sz w:val="17"/>
              </w:rPr>
              <w:t xml:space="preserve">Capacité,</w:t>
            </w:r>
            <w:r>
              <w:rPr>
                <w:sz w:val="17"/>
              </w:rPr>
              <w:t xml:space="preserve"> </w:t>
            </w:r>
            <w:r>
              <w:rPr>
                <w:sz w:val="17"/>
              </w:rPr>
              <w:t xml:space="preserve">redondance,</w:t>
            </w:r>
            <w:r>
              <w:rPr>
                <w:sz w:val="17"/>
              </w:rPr>
              <w:t xml:space="preserve"> </w:t>
            </w:r>
            <w:r>
              <w:rPr>
                <w:sz w:val="17"/>
              </w:rPr>
              <w:t xml:space="preserve">compétences à</w:t>
            </w:r>
            <w:r>
              <w:rPr>
                <w:sz w:val="17"/>
              </w:rPr>
              <w:t xml:space="preserve"> </w:t>
            </w:r>
            <w:r>
              <w:rPr>
                <w:sz w:val="17"/>
              </w:rPr>
              <w:t xml:space="preserve">sécuriser</w:t>
            </w:r>
          </w:p>
        </w:tc>
        <w:tc>
          <w:tcPr/>
          <w:p>
            <w:pPr>
              <w:pStyle w:val="Compact"/>
              <w:spacing w:after="20" w:before="20" w:line="240" w:lineRule="auto"/>
              <w:jc w:val="left"/>
            </w:pPr>
            <w:r>
              <w:rPr>
                <w:sz w:val="17"/>
              </w:rPr>
              <w:t xml:space="preserve">Recommandé pour</w:t>
            </w:r>
            <w:r>
              <w:rPr>
                <w:sz w:val="17"/>
              </w:rPr>
              <w:t xml:space="preserve"> </w:t>
            </w:r>
            <w:r>
              <w:rPr>
                <w:sz w:val="17"/>
              </w:rPr>
              <w:t xml:space="preserve">les données</w:t>
            </w:r>
            <w:r>
              <w:rPr>
                <w:sz w:val="17"/>
              </w:rPr>
              <w:t xml:space="preserve"> </w:t>
            </w:r>
            <w:r>
              <w:rPr>
                <w:sz w:val="17"/>
              </w:rPr>
              <w:t xml:space="preserve">fiscales et</w:t>
            </w:r>
            <w:r>
              <w:rPr>
                <w:sz w:val="17"/>
              </w:rPr>
              <w:t xml:space="preserve"> </w:t>
            </w:r>
            <w:r>
              <w:rPr>
                <w:sz w:val="17"/>
              </w:rPr>
              <w:t xml:space="preserve">personnelles</w:t>
            </w:r>
          </w:p>
        </w:tc>
      </w:tr>
      <w:tr>
        <w:tc>
          <w:tcPr>
            <w:shd w:val="clear" w:color="auto" w:fill="F2F9F8"/>
          </w:tcPr>
          <w:p>
            <w:pPr>
              <w:pStyle w:val="Compact"/>
              <w:spacing w:after="20" w:before="20" w:line="240" w:lineRule="auto"/>
              <w:jc w:val="left"/>
            </w:pPr>
            <w:r>
              <w:rPr>
                <w:sz w:val="17"/>
              </w:rPr>
              <w:t xml:space="preserve">Nuage</w:t>
            </w:r>
            <w:r>
              <w:rPr>
                <w:sz w:val="17"/>
              </w:rPr>
              <w:t xml:space="preserve"> </w:t>
            </w:r>
            <w:r>
              <w:rPr>
                <w:sz w:val="17"/>
              </w:rPr>
              <w:t xml:space="preserve">international</w:t>
            </w:r>
          </w:p>
        </w:tc>
        <w:tc>
          <w:tcPr>
            <w:shd w:val="clear" w:color="auto" w:fill="F2F9F8"/>
          </w:tcPr>
          <w:p>
            <w:pPr>
              <w:pStyle w:val="Compact"/>
              <w:spacing w:after="20" w:before="20" w:line="240" w:lineRule="auto"/>
              <w:jc w:val="left"/>
            </w:pPr>
            <w:r>
              <w:rPr>
                <w:sz w:val="17"/>
              </w:rPr>
              <w:t xml:space="preserve">Élasticité,</w:t>
            </w:r>
            <w:r>
              <w:rPr>
                <w:sz w:val="17"/>
              </w:rPr>
              <w:t xml:space="preserve"> </w:t>
            </w:r>
            <w:r>
              <w:rPr>
                <w:sz w:val="17"/>
              </w:rPr>
              <w:t xml:space="preserve">services managés</w:t>
            </w:r>
          </w:p>
        </w:tc>
        <w:tc>
          <w:tcPr>
            <w:shd w:val="clear" w:color="auto" w:fill="F2F9F8"/>
          </w:tcPr>
          <w:p>
            <w:pPr>
              <w:pStyle w:val="Compact"/>
              <w:spacing w:after="20" w:before="20" w:line="240" w:lineRule="auto"/>
              <w:jc w:val="left"/>
            </w:pPr>
            <w:r>
              <w:rPr>
                <w:sz w:val="17"/>
              </w:rPr>
              <w:t xml:space="preserve">Résidence des</w:t>
            </w:r>
            <w:r>
              <w:rPr>
                <w:sz w:val="17"/>
              </w:rPr>
              <w:t xml:space="preserve"> </w:t>
            </w:r>
            <w:r>
              <w:rPr>
                <w:sz w:val="17"/>
              </w:rPr>
              <w:t xml:space="preserve">données,</w:t>
            </w:r>
            <w:r>
              <w:rPr>
                <w:sz w:val="17"/>
              </w:rPr>
              <w:t xml:space="preserve"> </w:t>
            </w:r>
            <w:r>
              <w:rPr>
                <w:sz w:val="17"/>
              </w:rPr>
              <w:t xml:space="preserve">dépendance, coût en</w:t>
            </w:r>
            <w:r>
              <w:rPr>
                <w:sz w:val="17"/>
              </w:rPr>
              <w:t xml:space="preserve"> </w:t>
            </w:r>
            <w:r>
              <w:rPr>
                <w:sz w:val="17"/>
              </w:rPr>
              <w:t xml:space="preserve">devises, latence</w:t>
            </w:r>
          </w:p>
        </w:tc>
        <w:tc>
          <w:tcPr>
            <w:shd w:val="clear" w:color="auto" w:fill="F2F9F8"/>
          </w:tcPr>
          <w:p>
            <w:pPr>
              <w:pStyle w:val="Compact"/>
              <w:spacing w:after="20" w:before="20" w:line="240" w:lineRule="auto"/>
              <w:jc w:val="left"/>
            </w:pPr>
            <w:r>
              <w:rPr>
                <w:sz w:val="17"/>
              </w:rPr>
              <w:t xml:space="preserve">Acceptable pour</w:t>
            </w:r>
            <w:r>
              <w:rPr>
                <w:sz w:val="17"/>
              </w:rPr>
              <w:t xml:space="preserve"> </w:t>
            </w:r>
            <w:r>
              <w:rPr>
                <w:sz w:val="17"/>
              </w:rPr>
              <w:t xml:space="preserve">charges non</w:t>
            </w:r>
            <w:r>
              <w:rPr>
                <w:sz w:val="17"/>
              </w:rPr>
              <w:t xml:space="preserve"> </w:t>
            </w:r>
            <w:r>
              <w:rPr>
                <w:sz w:val="17"/>
              </w:rPr>
              <w:t xml:space="preserve">personnelles et</w:t>
            </w:r>
            <w:r>
              <w:rPr>
                <w:sz w:val="17"/>
              </w:rPr>
              <w:t xml:space="preserve"> </w:t>
            </w:r>
            <w:r>
              <w:rPr>
                <w:sz w:val="17"/>
              </w:rPr>
              <w:t xml:space="preserve">sauvegarde</w:t>
            </w:r>
            <w:r>
              <w:rPr>
                <w:sz w:val="17"/>
              </w:rPr>
              <w:t xml:space="preserve"> </w:t>
            </w:r>
            <w:r>
              <w:rPr>
                <w:sz w:val="17"/>
              </w:rPr>
              <w:t xml:space="preserve">chiffrée</w:t>
            </w:r>
          </w:p>
        </w:tc>
      </w:tr>
      <w:tr>
        <w:tc>
          <w:tcPr/>
          <w:p>
            <w:pPr>
              <w:pStyle w:val="Compact"/>
              <w:spacing w:after="20" w:before="20" w:line="240" w:lineRule="auto"/>
              <w:jc w:val="left"/>
            </w:pPr>
            <w:r>
              <w:rPr>
                <w:sz w:val="17"/>
              </w:rPr>
              <w:t xml:space="preserve">Hybride maîtrisé</w:t>
            </w:r>
          </w:p>
        </w:tc>
        <w:tc>
          <w:tcPr/>
          <w:p>
            <w:pPr>
              <w:pStyle w:val="Compact"/>
              <w:spacing w:after="20" w:before="20" w:line="240" w:lineRule="auto"/>
              <w:jc w:val="left"/>
            </w:pPr>
            <w:r>
              <w:rPr>
                <w:sz w:val="17"/>
              </w:rPr>
              <w:t xml:space="preserve">Production</w:t>
            </w:r>
            <w:r>
              <w:rPr>
                <w:sz w:val="17"/>
              </w:rPr>
              <w:t xml:space="preserve"> </w:t>
            </w:r>
            <w:r>
              <w:rPr>
                <w:sz w:val="17"/>
              </w:rPr>
              <w:t xml:space="preserve">nationale, secours</w:t>
            </w:r>
            <w:r>
              <w:rPr>
                <w:sz w:val="17"/>
              </w:rPr>
              <w:t xml:space="preserve"> </w:t>
            </w:r>
            <w:r>
              <w:rPr>
                <w:sz w:val="17"/>
              </w:rPr>
              <w:t xml:space="preserve">chiffré externe</w:t>
            </w:r>
          </w:p>
        </w:tc>
        <w:tc>
          <w:tcPr/>
          <w:p>
            <w:pPr>
              <w:pStyle w:val="Compact"/>
              <w:spacing w:after="20" w:before="20" w:line="240" w:lineRule="auto"/>
              <w:jc w:val="left"/>
            </w:pPr>
            <w:r>
              <w:rPr>
                <w:sz w:val="17"/>
              </w:rPr>
              <w:t xml:space="preserve">Complexité</w:t>
            </w:r>
            <w:r>
              <w:rPr>
                <w:sz w:val="17"/>
              </w:rPr>
              <w:t xml:space="preserve"> </w:t>
            </w:r>
            <w:r>
              <w:rPr>
                <w:sz w:val="17"/>
              </w:rPr>
              <w:t xml:space="preserve">d'exploitation</w:t>
            </w:r>
          </w:p>
        </w:tc>
        <w:tc>
          <w:tcPr/>
          <w:p>
            <w:pPr>
              <w:pStyle w:val="Compact"/>
              <w:spacing w:after="20" w:before="20" w:line="240" w:lineRule="auto"/>
              <w:jc w:val="left"/>
            </w:pPr>
            <w:r>
              <w:rPr>
                <w:sz w:val="17"/>
              </w:rPr>
              <w:t xml:space="preserve">Scénario cible</w:t>
            </w:r>
          </w:p>
        </w:tc>
      </w:tr>
    </w:tbl>
    <w:p>
      <w:pPr>
        <w:numPr>
          <w:ilvl w:val="0"/>
          <w:numId w:val="1069"/>
        </w:numPr>
      </w:pPr>
      <w:r>
        <w:t xml:space="preserve">Clés de chiffrement détenues et gérées par la Ville, dans un module</w:t>
      </w:r>
      <w:r>
        <w:t xml:space="preserve"> </w:t>
      </w:r>
      <w:r>
        <w:t xml:space="preserve">matériel sous contrôle public.</w:t>
      </w:r>
    </w:p>
    <w:p>
      <w:pPr>
        <w:numPr>
          <w:ilvl w:val="0"/>
          <w:numId w:val="1069"/>
        </w:numPr>
      </w:pPr>
      <w:r>
        <w:t xml:space="preserve">Code source détenu par la Ville ou placé sous séquestre avec droit</w:t>
      </w:r>
      <w:r>
        <w:t xml:space="preserve"> </w:t>
      </w:r>
      <w:r>
        <w:t xml:space="preserve">d'usage irrévocable.</w:t>
      </w:r>
    </w:p>
    <w:p>
      <w:pPr>
        <w:numPr>
          <w:ilvl w:val="0"/>
          <w:numId w:val="1069"/>
        </w:numPr>
      </w:pPr>
      <w:r>
        <w:t xml:space="preserve">Formats ouverts, exports complets à la demande, documentation</w:t>
      </w:r>
      <w:r>
        <w:t xml:space="preserve"> </w:t>
      </w:r>
      <w:r>
        <w:t xml:space="preserve">d'exploitation transférable.</w:t>
      </w:r>
    </w:p>
    <w:p>
      <w:pPr>
        <w:numPr>
          <w:ilvl w:val="0"/>
          <w:numId w:val="1069"/>
        </w:numPr>
      </w:pPr>
      <w:r>
        <w:t xml:space="preserve">Stratégie de sortie contractuelle : délais, assistance, jeux de</w:t>
      </w:r>
      <w:r>
        <w:t xml:space="preserve"> </w:t>
      </w:r>
      <w:r>
        <w:t xml:space="preserve">données, réversibilité testée au moins une fois par an.</w:t>
      </w:r>
    </w:p>
    <w:p>
      <w:pPr>
        <w:numPr>
          <w:ilvl w:val="0"/>
          <w:numId w:val="1069"/>
        </w:numPr>
      </w:pPr>
      <w:r>
        <w:t xml:space="preserve">Accès des personnels du prestataire strictement nominatif,</w:t>
      </w:r>
      <w:r>
        <w:t xml:space="preserve"> </w:t>
      </w:r>
      <w:r>
        <w:t xml:space="preserve">temporaire, motivé et journalisé.</w:t>
      </w:r>
    </w:p>
    <w:p>
      <w:pPr>
        <w:pStyle w:val="BlockText"/>
      </w:pPr>
      <w:r>
        <w:rPr>
          <w:b/>
          <w:bCs/>
        </w:rPr>
        <w:t xml:space="preserve">Point à confirmer.</w:t>
      </w:r>
      <w:r>
        <w:t xml:space="preserve"> </w:t>
      </w:r>
      <w:r>
        <w:t xml:space="preserve">Les obligations exactes de résidence des</w:t>
      </w:r>
      <w:r>
        <w:t xml:space="preserve"> </w:t>
      </w:r>
      <w:r>
        <w:t xml:space="preserve">données et la valeur juridique de la signature électronique doivent</w:t>
      </w:r>
      <w:r>
        <w:t xml:space="preserve"> </w:t>
      </w:r>
      <w:r>
        <w:t xml:space="preserve">être établies au regard du Code du numérique avant le choix définitif</w:t>
      </w:r>
      <w:r>
        <w:t xml:space="preserve"> </w:t>
      </w:r>
      <w:r>
        <w:t xml:space="preserve">d'hébergement. Tant que ce point n'est pas tranché, la conception</w:t>
      </w:r>
      <w:r>
        <w:t xml:space="preserve"> </w:t>
      </w:r>
      <w:r>
        <w:t xml:space="preserve">retient l'hypothèse la plus protectrice : production nationale.</w:t>
      </w:r>
    </w:p>
    <w:p>
      <w:pPr>
        <w:pStyle w:val="FirstParagraph"/>
      </w:pPr>
      <w:r>
        <w:t xml:space="preserve">Compléments : données publiques sous le contrôle de la Ville selon le cadre légal ; clauses de résidence et d’hébergement à valider ; droits sur le code clairement définis ; standards ouverts ; portabilité ; séquestre (escrow) si pertinent ; plan de sortie documenté.</w:t>
      </w:r>
    </w:p>
    <w:bookmarkEnd w:id="261"/>
    <w:bookmarkStart w:id="266" w:name="feuille-de-route-de-mise-en-œuvre"/>
    <w:p>
      <w:pPr>
        <w:pStyle w:val="Heading1"/>
      </w:pPr>
      <w:r>
        <w:t xml:space="preserve">34. Feuille de route de mise en œuvre</w:t>
      </w:r>
    </w:p>
    <w:bookmarkStart w:id="262" w:name="phases"/>
    <w:p>
      <w:pPr>
        <w:pStyle w:val="Heading2"/>
      </w:pPr>
      <w:r>
        <w:t xml:space="preserve">34.1 Phases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530"/>
        <w:gridCol w:w="1080"/>
        <w:gridCol w:w="1710"/>
        <w:gridCol w:w="1710"/>
        <w:gridCol w:w="1710"/>
      </w:tblGrid>
      <w:tr>
        <w:trPr>
          <w:tblHeader w:val="true"/>
          <w:tblHeader/>
        </w:trPr>
        <w:tc>
          <w:tcPr>
            <w:shd w:val="clear" w:color="auto" w:fill="1BA996"/>
          </w:tcPr>
          <w:p>
            <w:pPr>
              <w:pStyle w:val="Compact"/>
              <w:spacing w:after="20" w:before="20" w:line="240" w:lineRule="auto"/>
              <w:jc w:val="left"/>
            </w:pPr>
            <w:r>
              <w:rPr>
                <w:b/>
                <w:bCs/>
                <w:color w:val="FFFFFF"/>
                <w:sz w:val="17"/>
              </w:rPr>
              <w:t xml:space="preserve">Phase</w:t>
            </w:r>
          </w:p>
        </w:tc>
        <w:tc>
          <w:tcPr>
            <w:shd w:val="clear" w:color="auto" w:fill="1BA996"/>
          </w:tcPr>
          <w:p>
            <w:pPr>
              <w:pStyle w:val="Compact"/>
              <w:spacing w:after="20" w:before="20" w:line="240" w:lineRule="auto"/>
              <w:jc w:val="left"/>
            </w:pPr>
            <w:r>
              <w:rPr>
                <w:b/>
                <w:bCs/>
                <w:color w:val="FFFFFF"/>
                <w:sz w:val="17"/>
              </w:rPr>
              <w:t xml:space="preserve">Durée</w:t>
            </w:r>
          </w:p>
        </w:tc>
        <w:tc>
          <w:tcPr>
            <w:shd w:val="clear" w:color="auto" w:fill="1BA996"/>
          </w:tcPr>
          <w:p>
            <w:pPr>
              <w:pStyle w:val="Compact"/>
              <w:spacing w:after="20" w:before="20" w:line="240" w:lineRule="auto"/>
              <w:jc w:val="left"/>
            </w:pPr>
            <w:r>
              <w:rPr>
                <w:b/>
                <w:bCs/>
                <w:color w:val="FFFFFF"/>
                <w:sz w:val="17"/>
              </w:rPr>
              <w:t xml:space="preserve">Objectifs</w:t>
            </w:r>
          </w:p>
        </w:tc>
        <w:tc>
          <w:tcPr>
            <w:shd w:val="clear" w:color="auto" w:fill="1BA996"/>
          </w:tcPr>
          <w:p>
            <w:pPr>
              <w:pStyle w:val="Compact"/>
              <w:spacing w:after="20" w:before="20" w:line="240" w:lineRule="auto"/>
              <w:jc w:val="left"/>
            </w:pPr>
            <w:r>
              <w:rPr>
                <w:b/>
                <w:bCs/>
                <w:color w:val="FFFFFF"/>
                <w:sz w:val="17"/>
              </w:rPr>
              <w:t xml:space="preserve">Livrables</w:t>
            </w:r>
          </w:p>
        </w:tc>
        <w:tc>
          <w:tcPr>
            <w:shd w:val="clear" w:color="auto" w:fill="1BA996"/>
          </w:tcPr>
          <w:p>
            <w:pPr>
              <w:pStyle w:val="Compact"/>
              <w:spacing w:after="20" w:before="20" w:line="240" w:lineRule="auto"/>
              <w:jc w:val="left"/>
            </w:pPr>
            <w:r>
              <w:rPr>
                <w:b/>
                <w:bCs/>
                <w:color w:val="FFFFFF"/>
                <w:sz w:val="17"/>
              </w:rPr>
              <w:t xml:space="preserve">Porte de</w:t>
            </w:r>
            <w:r>
              <w:rPr>
                <w:b/>
                <w:bCs/>
                <w:color w:val="FFFFFF"/>
                <w:sz w:val="17"/>
              </w:rPr>
              <w:t xml:space="preserve"> </w:t>
            </w:r>
            <w:r>
              <w:rPr>
                <w:b/>
                <w:bCs/>
                <w:color w:val="FFFFFF"/>
                <w:sz w:val="17"/>
              </w:rPr>
              <w:t xml:space="preserve">sortie</w:t>
            </w:r>
          </w:p>
        </w:tc>
      </w:tr>
      <w:tr>
        <w:tc>
          <w:tcPr/>
          <w:p>
            <w:pPr>
              <w:pStyle w:val="Compact"/>
              <w:spacing w:after="20" w:before="20" w:line="240" w:lineRule="auto"/>
              <w:jc w:val="left"/>
            </w:pPr>
            <w:r>
              <w:rPr>
                <w:sz w:val="17"/>
              </w:rPr>
              <w:t xml:space="preserve">Phase 0 —</w:t>
            </w:r>
            <w:r>
              <w:rPr>
                <w:sz w:val="17"/>
              </w:rPr>
              <w:t xml:space="preserve"> </w:t>
            </w:r>
            <w:r>
              <w:rPr>
                <w:sz w:val="17"/>
              </w:rPr>
              <w:t xml:space="preserve">Mandat et</w:t>
            </w:r>
            <w:r>
              <w:rPr>
                <w:sz w:val="17"/>
              </w:rPr>
              <w:t xml:space="preserve"> </w:t>
            </w:r>
            <w:r>
              <w:rPr>
                <w:sz w:val="17"/>
              </w:rPr>
              <w:t xml:space="preserve">mobilisation</w:t>
            </w:r>
            <w:r>
              <w:rPr>
                <w:sz w:val="17"/>
              </w:rPr>
              <w:t xml:space="preserve"> </w:t>
            </w:r>
            <w:r>
              <w:rPr>
                <w:sz w:val="17"/>
              </w:rPr>
              <w:t xml:space="preserve">juridique</w:t>
            </w:r>
          </w:p>
        </w:tc>
        <w:tc>
          <w:tcPr/>
          <w:p>
            <w:pPr>
              <w:pStyle w:val="Compact"/>
              <w:spacing w:after="20" w:before="20" w:line="240" w:lineRule="auto"/>
              <w:jc w:val="left"/>
            </w:pPr>
            <w:r>
              <w:rPr>
                <w:sz w:val="17"/>
              </w:rPr>
              <w:t xml:space="preserve">4 à 6</w:t>
            </w:r>
            <w:r>
              <w:rPr>
                <w:sz w:val="17"/>
              </w:rPr>
              <w:t xml:space="preserve"> </w:t>
            </w:r>
            <w:r>
              <w:rPr>
                <w:sz w:val="17"/>
              </w:rPr>
              <w:t xml:space="preserve">semaines</w:t>
            </w:r>
          </w:p>
        </w:tc>
        <w:tc>
          <w:tcPr/>
          <w:p>
            <w:pPr>
              <w:pStyle w:val="Compact"/>
              <w:spacing w:after="20" w:before="20" w:line="240" w:lineRule="auto"/>
              <w:jc w:val="left"/>
            </w:pPr>
            <w:r>
              <w:rPr>
                <w:sz w:val="17"/>
              </w:rPr>
              <w:t xml:space="preserve">Sponsor,</w:t>
            </w:r>
            <w:r>
              <w:rPr>
                <w:sz w:val="17"/>
              </w:rPr>
              <w:t xml:space="preserve"> </w:t>
            </w:r>
            <w:r>
              <w:rPr>
                <w:sz w:val="17"/>
              </w:rPr>
              <w:t xml:space="preserve">gouvernance, revue</w:t>
            </w:r>
            <w:r>
              <w:rPr>
                <w:sz w:val="17"/>
              </w:rPr>
              <w:t xml:space="preserve"> </w:t>
            </w:r>
            <w:r>
              <w:rPr>
                <w:sz w:val="17"/>
              </w:rPr>
              <w:t xml:space="preserve">juridique,</w:t>
            </w:r>
            <w:r>
              <w:rPr>
                <w:sz w:val="17"/>
              </w:rPr>
              <w:t xml:space="preserve"> </w:t>
            </w:r>
            <w:r>
              <w:rPr>
                <w:sz w:val="17"/>
              </w:rPr>
              <w:t xml:space="preserve">inventaire des</w:t>
            </w:r>
            <w:r>
              <w:rPr>
                <w:sz w:val="17"/>
              </w:rPr>
              <w:t xml:space="preserve"> </w:t>
            </w:r>
            <w:r>
              <w:rPr>
                <w:sz w:val="17"/>
              </w:rPr>
              <w:t xml:space="preserve">systèmes, base de</w:t>
            </w:r>
            <w:r>
              <w:rPr>
                <w:sz w:val="17"/>
              </w:rPr>
              <w:t xml:space="preserve"> </w:t>
            </w:r>
            <w:r>
              <w:rPr>
                <w:sz w:val="17"/>
              </w:rPr>
              <w:t xml:space="preserve">référence des</w:t>
            </w:r>
            <w:r>
              <w:rPr>
                <w:sz w:val="17"/>
              </w:rPr>
              <w:t xml:space="preserve"> </w:t>
            </w:r>
            <w:r>
              <w:rPr>
                <w:sz w:val="17"/>
              </w:rPr>
              <w:t xml:space="preserve">recettes</w:t>
            </w:r>
          </w:p>
        </w:tc>
        <w:tc>
          <w:tcPr/>
          <w:p>
            <w:pPr>
              <w:pStyle w:val="Compact"/>
              <w:spacing w:after="20" w:before="20" w:line="240" w:lineRule="auto"/>
              <w:jc w:val="left"/>
            </w:pPr>
            <w:r>
              <w:rPr>
                <w:sz w:val="17"/>
              </w:rPr>
              <w:t xml:space="preserve">Décision</w:t>
            </w:r>
            <w:r>
              <w:rPr>
                <w:sz w:val="17"/>
              </w:rPr>
              <w:t xml:space="preserve"> </w:t>
            </w:r>
            <w:r>
              <w:rPr>
                <w:sz w:val="17"/>
              </w:rPr>
              <w:t xml:space="preserve">provinciale,</w:t>
            </w:r>
            <w:r>
              <w:rPr>
                <w:sz w:val="17"/>
              </w:rPr>
              <w:t xml:space="preserve"> </w:t>
            </w:r>
            <w:r>
              <w:rPr>
                <w:sz w:val="17"/>
              </w:rPr>
              <w:t xml:space="preserve">comité de</w:t>
            </w:r>
            <w:r>
              <w:rPr>
                <w:sz w:val="17"/>
              </w:rPr>
              <w:t xml:space="preserve"> </w:t>
            </w:r>
            <w:r>
              <w:rPr>
                <w:sz w:val="17"/>
              </w:rPr>
              <w:t xml:space="preserve">pilotage, relevé</w:t>
            </w:r>
            <w:r>
              <w:rPr>
                <w:sz w:val="17"/>
              </w:rPr>
              <w:t xml:space="preserve"> </w:t>
            </w:r>
            <w:r>
              <w:rPr>
                <w:sz w:val="17"/>
              </w:rPr>
              <w:t xml:space="preserve">juridique</w:t>
            </w:r>
            <w:r>
              <w:rPr>
                <w:sz w:val="17"/>
              </w:rPr>
              <w:t xml:space="preserve"> </w:t>
            </w:r>
            <w:r>
              <w:rPr>
                <w:sz w:val="17"/>
              </w:rPr>
              <w:t xml:space="preserve">certifié,</w:t>
            </w:r>
            <w:r>
              <w:rPr>
                <w:sz w:val="17"/>
              </w:rPr>
              <w:t xml:space="preserve"> </w:t>
            </w:r>
            <w:r>
              <w:rPr>
                <w:sz w:val="17"/>
              </w:rPr>
              <w:t xml:space="preserve">inventaire</w:t>
            </w:r>
          </w:p>
        </w:tc>
        <w:tc>
          <w:tcPr/>
          <w:p>
            <w:pPr>
              <w:pStyle w:val="Compact"/>
              <w:spacing w:after="20" w:before="20" w:line="240" w:lineRule="auto"/>
              <w:jc w:val="left"/>
            </w:pPr>
            <w:r>
              <w:rPr>
                <w:sz w:val="17"/>
              </w:rPr>
              <w:t xml:space="preserve">Décision signée</w:t>
            </w:r>
            <w:r>
              <w:rPr>
                <w:sz w:val="17"/>
              </w:rPr>
              <w:t xml:space="preserve"> </w:t>
            </w:r>
            <w:r>
              <w:rPr>
                <w:sz w:val="17"/>
              </w:rPr>
              <w:t xml:space="preserve">et référentiel</w:t>
            </w:r>
            <w:r>
              <w:rPr>
                <w:sz w:val="17"/>
              </w:rPr>
              <w:t xml:space="preserve"> </w:t>
            </w:r>
            <w:r>
              <w:rPr>
                <w:sz w:val="17"/>
              </w:rPr>
              <w:t xml:space="preserve">juridique arrêté</w:t>
            </w:r>
          </w:p>
        </w:tc>
      </w:tr>
      <w:tr>
        <w:tc>
          <w:tcPr>
            <w:shd w:val="clear" w:color="auto" w:fill="F2F9F8"/>
          </w:tcPr>
          <w:p>
            <w:pPr>
              <w:pStyle w:val="Compact"/>
              <w:spacing w:after="20" w:before="20" w:line="240" w:lineRule="auto"/>
              <w:jc w:val="left"/>
            </w:pPr>
            <w:r>
              <w:rPr>
                <w:sz w:val="17"/>
              </w:rPr>
              <w:t xml:space="preserve">Phase 1 —</w:t>
            </w:r>
            <w:r>
              <w:rPr>
                <w:sz w:val="17"/>
              </w:rPr>
              <w:t xml:space="preserve"> </w:t>
            </w:r>
            <w:r>
              <w:rPr>
                <w:sz w:val="17"/>
              </w:rPr>
              <w:t xml:space="preserve">Cadrage et</w:t>
            </w:r>
            <w:r>
              <w:rPr>
                <w:sz w:val="17"/>
              </w:rPr>
              <w:t xml:space="preserve"> </w:t>
            </w:r>
            <w:r>
              <w:rPr>
                <w:sz w:val="17"/>
              </w:rPr>
              <w:t xml:space="preserve">architecture</w:t>
            </w:r>
          </w:p>
        </w:tc>
        <w:tc>
          <w:tcPr>
            <w:shd w:val="clear" w:color="auto" w:fill="F2F9F8"/>
          </w:tcPr>
          <w:p>
            <w:pPr>
              <w:pStyle w:val="Compact"/>
              <w:spacing w:after="20" w:before="20" w:line="240" w:lineRule="auto"/>
              <w:jc w:val="left"/>
            </w:pPr>
            <w:r>
              <w:rPr>
                <w:sz w:val="17"/>
              </w:rPr>
              <w:t xml:space="preserve">6 à 8</w:t>
            </w:r>
            <w:r>
              <w:rPr>
                <w:sz w:val="17"/>
              </w:rPr>
              <w:t xml:space="preserve"> </w:t>
            </w:r>
            <w:r>
              <w:rPr>
                <w:sz w:val="17"/>
              </w:rPr>
              <w:t xml:space="preserve">semaines</w:t>
            </w:r>
          </w:p>
        </w:tc>
        <w:tc>
          <w:tcPr>
            <w:shd w:val="clear" w:color="auto" w:fill="F2F9F8"/>
          </w:tcPr>
          <w:p>
            <w:pPr>
              <w:pStyle w:val="Compact"/>
              <w:spacing w:after="20" w:before="20" w:line="240" w:lineRule="auto"/>
              <w:jc w:val="left"/>
            </w:pPr>
            <w:r>
              <w:rPr>
                <w:sz w:val="17"/>
              </w:rPr>
              <w:t xml:space="preserve">Cartographie des</w:t>
            </w:r>
            <w:r>
              <w:rPr>
                <w:sz w:val="17"/>
              </w:rPr>
              <w:t xml:space="preserve"> </w:t>
            </w:r>
            <w:r>
              <w:rPr>
                <w:sz w:val="17"/>
              </w:rPr>
              <w:t xml:space="preserve">processus, audit</w:t>
            </w:r>
            <w:r>
              <w:rPr>
                <w:sz w:val="17"/>
              </w:rPr>
              <w:t xml:space="preserve"> </w:t>
            </w:r>
            <w:r>
              <w:rPr>
                <w:sz w:val="17"/>
              </w:rPr>
              <w:t xml:space="preserve">des données et des</w:t>
            </w:r>
            <w:r>
              <w:rPr>
                <w:sz w:val="17"/>
              </w:rPr>
              <w:t xml:space="preserve"> </w:t>
            </w:r>
            <w:r>
              <w:rPr>
                <w:sz w:val="17"/>
              </w:rPr>
              <w:t xml:space="preserve">systèmes</w:t>
            </w:r>
            <w:r>
              <w:rPr>
                <w:sz w:val="17"/>
              </w:rPr>
              <w:t xml:space="preserve"> </w:t>
            </w:r>
            <w:r>
              <w:rPr>
                <w:sz w:val="17"/>
              </w:rPr>
              <w:t xml:space="preserve">existants,</w:t>
            </w:r>
            <w:r>
              <w:rPr>
                <w:sz w:val="17"/>
              </w:rPr>
              <w:t xml:space="preserve"> </w:t>
            </w:r>
            <w:r>
              <w:rPr>
                <w:sz w:val="17"/>
              </w:rPr>
              <w:t xml:space="preserve">recherche</w:t>
            </w:r>
            <w:r>
              <w:rPr>
                <w:sz w:val="17"/>
              </w:rPr>
              <w:t xml:space="preserve"> </w:t>
            </w:r>
            <w:r>
              <w:rPr>
                <w:sz w:val="17"/>
              </w:rPr>
              <w:t xml:space="preserve">utilisateur,</w:t>
            </w:r>
            <w:r>
              <w:rPr>
                <w:sz w:val="17"/>
              </w:rPr>
              <w:t xml:space="preserve"> </w:t>
            </w:r>
            <w:r>
              <w:rPr>
                <w:sz w:val="17"/>
              </w:rPr>
              <w:t xml:space="preserve">architecture</w:t>
            </w:r>
          </w:p>
        </w:tc>
        <w:tc>
          <w:tcPr>
            <w:shd w:val="clear" w:color="auto" w:fill="F2F9F8"/>
          </w:tcPr>
          <w:p>
            <w:pPr>
              <w:pStyle w:val="Compact"/>
              <w:spacing w:after="20" w:before="20" w:line="240" w:lineRule="auto"/>
              <w:jc w:val="left"/>
            </w:pPr>
            <w:r>
              <w:rPr>
                <w:sz w:val="17"/>
              </w:rPr>
              <w:t xml:space="preserve">Spécifications,</w:t>
            </w:r>
            <w:r>
              <w:rPr>
                <w:sz w:val="17"/>
              </w:rPr>
              <w:t xml:space="preserve"> </w:t>
            </w:r>
            <w:r>
              <w:rPr>
                <w:sz w:val="17"/>
              </w:rPr>
              <w:t xml:space="preserve">dictionnaire de</w:t>
            </w:r>
            <w:r>
              <w:rPr>
                <w:sz w:val="17"/>
              </w:rPr>
              <w:t xml:space="preserve"> </w:t>
            </w:r>
            <w:r>
              <w:rPr>
                <w:sz w:val="17"/>
              </w:rPr>
              <w:t xml:space="preserve">données,</w:t>
            </w:r>
            <w:r>
              <w:rPr>
                <w:sz w:val="17"/>
              </w:rPr>
              <w:t xml:space="preserve"> </w:t>
            </w:r>
            <w:r>
              <w:rPr>
                <w:sz w:val="17"/>
              </w:rPr>
              <w:t xml:space="preserve">architecture de</w:t>
            </w:r>
            <w:r>
              <w:rPr>
                <w:sz w:val="17"/>
              </w:rPr>
              <w:t xml:space="preserve"> </w:t>
            </w:r>
            <w:r>
              <w:rPr>
                <w:sz w:val="17"/>
              </w:rPr>
              <w:t xml:space="preserve">sécurité, choix</w:t>
            </w:r>
            <w:r>
              <w:rPr>
                <w:sz w:val="17"/>
              </w:rPr>
              <w:t xml:space="preserve"> </w:t>
            </w:r>
            <w:r>
              <w:rPr>
                <w:sz w:val="17"/>
              </w:rPr>
              <w:t xml:space="preserve">des communes</w:t>
            </w:r>
            <w:r>
              <w:rPr>
                <w:sz w:val="17"/>
              </w:rPr>
              <w:t xml:space="preserve"> </w:t>
            </w:r>
            <w:r>
              <w:rPr>
                <w:sz w:val="17"/>
              </w:rPr>
              <w:t xml:space="preserve">pilotes</w:t>
            </w:r>
          </w:p>
        </w:tc>
        <w:tc>
          <w:tcPr>
            <w:shd w:val="clear" w:color="auto" w:fill="F2F9F8"/>
          </w:tcPr>
          <w:p>
            <w:pPr>
              <w:pStyle w:val="Compact"/>
              <w:spacing w:after="20" w:before="20" w:line="240" w:lineRule="auto"/>
              <w:jc w:val="left"/>
            </w:pPr>
            <w:r>
              <w:rPr>
                <w:sz w:val="17"/>
              </w:rPr>
              <w:t xml:space="preserve">Architecture</w:t>
            </w:r>
            <w:r>
              <w:rPr>
                <w:sz w:val="17"/>
              </w:rPr>
              <w:t xml:space="preserve"> </w:t>
            </w:r>
            <w:r>
              <w:rPr>
                <w:sz w:val="17"/>
              </w:rPr>
              <w:t xml:space="preserve">validée et pilote</w:t>
            </w:r>
            <w:r>
              <w:rPr>
                <w:sz w:val="17"/>
              </w:rPr>
              <w:t xml:space="preserve"> </w:t>
            </w:r>
            <w:r>
              <w:rPr>
                <w:sz w:val="17"/>
              </w:rPr>
              <w:t xml:space="preserve">approuvé</w:t>
            </w:r>
          </w:p>
        </w:tc>
      </w:tr>
      <w:tr>
        <w:tc>
          <w:tcPr/>
          <w:p>
            <w:pPr>
              <w:pStyle w:val="Compact"/>
              <w:spacing w:after="20" w:before="20" w:line="240" w:lineRule="auto"/>
              <w:jc w:val="left"/>
            </w:pPr>
            <w:r>
              <w:rPr>
                <w:sz w:val="17"/>
              </w:rPr>
              <w:t xml:space="preserve">Phase 2 —</w:t>
            </w:r>
            <w:r>
              <w:rPr>
                <w:sz w:val="17"/>
              </w:rPr>
              <w:t xml:space="preserve"> </w:t>
            </w:r>
            <w:r>
              <w:rPr>
                <w:sz w:val="17"/>
              </w:rPr>
              <w:t xml:space="preserve">Socle</w:t>
            </w:r>
          </w:p>
        </w:tc>
        <w:tc>
          <w:tcPr/>
          <w:p>
            <w:pPr>
              <w:pStyle w:val="Compact"/>
              <w:spacing w:after="20" w:before="20" w:line="240" w:lineRule="auto"/>
              <w:jc w:val="left"/>
            </w:pPr>
            <w:r>
              <w:rPr>
                <w:sz w:val="17"/>
              </w:rPr>
              <w:t xml:space="preserve">10 à 14</w:t>
            </w:r>
            <w:r>
              <w:rPr>
                <w:sz w:val="17"/>
              </w:rPr>
              <w:t xml:space="preserve"> </w:t>
            </w:r>
            <w:r>
              <w:rPr>
                <w:sz w:val="17"/>
              </w:rPr>
              <w:t xml:space="preserve">semaines</w:t>
            </w:r>
          </w:p>
        </w:tc>
        <w:tc>
          <w:tcPr/>
          <w:p>
            <w:pPr>
              <w:pStyle w:val="Compact"/>
              <w:spacing w:after="20" w:before="20" w:line="240" w:lineRule="auto"/>
              <w:jc w:val="left"/>
            </w:pPr>
            <w:r>
              <w:rPr>
                <w:sz w:val="17"/>
              </w:rPr>
              <w:t xml:space="preserve">Identité, compte,</w:t>
            </w:r>
            <w:r>
              <w:rPr>
                <w:sz w:val="17"/>
              </w:rPr>
              <w:t xml:space="preserve"> </w:t>
            </w:r>
            <w:r>
              <w:rPr>
                <w:sz w:val="17"/>
              </w:rPr>
              <w:t xml:space="preserve">objets, règles,</w:t>
            </w:r>
            <w:r>
              <w:rPr>
                <w:sz w:val="17"/>
              </w:rPr>
              <w:t xml:space="preserve"> </w:t>
            </w:r>
            <w:r>
              <w:rPr>
                <w:sz w:val="17"/>
              </w:rPr>
              <w:t xml:space="preserve">paiements,</w:t>
            </w:r>
            <w:r>
              <w:rPr>
                <w:sz w:val="17"/>
              </w:rPr>
              <w:t xml:space="preserve"> </w:t>
            </w:r>
            <w:r>
              <w:rPr>
                <w:sz w:val="17"/>
              </w:rPr>
              <w:t xml:space="preserve">quittances,</w:t>
            </w:r>
            <w:r>
              <w:rPr>
                <w:sz w:val="17"/>
              </w:rPr>
              <w:t xml:space="preserve"> </w:t>
            </w:r>
            <w:r>
              <w:rPr>
                <w:sz w:val="17"/>
              </w:rPr>
              <w:t xml:space="preserve">cartographie,</w:t>
            </w:r>
            <w:r>
              <w:rPr>
                <w:sz w:val="17"/>
              </w:rPr>
              <w:t xml:space="preserve"> </w:t>
            </w:r>
            <w:r>
              <w:rPr>
                <w:sz w:val="17"/>
              </w:rPr>
              <w:t xml:space="preserve">audit, application</w:t>
            </w:r>
            <w:r>
              <w:rPr>
                <w:sz w:val="17"/>
              </w:rPr>
              <w:t xml:space="preserve"> </w:t>
            </w:r>
            <w:r>
              <w:rPr>
                <w:sz w:val="17"/>
              </w:rPr>
              <w:t xml:space="preserve">terrain, tableaux</w:t>
            </w:r>
            <w:r>
              <w:rPr>
                <w:sz w:val="17"/>
              </w:rPr>
              <w:t xml:space="preserve"> </w:t>
            </w:r>
            <w:r>
              <w:rPr>
                <w:sz w:val="17"/>
              </w:rPr>
              <w:t xml:space="preserve">de bord</w:t>
            </w:r>
          </w:p>
        </w:tc>
        <w:tc>
          <w:tcPr/>
          <w:p>
            <w:pPr>
              <w:pStyle w:val="Compact"/>
              <w:spacing w:after="20" w:before="20" w:line="240" w:lineRule="auto"/>
              <w:jc w:val="left"/>
            </w:pPr>
            <w:r>
              <w:rPr>
                <w:sz w:val="17"/>
              </w:rPr>
              <w:t xml:space="preserve">Version pilote</w:t>
            </w:r>
            <w:r>
              <w:rPr>
                <w:sz w:val="17"/>
              </w:rPr>
              <w:t xml:space="preserve"> </w:t>
            </w:r>
            <w:r>
              <w:rPr>
                <w:sz w:val="17"/>
              </w:rPr>
              <w:t xml:space="preserve">éprouvée, tests</w:t>
            </w:r>
            <w:r>
              <w:rPr>
                <w:sz w:val="17"/>
              </w:rPr>
              <w:t xml:space="preserve"> </w:t>
            </w:r>
            <w:r>
              <w:rPr>
                <w:sz w:val="17"/>
              </w:rPr>
              <w:t xml:space="preserve">d'intrusion,</w:t>
            </w:r>
            <w:r>
              <w:rPr>
                <w:sz w:val="17"/>
              </w:rPr>
              <w:t xml:space="preserve"> </w:t>
            </w:r>
            <w:r>
              <w:rPr>
                <w:sz w:val="17"/>
              </w:rPr>
              <w:t xml:space="preserve">documentation</w:t>
            </w:r>
          </w:p>
        </w:tc>
        <w:tc>
          <w:tcPr/>
          <w:p>
            <w:pPr>
              <w:pStyle w:val="Compact"/>
              <w:spacing w:after="20" w:before="20" w:line="240" w:lineRule="auto"/>
              <w:jc w:val="left"/>
            </w:pPr>
            <w:r>
              <w:rPr>
                <w:sz w:val="17"/>
              </w:rPr>
              <w:t xml:space="preserve">Recette technique</w:t>
            </w:r>
            <w:r>
              <w:rPr>
                <w:sz w:val="17"/>
              </w:rPr>
              <w:t xml:space="preserve"> </w:t>
            </w:r>
            <w:r>
              <w:rPr>
                <w:sz w:val="17"/>
              </w:rPr>
              <w:t xml:space="preserve">et sécurité</w:t>
            </w:r>
            <w:r>
              <w:rPr>
                <w:sz w:val="17"/>
              </w:rPr>
              <w:t xml:space="preserve"> </w:t>
            </w:r>
            <w:r>
              <w:rPr>
                <w:sz w:val="17"/>
              </w:rPr>
              <w:t xml:space="preserve">passée</w:t>
            </w:r>
          </w:p>
        </w:tc>
      </w:tr>
      <w:tr>
        <w:tc>
          <w:tcPr>
            <w:shd w:val="clear" w:color="auto" w:fill="F2F9F8"/>
          </w:tcPr>
          <w:p>
            <w:pPr>
              <w:pStyle w:val="Compact"/>
              <w:spacing w:after="20" w:before="20" w:line="240" w:lineRule="auto"/>
              <w:jc w:val="left"/>
            </w:pPr>
            <w:r>
              <w:rPr>
                <w:sz w:val="17"/>
              </w:rPr>
              <w:t xml:space="preserve">Phase 3 —</w:t>
            </w:r>
            <w:r>
              <w:rPr>
                <w:sz w:val="17"/>
              </w:rPr>
              <w:t xml:space="preserve"> </w:t>
            </w:r>
            <w:r>
              <w:rPr>
                <w:sz w:val="17"/>
              </w:rPr>
              <w:t xml:space="preserve">Pilote</w:t>
            </w:r>
          </w:p>
        </w:tc>
        <w:tc>
          <w:tcPr>
            <w:shd w:val="clear" w:color="auto" w:fill="F2F9F8"/>
          </w:tcPr>
          <w:p>
            <w:pPr>
              <w:pStyle w:val="Compact"/>
              <w:spacing w:after="20" w:before="20" w:line="240" w:lineRule="auto"/>
              <w:jc w:val="left"/>
            </w:pPr>
            <w:r>
              <w:rPr>
                <w:sz w:val="17"/>
              </w:rPr>
              <w:t xml:space="preserve">180 jours</w:t>
            </w:r>
          </w:p>
        </w:tc>
        <w:tc>
          <w:tcPr>
            <w:shd w:val="clear" w:color="auto" w:fill="F2F9F8"/>
          </w:tcPr>
          <w:p>
            <w:pPr>
              <w:pStyle w:val="Compact"/>
              <w:spacing w:after="20" w:before="20" w:line="240" w:lineRule="auto"/>
              <w:jc w:val="left"/>
            </w:pPr>
            <w:r>
              <w:rPr>
                <w:sz w:val="17"/>
              </w:rPr>
              <w:t xml:space="preserve">Recensement et</w:t>
            </w:r>
            <w:r>
              <w:rPr>
                <w:sz w:val="17"/>
              </w:rPr>
              <w:t xml:space="preserve"> </w:t>
            </w:r>
            <w:r>
              <w:rPr>
                <w:sz w:val="17"/>
              </w:rPr>
              <w:t xml:space="preserve">campagne réelle</w:t>
            </w:r>
            <w:r>
              <w:rPr>
                <w:sz w:val="17"/>
              </w:rPr>
              <w:t xml:space="preserve"> </w:t>
            </w:r>
            <w:r>
              <w:rPr>
                <w:sz w:val="17"/>
              </w:rPr>
              <w:t xml:space="preserve">dans quatre</w:t>
            </w:r>
            <w:r>
              <w:rPr>
                <w:sz w:val="17"/>
              </w:rPr>
              <w:t xml:space="preserve"> </w:t>
            </w:r>
            <w:r>
              <w:rPr>
                <w:sz w:val="17"/>
              </w:rPr>
              <w:t xml:space="preserve">communes</w:t>
            </w:r>
          </w:p>
        </w:tc>
        <w:tc>
          <w:tcPr>
            <w:shd w:val="clear" w:color="auto" w:fill="F2F9F8"/>
          </w:tcPr>
          <w:p>
            <w:pPr>
              <w:pStyle w:val="Compact"/>
              <w:spacing w:after="20" w:before="20" w:line="240" w:lineRule="auto"/>
              <w:jc w:val="left"/>
            </w:pPr>
            <w:r>
              <w:rPr>
                <w:sz w:val="17"/>
              </w:rPr>
              <w:t xml:space="preserve">Registre pilote,</w:t>
            </w:r>
            <w:r>
              <w:rPr>
                <w:sz w:val="17"/>
              </w:rPr>
              <w:t xml:space="preserve"> </w:t>
            </w:r>
            <w:r>
              <w:rPr>
                <w:sz w:val="17"/>
              </w:rPr>
              <w:t xml:space="preserve">résultats de</w:t>
            </w:r>
            <w:r>
              <w:rPr>
                <w:sz w:val="17"/>
              </w:rPr>
              <w:t xml:space="preserve"> </w:t>
            </w:r>
            <w:r>
              <w:rPr>
                <w:sz w:val="17"/>
              </w:rPr>
              <w:t xml:space="preserve">campagne, rapport</w:t>
            </w:r>
            <w:r>
              <w:rPr>
                <w:sz w:val="17"/>
              </w:rPr>
              <w:t xml:space="preserve"> </w:t>
            </w:r>
            <w:r>
              <w:rPr>
                <w:sz w:val="17"/>
              </w:rPr>
              <w:t xml:space="preserve">d'évaluation</w:t>
            </w:r>
            <w:r>
              <w:rPr>
                <w:sz w:val="17"/>
              </w:rPr>
              <w:t xml:space="preserve"> </w:t>
            </w:r>
            <w:r>
              <w:rPr>
                <w:sz w:val="17"/>
              </w:rPr>
              <w:t xml:space="preserve">indépendant</w:t>
            </w:r>
          </w:p>
        </w:tc>
        <w:tc>
          <w:tcPr>
            <w:shd w:val="clear" w:color="auto" w:fill="F2F9F8"/>
          </w:tcPr>
          <w:p>
            <w:pPr>
              <w:pStyle w:val="Compact"/>
              <w:spacing w:after="20" w:before="20" w:line="240" w:lineRule="auto"/>
              <w:jc w:val="left"/>
            </w:pPr>
            <w:r>
              <w:rPr>
                <w:sz w:val="17"/>
              </w:rPr>
              <w:t xml:space="preserve">Objectifs de</w:t>
            </w:r>
            <w:r>
              <w:rPr>
                <w:sz w:val="17"/>
              </w:rPr>
              <w:t xml:space="preserve"> </w:t>
            </w:r>
            <w:r>
              <w:rPr>
                <w:sz w:val="17"/>
              </w:rPr>
              <w:t xml:space="preserve">couverture et</w:t>
            </w:r>
            <w:r>
              <w:rPr>
                <w:sz w:val="17"/>
              </w:rPr>
              <w:t xml:space="preserve"> </w:t>
            </w:r>
            <w:r>
              <w:rPr>
                <w:sz w:val="17"/>
              </w:rPr>
              <w:t xml:space="preserve">d'encaissement</w:t>
            </w:r>
            <w:r>
              <w:rPr>
                <w:sz w:val="17"/>
              </w:rPr>
              <w:t xml:space="preserve"> </w:t>
            </w:r>
            <w:r>
              <w:rPr>
                <w:sz w:val="17"/>
              </w:rPr>
              <w:t xml:space="preserve">atteints</w:t>
            </w:r>
          </w:p>
        </w:tc>
      </w:tr>
      <w:tr>
        <w:tc>
          <w:tcPr/>
          <w:p>
            <w:pPr>
              <w:pStyle w:val="Compact"/>
              <w:spacing w:after="20" w:before="20" w:line="240" w:lineRule="auto"/>
              <w:jc w:val="left"/>
            </w:pPr>
            <w:r>
              <w:rPr>
                <w:sz w:val="17"/>
              </w:rPr>
              <w:t xml:space="preserve">Phase 4 —</w:t>
            </w:r>
            <w:r>
              <w:rPr>
                <w:sz w:val="17"/>
              </w:rPr>
              <w:t xml:space="preserve"> </w:t>
            </w:r>
            <w:r>
              <w:rPr>
                <w:sz w:val="17"/>
              </w:rPr>
              <w:t xml:space="preserve">Extension</w:t>
            </w:r>
          </w:p>
        </w:tc>
        <w:tc>
          <w:tcPr/>
          <w:p>
            <w:pPr>
              <w:pStyle w:val="Compact"/>
              <w:spacing w:after="20" w:before="20" w:line="240" w:lineRule="auto"/>
              <w:jc w:val="left"/>
            </w:pPr>
            <w:r>
              <w:rPr>
                <w:sz w:val="17"/>
              </w:rPr>
              <w:t xml:space="preserve">9 à 12 mois</w:t>
            </w:r>
          </w:p>
        </w:tc>
        <w:tc>
          <w:tcPr/>
          <w:p>
            <w:pPr>
              <w:pStyle w:val="Compact"/>
              <w:spacing w:after="20" w:before="20" w:line="240" w:lineRule="auto"/>
              <w:jc w:val="left"/>
            </w:pPr>
            <w:r>
              <w:rPr>
                <w:sz w:val="17"/>
              </w:rPr>
              <w:t xml:space="preserve">Communes</w:t>
            </w:r>
            <w:r>
              <w:rPr>
                <w:sz w:val="17"/>
              </w:rPr>
              <w:t xml:space="preserve"> </w:t>
            </w:r>
            <w:r>
              <w:rPr>
                <w:sz w:val="17"/>
              </w:rPr>
              <w:t xml:space="preserve">supplémentaires,</w:t>
            </w:r>
            <w:r>
              <w:rPr>
                <w:sz w:val="17"/>
              </w:rPr>
              <w:t xml:space="preserve"> </w:t>
            </w:r>
            <w:r>
              <w:rPr>
                <w:sz w:val="17"/>
              </w:rPr>
              <w:t xml:space="preserve">nouveaux modules,</w:t>
            </w:r>
            <w:r>
              <w:rPr>
                <w:sz w:val="17"/>
              </w:rPr>
              <w:t xml:space="preserve"> </w:t>
            </w:r>
            <w:r>
              <w:rPr>
                <w:sz w:val="17"/>
              </w:rPr>
              <w:t xml:space="preserve">canaux et</w:t>
            </w:r>
            <w:r>
              <w:rPr>
                <w:sz w:val="17"/>
              </w:rPr>
              <w:t xml:space="preserve"> </w:t>
            </w:r>
            <w:r>
              <w:rPr>
                <w:sz w:val="17"/>
              </w:rPr>
              <w:t xml:space="preserve">intégrations</w:t>
            </w:r>
          </w:p>
        </w:tc>
        <w:tc>
          <w:tcPr/>
          <w:p>
            <w:pPr>
              <w:pStyle w:val="Compact"/>
              <w:spacing w:after="20" w:before="20" w:line="240" w:lineRule="auto"/>
              <w:jc w:val="left"/>
            </w:pPr>
            <w:r>
              <w:rPr>
                <w:sz w:val="17"/>
              </w:rPr>
              <w:t xml:space="preserve">Déploiement</w:t>
            </w:r>
            <w:r>
              <w:rPr>
                <w:sz w:val="17"/>
              </w:rPr>
              <w:t xml:space="preserve"> </w:t>
            </w:r>
            <w:r>
              <w:rPr>
                <w:sz w:val="17"/>
              </w:rPr>
              <w:t xml:space="preserve">progressif,</w:t>
            </w:r>
            <w:r>
              <w:rPr>
                <w:sz w:val="17"/>
              </w:rPr>
              <w:t xml:space="preserve"> </w:t>
            </w:r>
            <w:r>
              <w:rPr>
                <w:sz w:val="17"/>
              </w:rPr>
              <w:t xml:space="preserve">formation,</w:t>
            </w:r>
            <w:r>
              <w:rPr>
                <w:sz w:val="17"/>
              </w:rPr>
              <w:t xml:space="preserve"> </w:t>
            </w:r>
            <w:r>
              <w:rPr>
                <w:sz w:val="17"/>
              </w:rPr>
              <w:t xml:space="preserve">conventions</w:t>
            </w:r>
            <w:r>
              <w:rPr>
                <w:sz w:val="17"/>
              </w:rPr>
              <w:t xml:space="preserve"> </w:t>
            </w:r>
            <w:r>
              <w:rPr>
                <w:sz w:val="17"/>
              </w:rPr>
              <w:t xml:space="preserve">partenaires</w:t>
            </w:r>
          </w:p>
        </w:tc>
        <w:tc>
          <w:tcPr/>
          <w:p>
            <w:pPr>
              <w:pStyle w:val="Compact"/>
              <w:spacing w:after="20" w:before="20" w:line="240" w:lineRule="auto"/>
              <w:jc w:val="left"/>
            </w:pPr>
            <w:r>
              <w:rPr>
                <w:sz w:val="17"/>
              </w:rPr>
              <w:t xml:space="preserve">Stabilité</w:t>
            </w:r>
            <w:r>
              <w:rPr>
                <w:sz w:val="17"/>
              </w:rPr>
              <w:t xml:space="preserve"> </w:t>
            </w:r>
            <w:r>
              <w:rPr>
                <w:sz w:val="17"/>
              </w:rPr>
              <w:t xml:space="preserve">opérationnelle</w:t>
            </w:r>
            <w:r>
              <w:rPr>
                <w:sz w:val="17"/>
              </w:rPr>
              <w:t xml:space="preserve"> </w:t>
            </w:r>
            <w:r>
              <w:rPr>
                <w:sz w:val="17"/>
              </w:rPr>
              <w:t xml:space="preserve">par vague</w:t>
            </w:r>
          </w:p>
        </w:tc>
      </w:tr>
      <w:tr>
        <w:tc>
          <w:tcPr>
            <w:shd w:val="clear" w:color="auto" w:fill="F2F9F8"/>
          </w:tcPr>
          <w:p>
            <w:pPr>
              <w:pStyle w:val="Compact"/>
              <w:spacing w:after="20" w:before="20" w:line="240" w:lineRule="auto"/>
              <w:jc w:val="left"/>
            </w:pPr>
            <w:r>
              <w:rPr>
                <w:sz w:val="17"/>
              </w:rPr>
              <w:t xml:space="preserve">Phase 5 —</w:t>
            </w:r>
            <w:r>
              <w:rPr>
                <w:sz w:val="17"/>
              </w:rPr>
              <w:t xml:space="preserve"> </w:t>
            </w:r>
            <w:r>
              <w:rPr>
                <w:sz w:val="17"/>
              </w:rPr>
              <w:t xml:space="preserve">Généralisation</w:t>
            </w:r>
          </w:p>
        </w:tc>
        <w:tc>
          <w:tcPr>
            <w:shd w:val="clear" w:color="auto" w:fill="F2F9F8"/>
          </w:tcPr>
          <w:p>
            <w:pPr>
              <w:pStyle w:val="Compact"/>
              <w:spacing w:after="20" w:before="20" w:line="240" w:lineRule="auto"/>
              <w:jc w:val="left"/>
            </w:pPr>
            <w:r>
              <w:rPr>
                <w:sz w:val="17"/>
              </w:rPr>
              <w:t xml:space="preserve">6 à 9 mois</w:t>
            </w:r>
          </w:p>
        </w:tc>
        <w:tc>
          <w:tcPr>
            <w:shd w:val="clear" w:color="auto" w:fill="F2F9F8"/>
          </w:tcPr>
          <w:p>
            <w:pPr>
              <w:pStyle w:val="Compact"/>
              <w:spacing w:after="20" w:before="20" w:line="240" w:lineRule="auto"/>
              <w:jc w:val="left"/>
            </w:pPr>
            <w:r>
              <w:rPr>
                <w:sz w:val="17"/>
              </w:rPr>
              <w:t xml:space="preserve">Couverture des 24</w:t>
            </w:r>
            <w:r>
              <w:rPr>
                <w:sz w:val="17"/>
              </w:rPr>
              <w:t xml:space="preserve"> </w:t>
            </w:r>
            <w:r>
              <w:rPr>
                <w:sz w:val="17"/>
              </w:rPr>
              <w:t xml:space="preserve">communes et des</w:t>
            </w:r>
            <w:r>
              <w:rPr>
                <w:sz w:val="17"/>
              </w:rPr>
              <w:t xml:space="preserve"> </w:t>
            </w:r>
            <w:r>
              <w:rPr>
                <w:sz w:val="17"/>
              </w:rPr>
              <w:t xml:space="preserve">catégories</w:t>
            </w:r>
            <w:r>
              <w:rPr>
                <w:sz w:val="17"/>
              </w:rPr>
              <w:t xml:space="preserve"> </w:t>
            </w:r>
            <w:r>
              <w:rPr>
                <w:sz w:val="17"/>
              </w:rPr>
              <w:t xml:space="preserve">majeures</w:t>
            </w:r>
          </w:p>
        </w:tc>
        <w:tc>
          <w:tcPr>
            <w:shd w:val="clear" w:color="auto" w:fill="F2F9F8"/>
          </w:tcPr>
          <w:p>
            <w:pPr>
              <w:pStyle w:val="Compact"/>
              <w:spacing w:after="20" w:before="20" w:line="240" w:lineRule="auto"/>
              <w:jc w:val="left"/>
            </w:pPr>
            <w:r>
              <w:rPr>
                <w:sz w:val="17"/>
              </w:rPr>
              <w:t xml:space="preserve">Exploitation</w:t>
            </w:r>
            <w:r>
              <w:rPr>
                <w:sz w:val="17"/>
              </w:rPr>
              <w:t xml:space="preserve"> </w:t>
            </w:r>
            <w:r>
              <w:rPr>
                <w:sz w:val="17"/>
              </w:rPr>
              <w:t xml:space="preserve">courante,</w:t>
            </w:r>
            <w:r>
              <w:rPr>
                <w:sz w:val="17"/>
              </w:rPr>
              <w:t xml:space="preserve"> </w:t>
            </w:r>
            <w:r>
              <w:rPr>
                <w:sz w:val="17"/>
              </w:rPr>
              <w:t xml:space="preserve">transfert de</w:t>
            </w:r>
            <w:r>
              <w:rPr>
                <w:sz w:val="17"/>
              </w:rPr>
              <w:t xml:space="preserve"> </w:t>
            </w:r>
            <w:r>
              <w:rPr>
                <w:sz w:val="17"/>
              </w:rPr>
              <w:t xml:space="preserve">compétences</w:t>
            </w:r>
          </w:p>
        </w:tc>
        <w:tc>
          <w:tcPr>
            <w:shd w:val="clear" w:color="auto" w:fill="F2F9F8"/>
          </w:tcPr>
          <w:p>
            <w:pPr>
              <w:pStyle w:val="Compact"/>
              <w:spacing w:after="20" w:before="20" w:line="240" w:lineRule="auto"/>
              <w:jc w:val="left"/>
            </w:pPr>
            <w:r>
              <w:rPr>
                <w:sz w:val="17"/>
              </w:rPr>
              <w:t xml:space="preserve">Autonomie des</w:t>
            </w:r>
            <w:r>
              <w:rPr>
                <w:sz w:val="17"/>
              </w:rPr>
              <w:t xml:space="preserve"> </w:t>
            </w:r>
            <w:r>
              <w:rPr>
                <w:sz w:val="17"/>
              </w:rPr>
              <w:t xml:space="preserve">équipes</w:t>
            </w:r>
            <w:r>
              <w:rPr>
                <w:sz w:val="17"/>
              </w:rPr>
              <w:t xml:space="preserve"> </w:t>
            </w:r>
            <w:r>
              <w:rPr>
                <w:sz w:val="17"/>
              </w:rPr>
              <w:t xml:space="preserve">provinciales</w:t>
            </w:r>
          </w:p>
        </w:tc>
      </w:tr>
      <w:tr>
        <w:tc>
          <w:tcPr/>
          <w:p>
            <w:pPr>
              <w:pStyle w:val="Compact"/>
              <w:spacing w:after="20" w:before="20" w:line="240" w:lineRule="auto"/>
              <w:jc w:val="left"/>
            </w:pPr>
            <w:r>
              <w:rPr>
                <w:sz w:val="17"/>
              </w:rPr>
              <w:t xml:space="preserve">Phase 6 —</w:t>
            </w:r>
            <w:r>
              <w:rPr>
                <w:sz w:val="17"/>
              </w:rPr>
              <w:t xml:space="preserve"> </w:t>
            </w:r>
            <w:r>
              <w:rPr>
                <w:sz w:val="17"/>
              </w:rPr>
              <w:t xml:space="preserve">Optimisation</w:t>
            </w:r>
          </w:p>
        </w:tc>
        <w:tc>
          <w:tcPr/>
          <w:p>
            <w:pPr>
              <w:pStyle w:val="Compact"/>
              <w:spacing w:after="20" w:before="20" w:line="240" w:lineRule="auto"/>
              <w:jc w:val="left"/>
            </w:pPr>
            <w:r>
              <w:rPr>
                <w:sz w:val="17"/>
              </w:rPr>
              <w:t xml:space="preserve">Continu</w:t>
            </w:r>
          </w:p>
        </w:tc>
        <w:tc>
          <w:tcPr/>
          <w:p>
            <w:pPr>
              <w:pStyle w:val="Compact"/>
              <w:spacing w:after="20" w:before="20" w:line="240" w:lineRule="auto"/>
              <w:jc w:val="left"/>
            </w:pPr>
            <w:r>
              <w:rPr>
                <w:sz w:val="17"/>
              </w:rPr>
              <w:t xml:space="preserve">Amélioration par</w:t>
            </w:r>
            <w:r>
              <w:rPr>
                <w:sz w:val="17"/>
              </w:rPr>
              <w:t xml:space="preserve"> </w:t>
            </w:r>
            <w:r>
              <w:rPr>
                <w:sz w:val="17"/>
              </w:rPr>
              <w:t xml:space="preserve">la donnée,</w:t>
            </w:r>
            <w:r>
              <w:rPr>
                <w:sz w:val="17"/>
              </w:rPr>
              <w:t xml:space="preserve"> </w:t>
            </w:r>
            <w:r>
              <w:rPr>
                <w:sz w:val="17"/>
              </w:rPr>
              <w:t xml:space="preserve">extension des</w:t>
            </w:r>
            <w:r>
              <w:rPr>
                <w:sz w:val="17"/>
              </w:rPr>
              <w:t xml:space="preserve"> </w:t>
            </w:r>
            <w:r>
              <w:rPr>
                <w:sz w:val="17"/>
              </w:rPr>
              <w:t xml:space="preserve">gisements,</w:t>
            </w:r>
            <w:r>
              <w:rPr>
                <w:sz w:val="17"/>
              </w:rPr>
              <w:t xml:space="preserve"> </w:t>
            </w:r>
            <w:r>
              <w:rPr>
                <w:sz w:val="17"/>
              </w:rPr>
              <w:t xml:space="preserve">réduction des</w:t>
            </w:r>
            <w:r>
              <w:rPr>
                <w:sz w:val="17"/>
              </w:rPr>
              <w:t xml:space="preserve"> </w:t>
            </w:r>
            <w:r>
              <w:rPr>
                <w:sz w:val="17"/>
              </w:rPr>
              <w:t xml:space="preserve">coûts</w:t>
            </w:r>
          </w:p>
        </w:tc>
        <w:tc>
          <w:tcPr/>
          <w:p>
            <w:pPr>
              <w:pStyle w:val="Compact"/>
              <w:spacing w:after="20" w:before="20" w:line="240" w:lineRule="auto"/>
              <w:jc w:val="left"/>
            </w:pPr>
            <w:r>
              <w:rPr>
                <w:sz w:val="17"/>
              </w:rPr>
              <w:t xml:space="preserve">Revues</w:t>
            </w:r>
            <w:r>
              <w:rPr>
                <w:sz w:val="17"/>
              </w:rPr>
              <w:t xml:space="preserve"> </w:t>
            </w:r>
            <w:r>
              <w:rPr>
                <w:sz w:val="17"/>
              </w:rPr>
              <w:t xml:space="preserve">trimestrielles,</w:t>
            </w:r>
            <w:r>
              <w:rPr>
                <w:sz w:val="17"/>
              </w:rPr>
              <w:t xml:space="preserve"> </w:t>
            </w:r>
            <w:r>
              <w:rPr>
                <w:sz w:val="17"/>
              </w:rPr>
              <w:t xml:space="preserve">plan</w:t>
            </w:r>
            <w:r>
              <w:rPr>
                <w:sz w:val="17"/>
              </w:rPr>
              <w:t xml:space="preserve"> </w:t>
            </w:r>
            <w:r>
              <w:rPr>
                <w:sz w:val="17"/>
              </w:rPr>
              <w:t xml:space="preserve">d'amélioration</w:t>
            </w:r>
          </w:p>
        </w:tc>
        <w:tc>
          <w:tcPr/>
          <w:p>
            <w:pPr>
              <w:pStyle w:val="Compact"/>
              <w:spacing w:after="20" w:before="20" w:line="240" w:lineRule="auto"/>
              <w:jc w:val="left"/>
            </w:pPr>
            <w:r>
              <w:rPr>
                <w:sz w:val="17"/>
              </w:rPr>
              <w:t xml:space="preserve">Indicateurs en</w:t>
            </w:r>
            <w:r>
              <w:rPr>
                <w:sz w:val="17"/>
              </w:rPr>
              <w:t xml:space="preserve"> </w:t>
            </w:r>
            <w:r>
              <w:rPr>
                <w:sz w:val="17"/>
              </w:rPr>
              <w:t xml:space="preserve">progression</w:t>
            </w:r>
            <w:r>
              <w:rPr>
                <w:sz w:val="17"/>
              </w:rPr>
              <w:t xml:space="preserve"> </w:t>
            </w:r>
            <w:r>
              <w:rPr>
                <w:sz w:val="17"/>
              </w:rPr>
              <w:t xml:space="preserve">soutenue</w:t>
            </w:r>
          </w:p>
        </w:tc>
      </w:tr>
    </w:tbl>
    <w:bookmarkEnd w:id="262"/>
    <w:bookmarkStart w:id="263" w:name="plans-daction-datés"/>
    <w:p>
      <w:pPr>
        <w:pStyle w:val="Heading2"/>
      </w:pPr>
      <w:r>
        <w:t xml:space="preserve">34.2 Plans d'action datés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386"/>
        <w:gridCol w:w="4158"/>
        <w:gridCol w:w="2178"/>
      </w:tblGrid>
      <w:tr>
        <w:trPr>
          <w:tblHeader w:val="true"/>
          <w:tblHeader/>
        </w:trPr>
        <w:tc>
          <w:tcPr>
            <w:shd w:val="clear" w:color="auto" w:fill="1BA996"/>
          </w:tcPr>
          <w:p>
            <w:pPr>
              <w:pStyle w:val="Compact"/>
              <w:spacing w:after="20" w:before="20" w:line="240" w:lineRule="auto"/>
              <w:jc w:val="left"/>
            </w:pPr>
            <w:r>
              <w:rPr>
                <w:b/>
                <w:bCs/>
                <w:color w:val="FFFFFF"/>
                <w:sz w:val="17"/>
              </w:rPr>
              <w:t xml:space="preserve">Horizon</w:t>
            </w:r>
          </w:p>
        </w:tc>
        <w:tc>
          <w:tcPr>
            <w:shd w:val="clear" w:color="auto" w:fill="1BA996"/>
          </w:tcPr>
          <w:p>
            <w:pPr>
              <w:pStyle w:val="Compact"/>
              <w:spacing w:after="20" w:before="20" w:line="240" w:lineRule="auto"/>
              <w:jc w:val="left"/>
            </w:pPr>
            <w:r>
              <w:rPr>
                <w:b/>
                <w:bCs/>
                <w:color w:val="FFFFFF"/>
                <w:sz w:val="17"/>
              </w:rPr>
              <w:t xml:space="preserve">Actions clés</w:t>
            </w:r>
          </w:p>
        </w:tc>
        <w:tc>
          <w:tcPr>
            <w:shd w:val="clear" w:color="auto" w:fill="1BA996"/>
          </w:tcPr>
          <w:p>
            <w:pPr>
              <w:pStyle w:val="Compact"/>
              <w:spacing w:after="20" w:before="20" w:line="240" w:lineRule="auto"/>
              <w:jc w:val="left"/>
            </w:pPr>
            <w:r>
              <w:rPr>
                <w:b/>
                <w:bCs/>
                <w:color w:val="FFFFFF"/>
                <w:sz w:val="17"/>
              </w:rPr>
              <w:t xml:space="preserve">Preuve de</w:t>
            </w:r>
            <w:r>
              <w:rPr>
                <w:b/>
                <w:bCs/>
                <w:color w:val="FFFFFF"/>
                <w:sz w:val="17"/>
              </w:rPr>
              <w:t xml:space="preserve"> </w:t>
            </w:r>
            <w:r>
              <w:rPr>
                <w:b/>
                <w:bCs/>
                <w:color w:val="FFFFFF"/>
                <w:sz w:val="17"/>
              </w:rPr>
              <w:t xml:space="preserve">réalisation</w:t>
            </w:r>
          </w:p>
        </w:tc>
      </w:tr>
      <w:tr>
        <w:tc>
          <w:tcPr/>
          <w:p>
            <w:pPr>
              <w:pStyle w:val="Compact"/>
              <w:spacing w:after="20" w:before="20" w:line="240" w:lineRule="auto"/>
              <w:jc w:val="left"/>
            </w:pPr>
            <w:r>
              <w:rPr>
                <w:sz w:val="17"/>
              </w:rPr>
              <w:t xml:space="preserve">30 jours</w:t>
            </w:r>
          </w:p>
        </w:tc>
        <w:tc>
          <w:tcPr/>
          <w:p>
            <w:pPr>
              <w:pStyle w:val="Compact"/>
              <w:spacing w:after="20" w:before="20" w:line="240" w:lineRule="auto"/>
              <w:jc w:val="left"/>
            </w:pPr>
            <w:r>
              <w:rPr>
                <w:sz w:val="17"/>
              </w:rPr>
              <w:t xml:space="preserve">Décision provinciale ; nomination du</w:t>
            </w:r>
            <w:r>
              <w:rPr>
                <w:sz w:val="17"/>
              </w:rPr>
              <w:t xml:space="preserve"> </w:t>
            </w:r>
            <w:r>
              <w:rPr>
                <w:sz w:val="17"/>
              </w:rPr>
              <w:t xml:space="preserve">comité de pilotage ; relevé juridique sur</w:t>
            </w:r>
            <w:r>
              <w:rPr>
                <w:sz w:val="17"/>
              </w:rPr>
              <w:t xml:space="preserve"> </w:t>
            </w:r>
            <w:r>
              <w:rPr>
                <w:sz w:val="17"/>
              </w:rPr>
              <w:t xml:space="preserve">l'Ordonnance-loi n° 18/004 et l'édit en</w:t>
            </w:r>
            <w:r>
              <w:rPr>
                <w:sz w:val="17"/>
              </w:rPr>
              <w:t xml:space="preserve"> </w:t>
            </w:r>
            <w:r>
              <w:rPr>
                <w:sz w:val="17"/>
              </w:rPr>
              <w:t xml:space="preserve">vigueur ; inventaire des systèmes et des</w:t>
            </w:r>
            <w:r>
              <w:rPr>
                <w:sz w:val="17"/>
              </w:rPr>
              <w:t xml:space="preserve"> </w:t>
            </w:r>
            <w:r>
              <w:rPr>
                <w:sz w:val="17"/>
              </w:rPr>
              <w:t xml:space="preserve">bases existantes ; base de référence des</w:t>
            </w:r>
            <w:r>
              <w:rPr>
                <w:sz w:val="17"/>
              </w:rPr>
              <w:t xml:space="preserve"> </w:t>
            </w:r>
            <w:r>
              <w:rPr>
                <w:sz w:val="17"/>
              </w:rPr>
              <w:t xml:space="preserve">recettes ; lettre d'intention aux</w:t>
            </w:r>
            <w:r>
              <w:rPr>
                <w:sz w:val="17"/>
              </w:rPr>
              <w:t xml:space="preserve"> </w:t>
            </w:r>
            <w:r>
              <w:rPr>
                <w:sz w:val="17"/>
              </w:rPr>
              <w:t xml:space="preserve">partenaires de données</w:t>
            </w:r>
          </w:p>
        </w:tc>
        <w:tc>
          <w:tcPr/>
          <w:p>
            <w:pPr>
              <w:pStyle w:val="Compact"/>
              <w:spacing w:after="20" w:before="20" w:line="240" w:lineRule="auto"/>
              <w:jc w:val="left"/>
            </w:pPr>
            <w:r>
              <w:rPr>
                <w:sz w:val="17"/>
              </w:rPr>
              <w:t xml:space="preserve">Acte de nomination,</w:t>
            </w:r>
            <w:r>
              <w:rPr>
                <w:sz w:val="17"/>
              </w:rPr>
              <w:t xml:space="preserve"> </w:t>
            </w:r>
            <w:r>
              <w:rPr>
                <w:sz w:val="17"/>
              </w:rPr>
              <w:t xml:space="preserve">relevé juridique</w:t>
            </w:r>
            <w:r>
              <w:rPr>
                <w:sz w:val="17"/>
              </w:rPr>
              <w:t xml:space="preserve"> </w:t>
            </w:r>
            <w:r>
              <w:rPr>
                <w:sz w:val="17"/>
              </w:rPr>
              <w:t xml:space="preserve">signé, inventaire</w:t>
            </w:r>
            <w:r>
              <w:rPr>
                <w:sz w:val="17"/>
              </w:rPr>
              <w:t xml:space="preserve"> </w:t>
            </w:r>
            <w:r>
              <w:rPr>
                <w:sz w:val="17"/>
              </w:rPr>
              <w:t xml:space="preserve">remis</w:t>
            </w:r>
          </w:p>
        </w:tc>
      </w:tr>
      <w:tr>
        <w:tc>
          <w:tcPr>
            <w:shd w:val="clear" w:color="auto" w:fill="F2F9F8"/>
          </w:tcPr>
          <w:p>
            <w:pPr>
              <w:pStyle w:val="Compact"/>
              <w:spacing w:after="20" w:before="20" w:line="240" w:lineRule="auto"/>
              <w:jc w:val="left"/>
            </w:pPr>
            <w:r>
              <w:rPr>
                <w:sz w:val="17"/>
              </w:rPr>
              <w:t xml:space="preserve">90 jours</w:t>
            </w:r>
          </w:p>
        </w:tc>
        <w:tc>
          <w:tcPr>
            <w:shd w:val="clear" w:color="auto" w:fill="F2F9F8"/>
          </w:tcPr>
          <w:p>
            <w:pPr>
              <w:pStyle w:val="Compact"/>
              <w:spacing w:after="20" w:before="20" w:line="240" w:lineRule="auto"/>
              <w:jc w:val="left"/>
            </w:pPr>
            <w:r>
              <w:rPr>
                <w:sz w:val="17"/>
              </w:rPr>
              <w:t xml:space="preserve">Référentiel des recettes prioritaires</w:t>
            </w:r>
            <w:r>
              <w:rPr>
                <w:sz w:val="17"/>
              </w:rPr>
              <w:t xml:space="preserve"> </w:t>
            </w:r>
            <w:r>
              <w:rPr>
                <w:sz w:val="17"/>
              </w:rPr>
              <w:t xml:space="preserve">paramétré et validé ; architecture et</w:t>
            </w:r>
            <w:r>
              <w:rPr>
                <w:sz w:val="17"/>
              </w:rPr>
              <w:t xml:space="preserve"> </w:t>
            </w:r>
            <w:r>
              <w:rPr>
                <w:sz w:val="17"/>
              </w:rPr>
              <w:t xml:space="preserve">sécurité approuvées ; protocoles de</w:t>
            </w:r>
            <w:r>
              <w:rPr>
                <w:sz w:val="17"/>
              </w:rPr>
              <w:t xml:space="preserve"> </w:t>
            </w:r>
            <w:r>
              <w:rPr>
                <w:sz w:val="17"/>
              </w:rPr>
              <w:t xml:space="preserve">données signés ; communes pilotes</w:t>
            </w:r>
            <w:r>
              <w:rPr>
                <w:sz w:val="17"/>
              </w:rPr>
              <w:t xml:space="preserve"> </w:t>
            </w:r>
            <w:r>
              <w:rPr>
                <w:sz w:val="17"/>
              </w:rPr>
              <w:t xml:space="preserve">arrêtées ; équipes recrutées et formées ;</w:t>
            </w:r>
            <w:r>
              <w:rPr>
                <w:sz w:val="17"/>
              </w:rPr>
              <w:t xml:space="preserve"> </w:t>
            </w:r>
            <w:r>
              <w:rPr>
                <w:sz w:val="17"/>
              </w:rPr>
              <w:t xml:space="preserve">socle en développement</w:t>
            </w:r>
          </w:p>
        </w:tc>
        <w:tc>
          <w:tcPr>
            <w:shd w:val="clear" w:color="auto" w:fill="F2F9F8"/>
          </w:tcPr>
          <w:p>
            <w:pPr>
              <w:pStyle w:val="Compact"/>
              <w:spacing w:after="20" w:before="20" w:line="240" w:lineRule="auto"/>
              <w:jc w:val="left"/>
            </w:pPr>
            <w:r>
              <w:rPr>
                <w:sz w:val="17"/>
              </w:rPr>
              <w:t xml:space="preserve">Référentiel</w:t>
            </w:r>
            <w:r>
              <w:rPr>
                <w:sz w:val="17"/>
              </w:rPr>
              <w:t xml:space="preserve"> </w:t>
            </w:r>
            <w:r>
              <w:rPr>
                <w:sz w:val="17"/>
              </w:rPr>
              <w:t xml:space="preserve">versionné, protocoles</w:t>
            </w:r>
            <w:r>
              <w:rPr>
                <w:sz w:val="17"/>
              </w:rPr>
              <w:t xml:space="preserve"> </w:t>
            </w:r>
            <w:r>
              <w:rPr>
                <w:sz w:val="17"/>
              </w:rPr>
              <w:t xml:space="preserve">signés, socle</w:t>
            </w:r>
            <w:r>
              <w:rPr>
                <w:sz w:val="17"/>
              </w:rPr>
              <w:t xml:space="preserve"> </w:t>
            </w:r>
            <w:r>
              <w:rPr>
                <w:sz w:val="17"/>
              </w:rPr>
              <w:t xml:space="preserve">démontrable</w:t>
            </w:r>
          </w:p>
        </w:tc>
      </w:tr>
      <w:tr>
        <w:tc>
          <w:tcPr/>
          <w:p>
            <w:pPr>
              <w:pStyle w:val="Compact"/>
              <w:spacing w:after="20" w:before="20" w:line="240" w:lineRule="auto"/>
              <w:jc w:val="left"/>
            </w:pPr>
            <w:r>
              <w:rPr>
                <w:sz w:val="17"/>
              </w:rPr>
              <w:t xml:space="preserve">180 jours</w:t>
            </w:r>
          </w:p>
        </w:tc>
        <w:tc>
          <w:tcPr/>
          <w:p>
            <w:pPr>
              <w:pStyle w:val="Compact"/>
              <w:spacing w:after="20" w:before="20" w:line="240" w:lineRule="auto"/>
              <w:jc w:val="left"/>
            </w:pPr>
            <w:r>
              <w:rPr>
                <w:sz w:val="17"/>
              </w:rPr>
              <w:t xml:space="preserve">Recensement locatif et commercial des</w:t>
            </w:r>
            <w:r>
              <w:rPr>
                <w:sz w:val="17"/>
              </w:rPr>
              <w:t xml:space="preserve"> </w:t>
            </w:r>
            <w:r>
              <w:rPr>
                <w:sz w:val="17"/>
              </w:rPr>
              <w:t xml:space="preserve">communes pilotes ; paiements</w:t>
            </w:r>
            <w:r>
              <w:rPr>
                <w:sz w:val="17"/>
              </w:rPr>
              <w:t xml:space="preserve"> </w:t>
            </w:r>
            <w:r>
              <w:rPr>
                <w:sz w:val="17"/>
              </w:rPr>
              <w:t xml:space="preserve">électroniques opérationnels ; quittance</w:t>
            </w:r>
            <w:r>
              <w:rPr>
                <w:sz w:val="17"/>
              </w:rPr>
              <w:t xml:space="preserve"> </w:t>
            </w:r>
            <w:r>
              <w:rPr>
                <w:sz w:val="17"/>
              </w:rPr>
              <w:t xml:space="preserve">vérifiable en service ; tableaux de bord</w:t>
            </w:r>
            <w:r>
              <w:rPr>
                <w:sz w:val="17"/>
              </w:rPr>
              <w:t xml:space="preserve"> </w:t>
            </w:r>
            <w:r>
              <w:rPr>
                <w:sz w:val="17"/>
              </w:rPr>
              <w:t xml:space="preserve">en production ; campagne de février prête</w:t>
            </w:r>
            <w:r>
              <w:rPr>
                <w:sz w:val="17"/>
              </w:rPr>
              <w:t xml:space="preserve"> </w:t>
            </w:r>
            <w:r>
              <w:rPr>
                <w:sz w:val="17"/>
              </w:rPr>
              <w:t xml:space="preserve">avec déclarations pré-remplies</w:t>
            </w:r>
          </w:p>
        </w:tc>
        <w:tc>
          <w:tcPr/>
          <w:p>
            <w:pPr>
              <w:pStyle w:val="Compact"/>
              <w:spacing w:after="20" w:before="20" w:line="240" w:lineRule="auto"/>
              <w:jc w:val="left"/>
            </w:pPr>
            <w:r>
              <w:rPr>
                <w:sz w:val="17"/>
              </w:rPr>
              <w:t xml:space="preserve">Rapport de pilote,</w:t>
            </w:r>
            <w:r>
              <w:rPr>
                <w:sz w:val="17"/>
              </w:rPr>
              <w:t xml:space="preserve"> </w:t>
            </w:r>
            <w:r>
              <w:rPr>
                <w:sz w:val="17"/>
              </w:rPr>
              <w:t xml:space="preserve">statistiques de</w:t>
            </w:r>
            <w:r>
              <w:rPr>
                <w:sz w:val="17"/>
              </w:rPr>
              <w:t xml:space="preserve"> </w:t>
            </w:r>
            <w:r>
              <w:rPr>
                <w:sz w:val="17"/>
              </w:rPr>
              <w:t xml:space="preserve">couverture, recettes</w:t>
            </w:r>
            <w:r>
              <w:rPr>
                <w:sz w:val="17"/>
              </w:rPr>
              <w:t xml:space="preserve"> </w:t>
            </w:r>
            <w:r>
              <w:rPr>
                <w:sz w:val="17"/>
              </w:rPr>
              <w:t xml:space="preserve">rapprochées</w:t>
            </w:r>
          </w:p>
        </w:tc>
      </w:tr>
      <w:tr>
        <w:tc>
          <w:tcPr>
            <w:shd w:val="clear" w:color="auto" w:fill="F2F9F8"/>
          </w:tcPr>
          <w:p>
            <w:pPr>
              <w:pStyle w:val="Compact"/>
              <w:spacing w:after="20" w:before="20" w:line="240" w:lineRule="auto"/>
              <w:jc w:val="left"/>
            </w:pPr>
            <w:r>
              <w:rPr>
                <w:sz w:val="17"/>
              </w:rPr>
              <w:t xml:space="preserve">12 mois</w:t>
            </w:r>
          </w:p>
        </w:tc>
        <w:tc>
          <w:tcPr>
            <w:shd w:val="clear" w:color="auto" w:fill="F2F9F8"/>
          </w:tcPr>
          <w:p>
            <w:pPr>
              <w:pStyle w:val="Compact"/>
              <w:spacing w:after="20" w:before="20" w:line="240" w:lineRule="auto"/>
              <w:jc w:val="left"/>
            </w:pPr>
            <w:r>
              <w:rPr>
                <w:sz w:val="17"/>
              </w:rPr>
              <w:t xml:space="preserve">Extension à la moitié des communes ;</w:t>
            </w:r>
            <w:r>
              <w:rPr>
                <w:sz w:val="17"/>
              </w:rPr>
              <w:t xml:space="preserve"> </w:t>
            </w:r>
            <w:r>
              <w:rPr>
                <w:sz w:val="17"/>
              </w:rPr>
              <w:t xml:space="preserve">cellule grands redevables opérationnelle</w:t>
            </w:r>
            <w:r>
              <w:rPr>
                <w:sz w:val="17"/>
              </w:rPr>
              <w:t xml:space="preserve"> </w:t>
            </w:r>
            <w:r>
              <w:rPr>
                <w:sz w:val="17"/>
              </w:rPr>
              <w:t xml:space="preserve">; publicité et antennes intégrées ;</w:t>
            </w:r>
            <w:r>
              <w:rPr>
                <w:sz w:val="17"/>
              </w:rPr>
              <w:t xml:space="preserve"> </w:t>
            </w:r>
            <w:r>
              <w:rPr>
                <w:sz w:val="17"/>
              </w:rPr>
              <w:t xml:space="preserve">arriérés en campagne ; audit indépendant</w:t>
            </w:r>
            <w:r>
              <w:rPr>
                <w:sz w:val="17"/>
              </w:rPr>
              <w:t xml:space="preserve"> </w:t>
            </w:r>
            <w:r>
              <w:rPr>
                <w:sz w:val="17"/>
              </w:rPr>
              <w:t xml:space="preserve">du premier exercice</w:t>
            </w:r>
          </w:p>
        </w:tc>
        <w:tc>
          <w:tcPr>
            <w:shd w:val="clear" w:color="auto" w:fill="F2F9F8"/>
          </w:tcPr>
          <w:p>
            <w:pPr>
              <w:pStyle w:val="Compact"/>
              <w:spacing w:after="20" w:before="20" w:line="240" w:lineRule="auto"/>
              <w:jc w:val="left"/>
            </w:pPr>
            <w:r>
              <w:rPr>
                <w:sz w:val="17"/>
              </w:rPr>
              <w:t xml:space="preserve">Rapport d'audit,</w:t>
            </w:r>
            <w:r>
              <w:rPr>
                <w:sz w:val="17"/>
              </w:rPr>
              <w:t xml:space="preserve"> </w:t>
            </w:r>
            <w:r>
              <w:rPr>
                <w:sz w:val="17"/>
              </w:rPr>
              <w:t xml:space="preserve">part électronique des</w:t>
            </w:r>
            <w:r>
              <w:rPr>
                <w:sz w:val="17"/>
              </w:rPr>
              <w:t xml:space="preserve"> </w:t>
            </w:r>
            <w:r>
              <w:rPr>
                <w:sz w:val="17"/>
              </w:rPr>
              <w:t xml:space="preserve">recettes, taux de</w:t>
            </w:r>
            <w:r>
              <w:rPr>
                <w:sz w:val="17"/>
              </w:rPr>
              <w:t xml:space="preserve"> </w:t>
            </w:r>
            <w:r>
              <w:rPr>
                <w:sz w:val="17"/>
              </w:rPr>
              <w:t xml:space="preserve">couverture</w:t>
            </w:r>
          </w:p>
        </w:tc>
      </w:tr>
      <w:tr>
        <w:tc>
          <w:tcPr/>
          <w:p>
            <w:pPr>
              <w:pStyle w:val="Compact"/>
              <w:spacing w:after="20" w:before="20" w:line="240" w:lineRule="auto"/>
              <w:jc w:val="left"/>
            </w:pPr>
            <w:r>
              <w:rPr>
                <w:sz w:val="17"/>
              </w:rPr>
              <w:t xml:space="preserve">24 mois</w:t>
            </w:r>
          </w:p>
        </w:tc>
        <w:tc>
          <w:tcPr/>
          <w:p>
            <w:pPr>
              <w:pStyle w:val="Compact"/>
              <w:spacing w:after="20" w:before="20" w:line="240" w:lineRule="auto"/>
              <w:jc w:val="left"/>
            </w:pPr>
            <w:r>
              <w:rPr>
                <w:sz w:val="17"/>
              </w:rPr>
              <w:t xml:space="preserve">Couverture des 24 communes ; catégories</w:t>
            </w:r>
            <w:r>
              <w:rPr>
                <w:sz w:val="17"/>
              </w:rPr>
              <w:t xml:space="preserve"> </w:t>
            </w:r>
            <w:r>
              <w:rPr>
                <w:sz w:val="17"/>
              </w:rPr>
              <w:t xml:space="preserve">majeures intégrées ; transfert de</w:t>
            </w:r>
            <w:r>
              <w:rPr>
                <w:sz w:val="17"/>
              </w:rPr>
              <w:t xml:space="preserve"> </w:t>
            </w:r>
            <w:r>
              <w:rPr>
                <w:sz w:val="17"/>
              </w:rPr>
              <w:t xml:space="preserve">compétences réalisé ; module</w:t>
            </w:r>
            <w:r>
              <w:rPr>
                <w:sz w:val="17"/>
              </w:rPr>
              <w:t xml:space="preserve"> </w:t>
            </w:r>
            <w:r>
              <w:rPr>
                <w:sz w:val="17"/>
              </w:rPr>
              <w:t xml:space="preserve">d'affectation et transparence publique</w:t>
            </w:r>
            <w:r>
              <w:rPr>
                <w:sz w:val="17"/>
              </w:rPr>
              <w:t xml:space="preserve"> </w:t>
            </w:r>
            <w:r>
              <w:rPr>
                <w:sz w:val="17"/>
              </w:rPr>
              <w:t xml:space="preserve">en service</w:t>
            </w:r>
          </w:p>
        </w:tc>
        <w:tc>
          <w:tcPr/>
          <w:p>
            <w:pPr>
              <w:pStyle w:val="Compact"/>
              <w:spacing w:after="20" w:before="20" w:line="240" w:lineRule="auto"/>
              <w:jc w:val="left"/>
            </w:pPr>
            <w:r>
              <w:rPr>
                <w:sz w:val="17"/>
              </w:rPr>
              <w:t xml:space="preserve">Rapport annuel</w:t>
            </w:r>
            <w:r>
              <w:rPr>
                <w:sz w:val="17"/>
              </w:rPr>
              <w:t xml:space="preserve"> </w:t>
            </w:r>
            <w:r>
              <w:rPr>
                <w:sz w:val="17"/>
              </w:rPr>
              <w:t xml:space="preserve">public, indicateurs</w:t>
            </w:r>
            <w:r>
              <w:rPr>
                <w:sz w:val="17"/>
              </w:rPr>
              <w:t xml:space="preserve"> </w:t>
            </w:r>
            <w:r>
              <w:rPr>
                <w:sz w:val="17"/>
              </w:rPr>
              <w:t xml:space="preserve">consolidés</w:t>
            </w:r>
          </w:p>
        </w:tc>
      </w:tr>
    </w:tbl>
    <w:bookmarkEnd w:id="263"/>
    <w:bookmarkStart w:id="264" w:name="lots-fonctionnels-du-produit-sur-24-mois"/>
    <w:p>
      <w:pPr>
        <w:pStyle w:val="Heading2"/>
      </w:pPr>
      <w:r>
        <w:t xml:space="preserve">34.3 Lots fonctionnels du produit sur 24 mois</w:t>
      </w:r>
    </w:p>
    <w:p>
      <w:pPr>
        <w:pStyle w:val="FirstParagraph"/>
      </w:pPr>
      <w:r>
        <w:t xml:space="preserve">Les phases du § 34.1 décrivent le programme ; les lots ci-dessous décrivent la construction du produit et s’y rattachent.</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blHeader/>
        </w:trPr>
        <w:tc>
          <w:tcPr>
            <w:shd w:val="clear" w:color="auto" w:fill="1BA996"/>
          </w:tcPr>
          <w:p>
            <w:pPr>
              <w:pStyle w:val="Compact"/>
              <w:spacing w:after="20" w:before="20" w:line="240" w:lineRule="auto"/>
              <w:jc w:val="left"/>
            </w:pPr>
            <w:r>
              <w:rPr>
                <w:b/>
                <w:color w:val="FFFFFF"/>
                <w:sz w:val="17"/>
              </w:rPr>
              <w:t xml:space="preserve">Lot fonctionnel</w:t>
            </w:r>
          </w:p>
        </w:tc>
        <w:tc>
          <w:tcPr>
            <w:shd w:val="clear" w:color="auto" w:fill="1BA996"/>
          </w:tcPr>
          <w:p>
            <w:pPr>
              <w:pStyle w:val="Compact"/>
              <w:spacing w:after="20" w:before="20" w:line="240" w:lineRule="auto"/>
              <w:jc w:val="left"/>
            </w:pPr>
            <w:r>
              <w:rPr>
                <w:b/>
                <w:color w:val="FFFFFF"/>
                <w:sz w:val="17"/>
              </w:rPr>
              <w:t xml:space="preserve">Contenu</w:t>
            </w:r>
          </w:p>
        </w:tc>
        <w:tc>
          <w:tcPr>
            <w:shd w:val="clear" w:color="auto" w:fill="1BA996"/>
          </w:tcPr>
          <w:p>
            <w:pPr>
              <w:pStyle w:val="Compact"/>
              <w:spacing w:after="20" w:before="20" w:line="240" w:lineRule="auto"/>
              <w:jc w:val="left"/>
            </w:pPr>
            <w:r>
              <w:rPr>
                <w:b/>
                <w:color w:val="FFFFFF"/>
                <w:sz w:val="17"/>
              </w:rPr>
              <w:t xml:space="preserve">Phases de programme</w:t>
            </w:r>
          </w:p>
        </w:tc>
        <w:tc>
          <w:tcPr>
            <w:shd w:val="clear" w:color="auto" w:fill="1BA996"/>
          </w:tcPr>
          <w:p>
            <w:pPr>
              <w:pStyle w:val="Compact"/>
              <w:spacing w:after="20" w:before="20" w:line="240" w:lineRule="auto"/>
              <w:jc w:val="left"/>
            </w:pPr>
            <w:r>
              <w:rPr>
                <w:b/>
                <w:color w:val="FFFFFF"/>
                <w:sz w:val="17"/>
              </w:rPr>
              <w:t xml:space="preserve">Releases (§ 43)</w:t>
            </w:r>
          </w:p>
        </w:tc>
      </w:tr>
      <w:tr>
        <w:tc>
          <w:tcPr/>
          <w:p>
            <w:pPr>
              <w:pStyle w:val="Compact"/>
              <w:spacing w:after="20" w:before="20" w:line="240" w:lineRule="auto"/>
              <w:jc w:val="left"/>
            </w:pPr>
            <w:r>
              <w:rPr>
                <w:sz w:val="17"/>
              </w:rPr>
              <w:t xml:space="preserve">Lot 0 — Cadrage et droit</w:t>
            </w:r>
          </w:p>
        </w:tc>
        <w:tc>
          <w:tcPr/>
          <w:p>
            <w:pPr>
              <w:pStyle w:val="Compact"/>
              <w:spacing w:after="20" w:before="20" w:line="240" w:lineRule="auto"/>
              <w:jc w:val="left"/>
            </w:pPr>
            <w:r>
              <w:rPr>
                <w:sz w:val="17"/>
              </w:rPr>
              <w:t xml:space="preserve">Gouvernance, registre juridique, base de référence</w:t>
            </w:r>
          </w:p>
        </w:tc>
        <w:tc>
          <w:tcPr/>
          <w:p>
            <w:pPr>
              <w:pStyle w:val="Compact"/>
              <w:spacing w:after="20" w:before="20" w:line="240" w:lineRule="auto"/>
              <w:jc w:val="left"/>
            </w:pPr>
            <w:r>
              <w:rPr>
                <w:sz w:val="17"/>
              </w:rPr>
              <w:t xml:space="preserve">Phases 0 et 1</w:t>
            </w:r>
          </w:p>
        </w:tc>
        <w:tc>
          <w:tcPr/>
          <w:p>
            <w:pPr>
              <w:pStyle w:val="Compact"/>
              <w:spacing w:after="20" w:before="20" w:line="240" w:lineRule="auto"/>
              <w:jc w:val="left"/>
            </w:pPr>
            <w:r>
              <w:rPr>
                <w:sz w:val="17"/>
              </w:rPr>
              <w:t xml:space="preserve">—</w:t>
            </w:r>
          </w:p>
        </w:tc>
      </w:tr>
      <w:tr>
        <w:tc>
          <w:tcPr>
            <w:shd w:val="clear" w:color="auto" w:fill="F2F9F8"/>
          </w:tcPr>
          <w:p>
            <w:pPr>
              <w:pStyle w:val="Compact"/>
              <w:spacing w:after="20" w:before="20" w:line="240" w:lineRule="auto"/>
              <w:jc w:val="left"/>
            </w:pPr>
            <w:r>
              <w:rPr>
                <w:sz w:val="17"/>
              </w:rPr>
              <w:t xml:space="preserve">Lot 1 — Socle identité et GIS</w:t>
            </w:r>
          </w:p>
        </w:tc>
        <w:tc>
          <w:tcPr>
            <w:shd w:val="clear" w:color="auto" w:fill="F2F9F8"/>
          </w:tcPr>
          <w:p>
            <w:pPr>
              <w:pStyle w:val="Compact"/>
              <w:spacing w:after="20" w:before="20" w:line="240" w:lineRule="auto"/>
              <w:jc w:val="left"/>
            </w:pPr>
            <w:r>
              <w:rPr>
                <w:sz w:val="17"/>
              </w:rPr>
              <w:t xml:space="preserve">Compte unique, registre des objets, cadastre fiscal</w:t>
            </w:r>
          </w:p>
        </w:tc>
        <w:tc>
          <w:tcPr>
            <w:shd w:val="clear" w:color="auto" w:fill="F2F9F8"/>
          </w:tcPr>
          <w:p>
            <w:pPr>
              <w:pStyle w:val="Compact"/>
              <w:spacing w:after="20" w:before="20" w:line="240" w:lineRule="auto"/>
              <w:jc w:val="left"/>
            </w:pPr>
            <w:r>
              <w:rPr>
                <w:sz w:val="17"/>
              </w:rPr>
              <w:t xml:space="preserve">Phase 2</w:t>
            </w:r>
          </w:p>
        </w:tc>
        <w:tc>
          <w:tcPr>
            <w:shd w:val="clear" w:color="auto" w:fill="F2F9F8"/>
          </w:tcPr>
          <w:p>
            <w:pPr>
              <w:pStyle w:val="Compact"/>
              <w:spacing w:after="20" w:before="20" w:line="240" w:lineRule="auto"/>
              <w:jc w:val="left"/>
            </w:pPr>
            <w:r>
              <w:rPr>
                <w:sz w:val="17"/>
              </w:rPr>
              <w:t xml:space="preserve">R1</w:t>
            </w:r>
          </w:p>
        </w:tc>
      </w:tr>
      <w:tr>
        <w:tc>
          <w:tcPr/>
          <w:p>
            <w:pPr>
              <w:pStyle w:val="Compact"/>
              <w:spacing w:after="20" w:before="20" w:line="240" w:lineRule="auto"/>
              <w:jc w:val="left"/>
            </w:pPr>
            <w:r>
              <w:rPr>
                <w:sz w:val="17"/>
              </w:rPr>
              <w:t xml:space="preserve">Lot 2 — Obligations et paiements</w:t>
            </w:r>
          </w:p>
        </w:tc>
        <w:tc>
          <w:tcPr/>
          <w:p>
            <w:pPr>
              <w:pStyle w:val="Compact"/>
              <w:spacing w:after="20" w:before="20" w:line="240" w:lineRule="auto"/>
              <w:jc w:val="left"/>
            </w:pPr>
            <w:r>
              <w:rPr>
                <w:sz w:val="17"/>
              </w:rPr>
              <w:t xml:space="preserve">Règles, liquidation, paiement, grand livre</w:t>
            </w:r>
          </w:p>
        </w:tc>
        <w:tc>
          <w:tcPr/>
          <w:p>
            <w:pPr>
              <w:pStyle w:val="Compact"/>
              <w:spacing w:after="20" w:before="20" w:line="240" w:lineRule="auto"/>
              <w:jc w:val="left"/>
            </w:pPr>
            <w:r>
              <w:rPr>
                <w:sz w:val="17"/>
              </w:rPr>
              <w:t xml:space="preserve">Phase 2</w:t>
            </w:r>
          </w:p>
        </w:tc>
        <w:tc>
          <w:tcPr/>
          <w:p>
            <w:pPr>
              <w:pStyle w:val="Compact"/>
              <w:spacing w:after="20" w:before="20" w:line="240" w:lineRule="auto"/>
              <w:jc w:val="left"/>
            </w:pPr>
            <w:r>
              <w:rPr>
                <w:sz w:val="17"/>
              </w:rPr>
              <w:t xml:space="preserve">R1</w:t>
            </w:r>
          </w:p>
        </w:tc>
      </w:tr>
      <w:tr>
        <w:tc>
          <w:tcPr>
            <w:shd w:val="clear" w:color="auto" w:fill="F2F9F8"/>
          </w:tcPr>
          <w:p>
            <w:pPr>
              <w:pStyle w:val="Compact"/>
              <w:spacing w:after="20" w:before="20" w:line="240" w:lineRule="auto"/>
              <w:jc w:val="left"/>
            </w:pPr>
            <w:r>
              <w:rPr>
                <w:sz w:val="17"/>
              </w:rPr>
              <w:t xml:space="preserve">Lot 3 — Terrain, contrôle, recouvrement</w:t>
            </w:r>
          </w:p>
        </w:tc>
        <w:tc>
          <w:tcPr>
            <w:shd w:val="clear" w:color="auto" w:fill="F2F9F8"/>
          </w:tcPr>
          <w:p>
            <w:pPr>
              <w:pStyle w:val="Compact"/>
              <w:spacing w:after="20" w:before="20" w:line="240" w:lineRule="auto"/>
              <w:jc w:val="left"/>
            </w:pPr>
            <w:r>
              <w:rPr>
                <w:sz w:val="17"/>
              </w:rPr>
              <w:t xml:space="preserve">Application hors ligne, constats, arriérés</w:t>
            </w:r>
          </w:p>
        </w:tc>
        <w:tc>
          <w:tcPr>
            <w:shd w:val="clear" w:color="auto" w:fill="F2F9F8"/>
          </w:tcPr>
          <w:p>
            <w:pPr>
              <w:pStyle w:val="Compact"/>
              <w:spacing w:after="20" w:before="20" w:line="240" w:lineRule="auto"/>
              <w:jc w:val="left"/>
            </w:pPr>
            <w:r>
              <w:rPr>
                <w:sz w:val="17"/>
              </w:rPr>
              <w:t xml:space="preserve">Phases 2 et 3</w:t>
            </w:r>
          </w:p>
        </w:tc>
        <w:tc>
          <w:tcPr>
            <w:shd w:val="clear" w:color="auto" w:fill="F2F9F8"/>
          </w:tcPr>
          <w:p>
            <w:pPr>
              <w:pStyle w:val="Compact"/>
              <w:spacing w:after="20" w:before="20" w:line="240" w:lineRule="auto"/>
              <w:jc w:val="left"/>
            </w:pPr>
            <w:r>
              <w:rPr>
                <w:sz w:val="17"/>
              </w:rPr>
              <w:t xml:space="preserve">R1 et R2</w:t>
            </w:r>
          </w:p>
        </w:tc>
      </w:tr>
      <w:tr>
        <w:tc>
          <w:tcPr/>
          <w:p>
            <w:pPr>
              <w:pStyle w:val="Compact"/>
              <w:spacing w:after="20" w:before="20" w:line="240" w:lineRule="auto"/>
              <w:jc w:val="left"/>
            </w:pPr>
            <w:r>
              <w:rPr>
                <w:sz w:val="17"/>
              </w:rPr>
              <w:t xml:space="preserve">Lot 4 — Intelligence et IA</w:t>
            </w:r>
          </w:p>
        </w:tc>
        <w:tc>
          <w:tcPr/>
          <w:p>
            <w:pPr>
              <w:pStyle w:val="Compact"/>
              <w:spacing w:after="20" w:before="20" w:line="240" w:lineRule="auto"/>
              <w:jc w:val="left"/>
            </w:pPr>
            <w:r>
              <w:rPr>
                <w:sz w:val="17"/>
              </w:rPr>
              <w:t xml:space="preserve">Découverte, fraude, prévision, copilotes</w:t>
            </w:r>
          </w:p>
        </w:tc>
        <w:tc>
          <w:tcPr/>
          <w:p>
            <w:pPr>
              <w:pStyle w:val="Compact"/>
              <w:spacing w:after="20" w:before="20" w:line="240" w:lineRule="auto"/>
              <w:jc w:val="left"/>
            </w:pPr>
            <w:r>
              <w:rPr>
                <w:sz w:val="17"/>
              </w:rPr>
              <w:t xml:space="preserve">Phases 3 et 4</w:t>
            </w:r>
          </w:p>
        </w:tc>
        <w:tc>
          <w:tcPr/>
          <w:p>
            <w:pPr>
              <w:pStyle w:val="Compact"/>
              <w:spacing w:after="20" w:before="20" w:line="240" w:lineRule="auto"/>
              <w:jc w:val="left"/>
            </w:pPr>
            <w:r>
              <w:rPr>
                <w:sz w:val="17"/>
              </w:rPr>
              <w:t xml:space="preserve">R3</w:t>
            </w:r>
          </w:p>
        </w:tc>
      </w:tr>
      <w:tr>
        <w:tc>
          <w:tcPr>
            <w:shd w:val="clear" w:color="auto" w:fill="F2F9F8"/>
          </w:tcPr>
          <w:p>
            <w:pPr>
              <w:pStyle w:val="Compact"/>
              <w:spacing w:after="20" w:before="20" w:line="240" w:lineRule="auto"/>
              <w:jc w:val="left"/>
            </w:pPr>
            <w:r>
              <w:rPr>
                <w:sz w:val="17"/>
              </w:rPr>
              <w:t xml:space="preserve">Lot 5 — Verticales et intégrations</w:t>
            </w:r>
          </w:p>
        </w:tc>
        <w:tc>
          <w:tcPr>
            <w:shd w:val="clear" w:color="auto" w:fill="F2F9F8"/>
          </w:tcPr>
          <w:p>
            <w:pPr>
              <w:pStyle w:val="Compact"/>
              <w:spacing w:after="20" w:before="20" w:line="240" w:lineRule="auto"/>
              <w:jc w:val="left"/>
            </w:pPr>
            <w:r>
              <w:rPr>
                <w:sz w:val="17"/>
              </w:rPr>
              <w:t xml:space="preserve">Mobility, Parking, Markets, Ports, AVIA et autres</w:t>
            </w:r>
          </w:p>
        </w:tc>
        <w:tc>
          <w:tcPr>
            <w:shd w:val="clear" w:color="auto" w:fill="F2F9F8"/>
          </w:tcPr>
          <w:p>
            <w:pPr>
              <w:pStyle w:val="Compact"/>
              <w:spacing w:after="20" w:before="20" w:line="240" w:lineRule="auto"/>
              <w:jc w:val="left"/>
            </w:pPr>
            <w:r>
              <w:rPr>
                <w:sz w:val="17"/>
              </w:rPr>
              <w:t xml:space="preserve">Phases 4 et 5</w:t>
            </w:r>
          </w:p>
        </w:tc>
        <w:tc>
          <w:tcPr>
            <w:shd w:val="clear" w:color="auto" w:fill="F2F9F8"/>
          </w:tcPr>
          <w:p>
            <w:pPr>
              <w:pStyle w:val="Compact"/>
              <w:spacing w:after="20" w:before="20" w:line="240" w:lineRule="auto"/>
              <w:jc w:val="left"/>
            </w:pPr>
            <w:r>
              <w:rPr>
                <w:sz w:val="17"/>
              </w:rPr>
              <w:t xml:space="preserve">R2 à R4</w:t>
            </w:r>
          </w:p>
        </w:tc>
      </w:tr>
      <w:tr>
        <w:tc>
          <w:tcPr/>
          <w:p>
            <w:pPr>
              <w:pStyle w:val="Compact"/>
              <w:spacing w:after="20" w:before="20" w:line="240" w:lineRule="auto"/>
              <w:jc w:val="left"/>
            </w:pPr>
            <w:r>
              <w:rPr>
                <w:sz w:val="17"/>
              </w:rPr>
              <w:t xml:space="preserve">Lot 6 — Extension et industrialisation</w:t>
            </w:r>
          </w:p>
        </w:tc>
        <w:tc>
          <w:tcPr/>
          <w:p>
            <w:pPr>
              <w:pStyle w:val="Compact"/>
              <w:spacing w:after="20" w:before="20" w:line="240" w:lineRule="auto"/>
              <w:jc w:val="left"/>
            </w:pPr>
            <w:r>
              <w:rPr>
                <w:sz w:val="17"/>
              </w:rPr>
              <w:t xml:space="preserve">Généralisation, optimisation</w:t>
            </w:r>
          </w:p>
        </w:tc>
        <w:tc>
          <w:tcPr/>
          <w:p>
            <w:pPr>
              <w:pStyle w:val="Compact"/>
              <w:spacing w:after="20" w:before="20" w:line="240" w:lineRule="auto"/>
              <w:jc w:val="left"/>
            </w:pPr>
            <w:r>
              <w:rPr>
                <w:sz w:val="17"/>
              </w:rPr>
              <w:t xml:space="preserve">Phases 5 et 6</w:t>
            </w:r>
          </w:p>
        </w:tc>
        <w:tc>
          <w:tcPr/>
          <w:p>
            <w:pPr>
              <w:pStyle w:val="Compact"/>
              <w:spacing w:after="20" w:before="20" w:line="240" w:lineRule="auto"/>
              <w:jc w:val="left"/>
            </w:pPr>
            <w:r>
              <w:rPr>
                <w:sz w:val="17"/>
              </w:rPr>
              <w:t xml:space="preserve">R4</w:t>
            </w:r>
          </w:p>
        </w:tc>
      </w:tr>
    </w:tbl>
    <w:bookmarkEnd w:id="264"/>
    <w:bookmarkStart w:id="265" w:name="Xf67566b1506d993e42da59bf793182fa593d4dd"/>
    <w:p>
      <w:pPr>
        <w:pStyle w:val="Heading2"/>
      </w:pPr>
      <w:r>
        <w:t xml:space="preserve">34.4 Découpage alternatif en jours et conditions de passage à l’échelle</w:t>
      </w:r>
    </w:p>
    <w:p>
      <w:pPr>
        <w:pStyle w:val="FirstParagraph"/>
      </w:pPr>
      <w:r>
        <w:t xml:space="preserve">La spécification KIN RECETTES propose un découpage équivalent : phase 0 mandat et sécurisation (jours 0 à 30 : sponsor, gouvernance, revue juridique, cartographie des comptes, gel des risques critiques) ; phase 1 découverte et conception (31 à 90) ; phase 2 construction du socle (91 à 180) ; phase 3 pilote contrôlé (181 à 270 : communes pilotes, rapprochement réel, audit de sécurité, mesure de la base de référence) ; phase 4 extension (9 à 18 mois) ; phase 5 généralisation (18 à 24 mois). Le pilote porte sur trois ou quatre communes de profils différents (valeur immobilière, densité commerciale, mix résidentiel, contraintes de connectivité) et sur un nombre limité de recettes à base juridique incontestable.</w:t>
      </w:r>
    </w:p>
    <w:p>
      <w:pPr>
        <w:pStyle w:val="BodyText"/>
      </w:pPr>
      <w:r>
        <w:rPr>
          <w:b/>
          <w:bCs/>
        </w:rPr>
        <w:t xml:space="preserve">Conditions de passage à l’échelle</w:t>
      </w:r>
      <w:r>
        <w:t xml:space="preserve"> </w:t>
      </w:r>
      <w:r>
        <w:t xml:space="preserve">: rapprochement au-dessus du seuil approuvé et écarts résolus dans les délais ; aucune vulnérabilité critique ouverte ; doublons et erreurs de calcul sous contrôle ; recours traités dans les délais avec décisions motivées ; agents formés, équipés et soumis à revue d’accès ; gain net démontré face à une base de référence vérifiée ; plan de continuité testé et restauration réussie.</w:t>
      </w:r>
    </w:p>
    <w:bookmarkEnd w:id="265"/>
    <w:bookmarkEnd w:id="266"/>
    <w:bookmarkStart w:id="267" w:name="modèle-opérationnel"/>
    <w:p>
      <w:pPr>
        <w:pStyle w:val="Heading1"/>
      </w:pPr>
      <w:r>
        <w:t xml:space="preserve">35. Modèle opérationnel</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033"/>
        <w:gridCol w:w="2782"/>
        <w:gridCol w:w="2889"/>
      </w:tblGrid>
      <w:tr>
        <w:trPr>
          <w:tblHeader w:val="true"/>
          <w:tblHeader/>
        </w:trPr>
        <w:tc>
          <w:tcPr>
            <w:shd w:val="clear" w:color="auto" w:fill="1BA996"/>
          </w:tcPr>
          <w:p>
            <w:pPr>
              <w:pStyle w:val="Compact"/>
              <w:spacing w:after="20" w:before="20" w:line="240" w:lineRule="auto"/>
              <w:jc w:val="left"/>
            </w:pPr>
            <w:r>
              <w:rPr>
                <w:b/>
                <w:bCs/>
                <w:color w:val="FFFFFF"/>
                <w:sz w:val="17"/>
              </w:rPr>
              <w:t xml:space="preserve">Fonction</w:t>
            </w:r>
          </w:p>
        </w:tc>
        <w:tc>
          <w:tcPr>
            <w:shd w:val="clear" w:color="auto" w:fill="1BA996"/>
          </w:tcPr>
          <w:p>
            <w:pPr>
              <w:pStyle w:val="Compact"/>
              <w:spacing w:after="20" w:before="20" w:line="240" w:lineRule="auto"/>
              <w:jc w:val="left"/>
            </w:pPr>
            <w:r>
              <w:rPr>
                <w:b/>
                <w:bCs/>
                <w:color w:val="FFFFFF"/>
                <w:sz w:val="17"/>
              </w:rPr>
              <w:t xml:space="preserve">Effectif indicatif au</w:t>
            </w:r>
            <w:r>
              <w:rPr>
                <w:b/>
                <w:bCs/>
                <w:color w:val="FFFFFF"/>
                <w:sz w:val="17"/>
              </w:rPr>
              <w:t xml:space="preserve"> </w:t>
            </w:r>
            <w:r>
              <w:rPr>
                <w:b/>
                <w:bCs/>
                <w:color w:val="FFFFFF"/>
                <w:sz w:val="17"/>
              </w:rPr>
              <w:t xml:space="preserve">pilote</w:t>
            </w:r>
          </w:p>
        </w:tc>
        <w:tc>
          <w:tcPr>
            <w:shd w:val="clear" w:color="auto" w:fill="1BA996"/>
          </w:tcPr>
          <w:p>
            <w:pPr>
              <w:pStyle w:val="Compact"/>
              <w:spacing w:after="20" w:before="20" w:line="240" w:lineRule="auto"/>
              <w:jc w:val="left"/>
            </w:pPr>
            <w:r>
              <w:rPr>
                <w:b/>
                <w:bCs/>
                <w:color w:val="FFFFFF"/>
                <w:sz w:val="17"/>
              </w:rPr>
              <w:t xml:space="preserve">Rattachement</w:t>
            </w:r>
          </w:p>
        </w:tc>
      </w:tr>
      <w:tr>
        <w:tc>
          <w:tcPr/>
          <w:p>
            <w:pPr>
              <w:pStyle w:val="Compact"/>
              <w:spacing w:after="20" w:before="20" w:line="240" w:lineRule="auto"/>
              <w:jc w:val="left"/>
            </w:pPr>
            <w:r>
              <w:rPr>
                <w:sz w:val="17"/>
              </w:rPr>
              <w:t xml:space="preserve">Direction de</w:t>
            </w:r>
            <w:r>
              <w:rPr>
                <w:sz w:val="17"/>
              </w:rPr>
              <w:t xml:space="preserve"> </w:t>
            </w:r>
            <w:r>
              <w:rPr>
                <w:sz w:val="17"/>
              </w:rPr>
              <w:t xml:space="preserve">programme</w:t>
            </w:r>
          </w:p>
        </w:tc>
        <w:tc>
          <w:tcPr/>
          <w:p>
            <w:pPr>
              <w:pStyle w:val="Compact"/>
              <w:spacing w:after="20" w:before="20" w:line="240" w:lineRule="auto"/>
              <w:jc w:val="left"/>
            </w:pPr>
            <w:r>
              <w:rPr>
                <w:sz w:val="17"/>
              </w:rPr>
              <w:t xml:space="preserve">1 directeur, 1 adjoint</w:t>
            </w:r>
          </w:p>
        </w:tc>
        <w:tc>
          <w:tcPr/>
          <w:p>
            <w:pPr>
              <w:pStyle w:val="Compact"/>
              <w:spacing w:after="20" w:before="20" w:line="240" w:lineRule="auto"/>
              <w:jc w:val="left"/>
            </w:pPr>
            <w:r>
              <w:rPr>
                <w:sz w:val="17"/>
              </w:rPr>
              <w:t xml:space="preserve">Ministère provincial des</w:t>
            </w:r>
            <w:r>
              <w:rPr>
                <w:sz w:val="17"/>
              </w:rPr>
              <w:t xml:space="preserve"> </w:t>
            </w:r>
            <w:r>
              <w:rPr>
                <w:sz w:val="17"/>
              </w:rPr>
              <w:t xml:space="preserve">Finances</w:t>
            </w:r>
          </w:p>
        </w:tc>
      </w:tr>
      <w:tr>
        <w:tc>
          <w:tcPr>
            <w:shd w:val="clear" w:color="auto" w:fill="F2F9F8"/>
          </w:tcPr>
          <w:p>
            <w:pPr>
              <w:pStyle w:val="Compact"/>
              <w:spacing w:after="20" w:before="20" w:line="240" w:lineRule="auto"/>
              <w:jc w:val="left"/>
            </w:pPr>
            <w:r>
              <w:rPr>
                <w:sz w:val="17"/>
              </w:rPr>
              <w:t xml:space="preserve">Référentiel</w:t>
            </w:r>
            <w:r>
              <w:rPr>
                <w:sz w:val="17"/>
              </w:rPr>
              <w:t xml:space="preserve"> </w:t>
            </w:r>
            <w:r>
              <w:rPr>
                <w:sz w:val="17"/>
              </w:rPr>
              <w:t xml:space="preserve">juridique</w:t>
            </w:r>
          </w:p>
        </w:tc>
        <w:tc>
          <w:tcPr>
            <w:shd w:val="clear" w:color="auto" w:fill="F2F9F8"/>
          </w:tcPr>
          <w:p>
            <w:pPr>
              <w:pStyle w:val="Compact"/>
              <w:spacing w:after="20" w:before="20" w:line="240" w:lineRule="auto"/>
              <w:jc w:val="left"/>
            </w:pPr>
            <w:r>
              <w:rPr>
                <w:sz w:val="17"/>
              </w:rPr>
              <w:t xml:space="preserve">2 juristes, 1</w:t>
            </w:r>
            <w:r>
              <w:rPr>
                <w:sz w:val="17"/>
              </w:rPr>
              <w:t xml:space="preserve"> </w:t>
            </w:r>
            <w:r>
              <w:rPr>
                <w:sz w:val="17"/>
              </w:rPr>
              <w:t xml:space="preserve">tarificateur</w:t>
            </w:r>
          </w:p>
        </w:tc>
        <w:tc>
          <w:tcPr>
            <w:shd w:val="clear" w:color="auto" w:fill="F2F9F8"/>
          </w:tcPr>
          <w:p>
            <w:pPr>
              <w:pStyle w:val="Compact"/>
              <w:spacing w:after="20" w:before="20" w:line="240" w:lineRule="auto"/>
              <w:jc w:val="left"/>
            </w:pPr>
            <w:r>
              <w:rPr>
                <w:sz w:val="17"/>
              </w:rPr>
              <w:t xml:space="preserve">Services juridiques</w:t>
            </w:r>
            <w:r>
              <w:rPr>
                <w:sz w:val="17"/>
              </w:rPr>
              <w:t xml:space="preserve"> </w:t>
            </w:r>
            <w:r>
              <w:rPr>
                <w:sz w:val="17"/>
              </w:rPr>
              <w:t xml:space="preserve">provinciaux</w:t>
            </w:r>
          </w:p>
        </w:tc>
      </w:tr>
      <w:tr>
        <w:tc>
          <w:tcPr/>
          <w:p>
            <w:pPr>
              <w:pStyle w:val="Compact"/>
              <w:spacing w:after="20" w:before="20" w:line="240" w:lineRule="auto"/>
              <w:jc w:val="left"/>
            </w:pPr>
            <w:r>
              <w:rPr>
                <w:sz w:val="17"/>
              </w:rPr>
              <w:t xml:space="preserve">Produit et service</w:t>
            </w:r>
          </w:p>
        </w:tc>
        <w:tc>
          <w:tcPr/>
          <w:p>
            <w:pPr>
              <w:pStyle w:val="Compact"/>
              <w:spacing w:after="20" w:before="20" w:line="240" w:lineRule="auto"/>
              <w:jc w:val="left"/>
            </w:pPr>
            <w:r>
              <w:rPr>
                <w:sz w:val="17"/>
              </w:rPr>
              <w:t xml:space="preserve">1 responsable produit, 1</w:t>
            </w:r>
            <w:r>
              <w:rPr>
                <w:sz w:val="17"/>
              </w:rPr>
              <w:t xml:space="preserve"> </w:t>
            </w:r>
            <w:r>
              <w:rPr>
                <w:sz w:val="17"/>
              </w:rPr>
              <w:t xml:space="preserve">designer de service</w:t>
            </w:r>
          </w:p>
        </w:tc>
        <w:tc>
          <w:tcPr/>
          <w:p>
            <w:pPr>
              <w:pStyle w:val="Compact"/>
              <w:spacing w:after="20" w:before="20" w:line="240" w:lineRule="auto"/>
              <w:jc w:val="left"/>
            </w:pPr>
            <w:r>
              <w:rPr>
                <w:sz w:val="17"/>
              </w:rPr>
              <w:t xml:space="preserve">Programme</w:t>
            </w:r>
          </w:p>
        </w:tc>
      </w:tr>
      <w:tr>
        <w:tc>
          <w:tcPr>
            <w:shd w:val="clear" w:color="auto" w:fill="F2F9F8"/>
          </w:tcPr>
          <w:p>
            <w:pPr>
              <w:pStyle w:val="Compact"/>
              <w:spacing w:after="20" w:before="20" w:line="240" w:lineRule="auto"/>
              <w:jc w:val="left"/>
            </w:pPr>
            <w:r>
              <w:rPr>
                <w:sz w:val="17"/>
              </w:rPr>
              <w:t xml:space="preserve">Ingénierie</w:t>
            </w:r>
          </w:p>
        </w:tc>
        <w:tc>
          <w:tcPr>
            <w:shd w:val="clear" w:color="auto" w:fill="F2F9F8"/>
          </w:tcPr>
          <w:p>
            <w:pPr>
              <w:pStyle w:val="Compact"/>
              <w:spacing w:after="20" w:before="20" w:line="240" w:lineRule="auto"/>
              <w:jc w:val="left"/>
            </w:pPr>
            <w:r>
              <w:rPr>
                <w:sz w:val="17"/>
              </w:rPr>
              <w:t xml:space="preserve">6 à 10 développeurs, 1</w:t>
            </w:r>
            <w:r>
              <w:rPr>
                <w:sz w:val="17"/>
              </w:rPr>
              <w:t xml:space="preserve"> </w:t>
            </w:r>
            <w:r>
              <w:rPr>
                <w:sz w:val="17"/>
              </w:rPr>
              <w:t xml:space="preserve">architecte, 1 spécialiste</w:t>
            </w:r>
            <w:r>
              <w:rPr>
                <w:sz w:val="17"/>
              </w:rPr>
              <w:t xml:space="preserve"> </w:t>
            </w:r>
            <w:r>
              <w:rPr>
                <w:sz w:val="17"/>
              </w:rPr>
              <w:t xml:space="preserve">données spatiales</w:t>
            </w:r>
          </w:p>
        </w:tc>
        <w:tc>
          <w:tcPr>
            <w:shd w:val="clear" w:color="auto" w:fill="F2F9F8"/>
          </w:tcPr>
          <w:p>
            <w:pPr>
              <w:pStyle w:val="Compact"/>
              <w:spacing w:after="20" w:before="20" w:line="240" w:lineRule="auto"/>
              <w:jc w:val="left"/>
            </w:pPr>
            <w:r>
              <w:rPr>
                <w:sz w:val="17"/>
              </w:rPr>
              <w:t xml:space="preserve">Prestataire avec transfert</w:t>
            </w:r>
            <w:r>
              <w:rPr>
                <w:sz w:val="17"/>
              </w:rPr>
              <w:t xml:space="preserve"> </w:t>
            </w:r>
            <w:r>
              <w:rPr>
                <w:sz w:val="17"/>
              </w:rPr>
              <w:t xml:space="preserve">de compétences</w:t>
            </w:r>
          </w:p>
        </w:tc>
      </w:tr>
      <w:tr>
        <w:tc>
          <w:tcPr/>
          <w:p>
            <w:pPr>
              <w:pStyle w:val="Compact"/>
              <w:spacing w:after="20" w:before="20" w:line="240" w:lineRule="auto"/>
              <w:jc w:val="left"/>
            </w:pPr>
            <w:r>
              <w:rPr>
                <w:sz w:val="17"/>
              </w:rPr>
              <w:t xml:space="preserve">Sécurité et audit</w:t>
            </w:r>
            <w:r>
              <w:rPr>
                <w:sz w:val="17"/>
              </w:rPr>
              <w:t xml:space="preserve"> </w:t>
            </w:r>
            <w:r>
              <w:rPr>
                <w:sz w:val="17"/>
              </w:rPr>
              <w:t xml:space="preserve">technique</w:t>
            </w:r>
          </w:p>
        </w:tc>
        <w:tc>
          <w:tcPr/>
          <w:p>
            <w:pPr>
              <w:pStyle w:val="Compact"/>
              <w:spacing w:after="20" w:before="20" w:line="240" w:lineRule="auto"/>
              <w:jc w:val="left"/>
            </w:pPr>
            <w:r>
              <w:rPr>
                <w:sz w:val="17"/>
              </w:rPr>
              <w:t xml:space="preserve">1 responsable sécurité,</w:t>
            </w:r>
            <w:r>
              <w:rPr>
                <w:sz w:val="17"/>
              </w:rPr>
              <w:t xml:space="preserve"> </w:t>
            </w:r>
            <w:r>
              <w:rPr>
                <w:sz w:val="17"/>
              </w:rPr>
              <w:t xml:space="preserve">audit externe périodique</w:t>
            </w:r>
          </w:p>
        </w:tc>
        <w:tc>
          <w:tcPr/>
          <w:p>
            <w:pPr>
              <w:pStyle w:val="Compact"/>
              <w:spacing w:after="20" w:before="20" w:line="240" w:lineRule="auto"/>
              <w:jc w:val="left"/>
            </w:pPr>
            <w:r>
              <w:rPr>
                <w:sz w:val="17"/>
              </w:rPr>
              <w:t xml:space="preserve">Programme et inspection</w:t>
            </w:r>
          </w:p>
        </w:tc>
      </w:tr>
      <w:tr>
        <w:tc>
          <w:tcPr>
            <w:shd w:val="clear" w:color="auto" w:fill="F2F9F8"/>
          </w:tcPr>
          <w:p>
            <w:pPr>
              <w:pStyle w:val="Compact"/>
              <w:spacing w:after="20" w:before="20" w:line="240" w:lineRule="auto"/>
              <w:jc w:val="left"/>
            </w:pPr>
            <w:r>
              <w:rPr>
                <w:sz w:val="17"/>
              </w:rPr>
              <w:t xml:space="preserve">Opérations terrain</w:t>
            </w:r>
          </w:p>
        </w:tc>
        <w:tc>
          <w:tcPr>
            <w:shd w:val="clear" w:color="auto" w:fill="F2F9F8"/>
          </w:tcPr>
          <w:p>
            <w:pPr>
              <w:pStyle w:val="Compact"/>
              <w:spacing w:after="20" w:before="20" w:line="240" w:lineRule="auto"/>
              <w:jc w:val="left"/>
            </w:pPr>
            <w:r>
              <w:rPr>
                <w:sz w:val="17"/>
              </w:rPr>
              <w:t xml:space="preserve">Par commune pilote : 1</w:t>
            </w:r>
            <w:r>
              <w:rPr>
                <w:sz w:val="17"/>
              </w:rPr>
              <w:t xml:space="preserve"> </w:t>
            </w:r>
            <w:r>
              <w:rPr>
                <w:sz w:val="17"/>
              </w:rPr>
              <w:t xml:space="preserve">chef de centre, 10 à 20</w:t>
            </w:r>
            <w:r>
              <w:rPr>
                <w:sz w:val="17"/>
              </w:rPr>
              <w:t xml:space="preserve"> </w:t>
            </w:r>
            <w:r>
              <w:rPr>
                <w:sz w:val="17"/>
              </w:rPr>
              <w:t xml:space="preserve">recenseurs, 4 à 8</w:t>
            </w:r>
            <w:r>
              <w:rPr>
                <w:sz w:val="17"/>
              </w:rPr>
              <w:t xml:space="preserve"> </w:t>
            </w:r>
            <w:r>
              <w:rPr>
                <w:sz w:val="17"/>
              </w:rPr>
              <w:t xml:space="preserve">contrôleurs</w:t>
            </w:r>
          </w:p>
        </w:tc>
        <w:tc>
          <w:tcPr>
            <w:shd w:val="clear" w:color="auto" w:fill="F2F9F8"/>
          </w:tcPr>
          <w:p>
            <w:pPr>
              <w:pStyle w:val="Compact"/>
              <w:spacing w:after="20" w:before="20" w:line="240" w:lineRule="auto"/>
              <w:jc w:val="left"/>
            </w:pPr>
            <w:r>
              <w:rPr>
                <w:sz w:val="17"/>
              </w:rPr>
              <w:t xml:space="preserve">Régie compétente</w:t>
            </w:r>
          </w:p>
        </w:tc>
      </w:tr>
      <w:tr>
        <w:tc>
          <w:tcPr/>
          <w:p>
            <w:pPr>
              <w:pStyle w:val="Compact"/>
              <w:spacing w:after="20" w:before="20" w:line="240" w:lineRule="auto"/>
              <w:jc w:val="left"/>
            </w:pPr>
            <w:r>
              <w:rPr>
                <w:sz w:val="17"/>
              </w:rPr>
              <w:t xml:space="preserve">Assistance et</w:t>
            </w:r>
            <w:r>
              <w:rPr>
                <w:sz w:val="17"/>
              </w:rPr>
              <w:t xml:space="preserve"> </w:t>
            </w:r>
            <w:r>
              <w:rPr>
                <w:sz w:val="17"/>
              </w:rPr>
              <w:t xml:space="preserve">formation</w:t>
            </w:r>
          </w:p>
        </w:tc>
        <w:tc>
          <w:tcPr/>
          <w:p>
            <w:pPr>
              <w:pStyle w:val="Compact"/>
              <w:spacing w:after="20" w:before="20" w:line="240" w:lineRule="auto"/>
              <w:jc w:val="left"/>
            </w:pPr>
            <w:r>
              <w:rPr>
                <w:sz w:val="17"/>
              </w:rPr>
              <w:t xml:space="preserve">1 centre d'appui,</w:t>
            </w:r>
            <w:r>
              <w:rPr>
                <w:sz w:val="17"/>
              </w:rPr>
              <w:t xml:space="preserve"> </w:t>
            </w:r>
            <w:r>
              <w:rPr>
                <w:sz w:val="17"/>
              </w:rPr>
              <w:t xml:space="preserve">formateurs par commune</w:t>
            </w:r>
          </w:p>
        </w:tc>
        <w:tc>
          <w:tcPr/>
          <w:p>
            <w:pPr>
              <w:pStyle w:val="Compact"/>
              <w:spacing w:after="20" w:before="20" w:line="240" w:lineRule="auto"/>
              <w:jc w:val="left"/>
            </w:pPr>
            <w:r>
              <w:rPr>
                <w:sz w:val="17"/>
              </w:rPr>
              <w:t xml:space="preserve">Régie compétente</w:t>
            </w:r>
          </w:p>
        </w:tc>
      </w:tr>
      <w:tr>
        <w:tc>
          <w:tcPr>
            <w:shd w:val="clear" w:color="auto" w:fill="F2F9F8"/>
          </w:tcPr>
          <w:p>
            <w:pPr>
              <w:pStyle w:val="Compact"/>
              <w:spacing w:after="20" w:before="20" w:line="240" w:lineRule="auto"/>
              <w:jc w:val="left"/>
            </w:pPr>
            <w:r>
              <w:rPr>
                <w:sz w:val="17"/>
              </w:rPr>
              <w:t xml:space="preserve">Trésorerie et</w:t>
            </w:r>
            <w:r>
              <w:rPr>
                <w:sz w:val="17"/>
              </w:rPr>
              <w:t xml:space="preserve"> </w:t>
            </w:r>
            <w:r>
              <w:rPr>
                <w:sz w:val="17"/>
              </w:rPr>
              <w:t xml:space="preserve">rapprochement</w:t>
            </w:r>
          </w:p>
        </w:tc>
        <w:tc>
          <w:tcPr>
            <w:shd w:val="clear" w:color="auto" w:fill="F2F9F8"/>
          </w:tcPr>
          <w:p>
            <w:pPr>
              <w:pStyle w:val="Compact"/>
              <w:spacing w:after="20" w:before="20" w:line="240" w:lineRule="auto"/>
              <w:jc w:val="left"/>
            </w:pPr>
            <w:r>
              <w:rPr>
                <w:sz w:val="17"/>
              </w:rPr>
              <w:t xml:space="preserve">2 comptables publics</w:t>
            </w:r>
            <w:r>
              <w:rPr>
                <w:sz w:val="17"/>
              </w:rPr>
              <w:t xml:space="preserve"> </w:t>
            </w:r>
            <w:r>
              <w:rPr>
                <w:sz w:val="17"/>
              </w:rPr>
              <w:t xml:space="preserve">dédiés</w:t>
            </w:r>
          </w:p>
        </w:tc>
        <w:tc>
          <w:tcPr>
            <w:shd w:val="clear" w:color="auto" w:fill="F2F9F8"/>
          </w:tcPr>
          <w:p>
            <w:pPr>
              <w:pStyle w:val="Compact"/>
              <w:spacing w:after="20" w:before="20" w:line="240" w:lineRule="auto"/>
              <w:jc w:val="left"/>
            </w:pPr>
            <w:r>
              <w:rPr>
                <w:sz w:val="17"/>
              </w:rPr>
              <w:t xml:space="preserve">Trésorerie provinciale</w:t>
            </w:r>
          </w:p>
        </w:tc>
      </w:tr>
    </w:tbl>
    <w:p>
      <w:pPr>
        <w:pStyle w:val="BodyText"/>
      </w:pPr>
      <w:r>
        <w:t xml:space="preserve">Le principe d'exploitation est la montée en autonomie : chaque poste</w:t>
      </w:r>
      <w:r>
        <w:t xml:space="preserve"> </w:t>
      </w:r>
      <w:r>
        <w:t xml:space="preserve">externe est doublé d'un agent provincial désigné, avec un calendrier de</w:t>
      </w:r>
      <w:r>
        <w:t xml:space="preserve"> </w:t>
      </w:r>
      <w:r>
        <w:t xml:space="preserve">transfert écrit et vérifié à chaque porte de phase.</w:t>
      </w:r>
    </w:p>
    <w:bookmarkEnd w:id="267"/>
    <w:bookmarkStart w:id="269" w:name="gouvernance-du-programme"/>
    <w:p>
      <w:pPr>
        <w:pStyle w:val="Heading1"/>
      </w:pPr>
      <w:r>
        <w:t xml:space="preserve">36. Gouvernance du programme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564"/>
        <w:gridCol w:w="2444"/>
        <w:gridCol w:w="2151"/>
        <w:gridCol w:w="1564"/>
      </w:tblGrid>
      <w:tr>
        <w:trPr>
          <w:tblHeader w:val="true"/>
          <w:tblHeader/>
        </w:trPr>
        <w:tc>
          <w:tcPr>
            <w:shd w:val="clear" w:color="auto" w:fill="1BA996"/>
          </w:tcPr>
          <w:p>
            <w:pPr>
              <w:pStyle w:val="Compact"/>
              <w:spacing w:after="20" w:before="20" w:line="240" w:lineRule="auto"/>
              <w:jc w:val="left"/>
            </w:pPr>
            <w:r>
              <w:rPr>
                <w:b/>
                <w:bCs/>
                <w:color w:val="FFFFFF"/>
                <w:sz w:val="17"/>
              </w:rPr>
              <w:t xml:space="preserve">Instance</w:t>
            </w:r>
          </w:p>
        </w:tc>
        <w:tc>
          <w:tcPr>
            <w:shd w:val="clear" w:color="auto" w:fill="1BA996"/>
          </w:tcPr>
          <w:p>
            <w:pPr>
              <w:pStyle w:val="Compact"/>
              <w:spacing w:after="20" w:before="20" w:line="240" w:lineRule="auto"/>
              <w:jc w:val="left"/>
            </w:pPr>
            <w:r>
              <w:rPr>
                <w:b/>
                <w:bCs/>
                <w:color w:val="FFFFFF"/>
                <w:sz w:val="17"/>
              </w:rPr>
              <w:t xml:space="preserve">Composition</w:t>
            </w:r>
          </w:p>
        </w:tc>
        <w:tc>
          <w:tcPr>
            <w:shd w:val="clear" w:color="auto" w:fill="1BA996"/>
          </w:tcPr>
          <w:p>
            <w:pPr>
              <w:pStyle w:val="Compact"/>
              <w:spacing w:after="20" w:before="20" w:line="240" w:lineRule="auto"/>
              <w:jc w:val="left"/>
            </w:pPr>
            <w:r>
              <w:rPr>
                <w:b/>
                <w:bCs/>
                <w:color w:val="FFFFFF"/>
                <w:sz w:val="17"/>
              </w:rPr>
              <w:t xml:space="preserve">Rôle</w:t>
            </w:r>
          </w:p>
        </w:tc>
        <w:tc>
          <w:tcPr>
            <w:shd w:val="clear" w:color="auto" w:fill="1BA996"/>
          </w:tcPr>
          <w:p>
            <w:pPr>
              <w:pStyle w:val="Compact"/>
              <w:spacing w:after="20" w:before="20" w:line="240" w:lineRule="auto"/>
              <w:jc w:val="left"/>
            </w:pPr>
            <w:r>
              <w:rPr>
                <w:b/>
                <w:bCs/>
                <w:color w:val="FFFFFF"/>
                <w:sz w:val="17"/>
              </w:rPr>
              <w:t xml:space="preserve">Fréquence</w:t>
            </w:r>
          </w:p>
        </w:tc>
      </w:tr>
      <w:tr>
        <w:tc>
          <w:tcPr/>
          <w:p>
            <w:pPr>
              <w:pStyle w:val="Compact"/>
              <w:spacing w:after="20" w:before="20" w:line="240" w:lineRule="auto"/>
              <w:jc w:val="left"/>
            </w:pPr>
            <w:r>
              <w:rPr>
                <w:sz w:val="17"/>
              </w:rPr>
              <w:t xml:space="preserve">Comité de</w:t>
            </w:r>
            <w:r>
              <w:rPr>
                <w:sz w:val="17"/>
              </w:rPr>
              <w:t xml:space="preserve"> </w:t>
            </w:r>
            <w:r>
              <w:rPr>
                <w:sz w:val="17"/>
              </w:rPr>
              <w:t xml:space="preserve">pilotage</w:t>
            </w:r>
          </w:p>
        </w:tc>
        <w:tc>
          <w:tcPr/>
          <w:p>
            <w:pPr>
              <w:pStyle w:val="Compact"/>
              <w:spacing w:after="20" w:before="20" w:line="240" w:lineRule="auto"/>
              <w:jc w:val="left"/>
            </w:pPr>
            <w:r>
              <w:rPr>
                <w:sz w:val="17"/>
              </w:rPr>
              <w:t xml:space="preserve">Ministre provincial des</w:t>
            </w:r>
            <w:r>
              <w:rPr>
                <w:sz w:val="17"/>
              </w:rPr>
              <w:t xml:space="preserve"> </w:t>
            </w:r>
            <w:r>
              <w:rPr>
                <w:sz w:val="17"/>
              </w:rPr>
              <w:t xml:space="preserve">Finances, directeurs des</w:t>
            </w:r>
            <w:r>
              <w:rPr>
                <w:sz w:val="17"/>
              </w:rPr>
              <w:t xml:space="preserve"> </w:t>
            </w:r>
            <w:r>
              <w:rPr>
                <w:sz w:val="17"/>
              </w:rPr>
              <w:t xml:space="preserve">régies, services</w:t>
            </w:r>
            <w:r>
              <w:rPr>
                <w:sz w:val="17"/>
              </w:rPr>
              <w:t xml:space="preserve"> </w:t>
            </w:r>
            <w:r>
              <w:rPr>
                <w:sz w:val="17"/>
              </w:rPr>
              <w:t xml:space="preserve">juridiques,</w:t>
            </w:r>
            <w:r>
              <w:rPr>
                <w:sz w:val="17"/>
              </w:rPr>
              <w:t xml:space="preserve"> </w:t>
            </w:r>
            <w:r>
              <w:rPr>
                <w:sz w:val="17"/>
              </w:rPr>
              <w:t xml:space="preserve">informatique,</w:t>
            </w:r>
            <w:r>
              <w:rPr>
                <w:sz w:val="17"/>
              </w:rPr>
              <w:t xml:space="preserve"> </w:t>
            </w:r>
            <w:r>
              <w:rPr>
                <w:sz w:val="17"/>
              </w:rPr>
              <w:t xml:space="preserve">représentant du</w:t>
            </w:r>
            <w:r>
              <w:rPr>
                <w:sz w:val="17"/>
              </w:rPr>
              <w:t xml:space="preserve"> </w:t>
            </w:r>
            <w:r>
              <w:rPr>
                <w:sz w:val="17"/>
              </w:rPr>
              <w:t xml:space="preserve">Gouverneur</w:t>
            </w:r>
          </w:p>
        </w:tc>
        <w:tc>
          <w:tcPr/>
          <w:p>
            <w:pPr>
              <w:pStyle w:val="Compact"/>
              <w:spacing w:after="20" w:before="20" w:line="240" w:lineRule="auto"/>
              <w:jc w:val="left"/>
            </w:pPr>
            <w:r>
              <w:rPr>
                <w:sz w:val="17"/>
              </w:rPr>
              <w:t xml:space="preserve">Arbitrage, validation</w:t>
            </w:r>
            <w:r>
              <w:rPr>
                <w:sz w:val="17"/>
              </w:rPr>
              <w:t xml:space="preserve"> </w:t>
            </w:r>
            <w:r>
              <w:rPr>
                <w:sz w:val="17"/>
              </w:rPr>
              <w:t xml:space="preserve">des portes de phase,</w:t>
            </w:r>
            <w:r>
              <w:rPr>
                <w:sz w:val="17"/>
              </w:rPr>
              <w:t xml:space="preserve"> </w:t>
            </w:r>
            <w:r>
              <w:rPr>
                <w:sz w:val="17"/>
              </w:rPr>
              <w:t xml:space="preserve">approbation du</w:t>
            </w:r>
            <w:r>
              <w:rPr>
                <w:sz w:val="17"/>
              </w:rPr>
              <w:t xml:space="preserve"> </w:t>
            </w:r>
            <w:r>
              <w:rPr>
                <w:sz w:val="17"/>
              </w:rPr>
              <w:t xml:space="preserve">référentiel</w:t>
            </w:r>
          </w:p>
        </w:tc>
        <w:tc>
          <w:tcPr/>
          <w:p>
            <w:pPr>
              <w:pStyle w:val="Compact"/>
              <w:spacing w:after="20" w:before="20" w:line="240" w:lineRule="auto"/>
              <w:jc w:val="left"/>
            </w:pPr>
            <w:r>
              <w:rPr>
                <w:sz w:val="17"/>
              </w:rPr>
              <w:t xml:space="preserve">Mensuelle</w:t>
            </w:r>
          </w:p>
        </w:tc>
      </w:tr>
      <w:tr>
        <w:tc>
          <w:tcPr>
            <w:shd w:val="clear" w:color="auto" w:fill="F2F9F8"/>
          </w:tcPr>
          <w:p>
            <w:pPr>
              <w:pStyle w:val="Compact"/>
              <w:spacing w:after="20" w:before="20" w:line="240" w:lineRule="auto"/>
              <w:jc w:val="left"/>
            </w:pPr>
            <w:r>
              <w:rPr>
                <w:sz w:val="17"/>
              </w:rPr>
              <w:t xml:space="preserve">Comité</w:t>
            </w:r>
            <w:r>
              <w:rPr>
                <w:sz w:val="17"/>
              </w:rPr>
              <w:t xml:space="preserve"> </w:t>
            </w:r>
            <w:r>
              <w:rPr>
                <w:sz w:val="17"/>
              </w:rPr>
              <w:t xml:space="preserve">technique</w:t>
            </w:r>
          </w:p>
        </w:tc>
        <w:tc>
          <w:tcPr>
            <w:shd w:val="clear" w:color="auto" w:fill="F2F9F8"/>
          </w:tcPr>
          <w:p>
            <w:pPr>
              <w:pStyle w:val="Compact"/>
              <w:spacing w:after="20" w:before="20" w:line="240" w:lineRule="auto"/>
              <w:jc w:val="left"/>
            </w:pPr>
            <w:r>
              <w:rPr>
                <w:sz w:val="17"/>
              </w:rPr>
              <w:t xml:space="preserve">Programme, architecte,</w:t>
            </w:r>
            <w:r>
              <w:rPr>
                <w:sz w:val="17"/>
              </w:rPr>
              <w:t xml:space="preserve"> </w:t>
            </w:r>
            <w:r>
              <w:rPr>
                <w:sz w:val="17"/>
              </w:rPr>
              <w:t xml:space="preserve">sécurité, régies,</w:t>
            </w:r>
            <w:r>
              <w:rPr>
                <w:sz w:val="17"/>
              </w:rPr>
              <w:t xml:space="preserve"> </w:t>
            </w:r>
            <w:r>
              <w:rPr>
                <w:sz w:val="17"/>
              </w:rPr>
              <w:t xml:space="preserve">trésorerie</w:t>
            </w:r>
          </w:p>
        </w:tc>
        <w:tc>
          <w:tcPr>
            <w:shd w:val="clear" w:color="auto" w:fill="F2F9F8"/>
          </w:tcPr>
          <w:p>
            <w:pPr>
              <w:pStyle w:val="Compact"/>
              <w:spacing w:after="20" w:before="20" w:line="240" w:lineRule="auto"/>
              <w:jc w:val="left"/>
            </w:pPr>
            <w:r>
              <w:rPr>
                <w:sz w:val="17"/>
              </w:rPr>
              <w:t xml:space="preserve">Suivi d'exécution,</w:t>
            </w:r>
            <w:r>
              <w:rPr>
                <w:sz w:val="17"/>
              </w:rPr>
              <w:t xml:space="preserve"> </w:t>
            </w:r>
            <w:r>
              <w:rPr>
                <w:sz w:val="17"/>
              </w:rPr>
              <w:t xml:space="preserve">risques, dépendances</w:t>
            </w:r>
          </w:p>
        </w:tc>
        <w:tc>
          <w:tcPr>
            <w:shd w:val="clear" w:color="auto" w:fill="F2F9F8"/>
          </w:tcPr>
          <w:p>
            <w:pPr>
              <w:pStyle w:val="Compact"/>
              <w:spacing w:after="20" w:before="20" w:line="240" w:lineRule="auto"/>
              <w:jc w:val="left"/>
            </w:pPr>
            <w:r>
              <w:rPr>
                <w:sz w:val="17"/>
              </w:rPr>
              <w:t xml:space="preserve">Hebdomadaire</w:t>
            </w:r>
          </w:p>
        </w:tc>
      </w:tr>
      <w:tr>
        <w:tc>
          <w:tcPr/>
          <w:p>
            <w:pPr>
              <w:pStyle w:val="Compact"/>
              <w:spacing w:after="20" w:before="20" w:line="240" w:lineRule="auto"/>
              <w:jc w:val="left"/>
            </w:pPr>
            <w:r>
              <w:rPr>
                <w:sz w:val="17"/>
              </w:rPr>
              <w:t xml:space="preserve">Comité</w:t>
            </w:r>
            <w:r>
              <w:rPr>
                <w:sz w:val="17"/>
              </w:rPr>
              <w:t xml:space="preserve"> </w:t>
            </w:r>
            <w:r>
              <w:rPr>
                <w:sz w:val="17"/>
              </w:rPr>
              <w:t xml:space="preserve">juridique et</w:t>
            </w:r>
            <w:r>
              <w:rPr>
                <w:sz w:val="17"/>
              </w:rPr>
              <w:t xml:space="preserve"> </w:t>
            </w:r>
            <w:r>
              <w:rPr>
                <w:sz w:val="17"/>
              </w:rPr>
              <w:t xml:space="preserve">tarifaire</w:t>
            </w:r>
          </w:p>
        </w:tc>
        <w:tc>
          <w:tcPr/>
          <w:p>
            <w:pPr>
              <w:pStyle w:val="Compact"/>
              <w:spacing w:after="20" w:before="20" w:line="240" w:lineRule="auto"/>
              <w:jc w:val="left"/>
            </w:pPr>
            <w:r>
              <w:rPr>
                <w:sz w:val="17"/>
              </w:rPr>
              <w:t xml:space="preserve">Juristes provinciaux,</w:t>
            </w:r>
            <w:r>
              <w:rPr>
                <w:sz w:val="17"/>
              </w:rPr>
              <w:t xml:space="preserve"> </w:t>
            </w:r>
            <w:r>
              <w:rPr>
                <w:sz w:val="17"/>
              </w:rPr>
              <w:t xml:space="preserve">régies, contrôle</w:t>
            </w:r>
          </w:p>
        </w:tc>
        <w:tc>
          <w:tcPr/>
          <w:p>
            <w:pPr>
              <w:pStyle w:val="Compact"/>
              <w:spacing w:after="20" w:before="20" w:line="240" w:lineRule="auto"/>
              <w:jc w:val="left"/>
            </w:pPr>
            <w:r>
              <w:rPr>
                <w:sz w:val="17"/>
              </w:rPr>
              <w:t xml:space="preserve">Validation des fiches</w:t>
            </w:r>
            <w:r>
              <w:rPr>
                <w:sz w:val="17"/>
              </w:rPr>
              <w:t xml:space="preserve"> </w:t>
            </w:r>
            <w:r>
              <w:rPr>
                <w:sz w:val="17"/>
              </w:rPr>
              <w:t xml:space="preserve">de recettes et des</w:t>
            </w:r>
            <w:r>
              <w:rPr>
                <w:sz w:val="17"/>
              </w:rPr>
              <w:t xml:space="preserve"> </w:t>
            </w:r>
            <w:r>
              <w:rPr>
                <w:sz w:val="17"/>
              </w:rPr>
              <w:t xml:space="preserve">versions</w:t>
            </w:r>
          </w:p>
        </w:tc>
        <w:tc>
          <w:tcPr/>
          <w:p>
            <w:pPr>
              <w:pStyle w:val="Compact"/>
              <w:spacing w:after="20" w:before="20" w:line="240" w:lineRule="auto"/>
              <w:jc w:val="left"/>
            </w:pPr>
            <w:r>
              <w:rPr>
                <w:sz w:val="17"/>
              </w:rPr>
              <w:t xml:space="preserve">À chaque</w:t>
            </w:r>
            <w:r>
              <w:rPr>
                <w:sz w:val="17"/>
              </w:rPr>
              <w:t xml:space="preserve"> </w:t>
            </w:r>
            <w:r>
              <w:rPr>
                <w:sz w:val="17"/>
              </w:rPr>
              <w:t xml:space="preserve">évolution</w:t>
            </w:r>
          </w:p>
        </w:tc>
      </w:tr>
      <w:tr>
        <w:tc>
          <w:tcPr>
            <w:shd w:val="clear" w:color="auto" w:fill="F2F9F8"/>
          </w:tcPr>
          <w:p>
            <w:pPr>
              <w:pStyle w:val="Compact"/>
              <w:spacing w:after="20" w:before="20" w:line="240" w:lineRule="auto"/>
              <w:jc w:val="left"/>
            </w:pPr>
            <w:r>
              <w:rPr>
                <w:sz w:val="17"/>
              </w:rPr>
              <w:t xml:space="preserve">Contrôle</w:t>
            </w:r>
            <w:r>
              <w:rPr>
                <w:sz w:val="17"/>
              </w:rPr>
              <w:t xml:space="preserve"> </w:t>
            </w:r>
            <w:r>
              <w:rPr>
                <w:sz w:val="17"/>
              </w:rPr>
              <w:t xml:space="preserve">indépendant</w:t>
            </w:r>
          </w:p>
        </w:tc>
        <w:tc>
          <w:tcPr>
            <w:shd w:val="clear" w:color="auto" w:fill="F2F9F8"/>
          </w:tcPr>
          <w:p>
            <w:pPr>
              <w:pStyle w:val="Compact"/>
              <w:spacing w:after="20" w:before="20" w:line="240" w:lineRule="auto"/>
              <w:jc w:val="left"/>
            </w:pPr>
            <w:r>
              <w:rPr>
                <w:sz w:val="17"/>
              </w:rPr>
              <w:t xml:space="preserve">Inspection provinciale,</w:t>
            </w:r>
            <w:r>
              <w:rPr>
                <w:sz w:val="17"/>
              </w:rPr>
              <w:t xml:space="preserve"> </w:t>
            </w:r>
            <w:r>
              <w:rPr>
                <w:sz w:val="17"/>
              </w:rPr>
              <w:t xml:space="preserve">audit interne,</w:t>
            </w:r>
            <w:r>
              <w:rPr>
                <w:sz w:val="17"/>
              </w:rPr>
              <w:t xml:space="preserve"> </w:t>
            </w:r>
            <w:r>
              <w:rPr>
                <w:sz w:val="17"/>
              </w:rPr>
              <w:t xml:space="preserve">observateur de la</w:t>
            </w:r>
            <w:r>
              <w:rPr>
                <w:sz w:val="17"/>
              </w:rPr>
              <w:t xml:space="preserve"> </w:t>
            </w:r>
            <w:r>
              <w:rPr>
                <w:sz w:val="17"/>
              </w:rPr>
              <w:t xml:space="preserve">société civile</w:t>
            </w:r>
          </w:p>
        </w:tc>
        <w:tc>
          <w:tcPr>
            <w:shd w:val="clear" w:color="auto" w:fill="F2F9F8"/>
          </w:tcPr>
          <w:p>
            <w:pPr>
              <w:pStyle w:val="Compact"/>
              <w:spacing w:after="20" w:before="20" w:line="240" w:lineRule="auto"/>
              <w:jc w:val="left"/>
            </w:pPr>
            <w:r>
              <w:rPr>
                <w:sz w:val="17"/>
              </w:rPr>
              <w:t xml:space="preserve">Vérification des</w:t>
            </w:r>
            <w:r>
              <w:rPr>
                <w:sz w:val="17"/>
              </w:rPr>
              <w:t xml:space="preserve"> </w:t>
            </w:r>
            <w:r>
              <w:rPr>
                <w:sz w:val="17"/>
              </w:rPr>
              <w:t xml:space="preserve">résultats publiés et</w:t>
            </w:r>
            <w:r>
              <w:rPr>
                <w:sz w:val="17"/>
              </w:rPr>
              <w:t xml:space="preserve"> </w:t>
            </w:r>
            <w:r>
              <w:rPr>
                <w:sz w:val="17"/>
              </w:rPr>
              <w:t xml:space="preserve">des écarts</w:t>
            </w:r>
          </w:p>
        </w:tc>
        <w:tc>
          <w:tcPr>
            <w:shd w:val="clear" w:color="auto" w:fill="F2F9F8"/>
          </w:tcPr>
          <w:p>
            <w:pPr>
              <w:pStyle w:val="Compact"/>
              <w:spacing w:after="20" w:before="20" w:line="240" w:lineRule="auto"/>
              <w:jc w:val="left"/>
            </w:pPr>
            <w:r>
              <w:rPr>
                <w:sz w:val="17"/>
              </w:rPr>
              <w:t xml:space="preserve">Trimestrielle</w:t>
            </w:r>
          </w:p>
        </w:tc>
      </w:tr>
      <w:tr>
        <w:tc>
          <w:tcPr/>
          <w:p>
            <w:pPr>
              <w:pStyle w:val="Compact"/>
              <w:spacing w:after="20" w:before="20" w:line="240" w:lineRule="auto"/>
              <w:jc w:val="left"/>
            </w:pPr>
            <w:r>
              <w:rPr>
                <w:sz w:val="17"/>
              </w:rPr>
              <w:t xml:space="preserve">Comité des</w:t>
            </w:r>
            <w:r>
              <w:rPr>
                <w:sz w:val="17"/>
              </w:rPr>
              <w:t xml:space="preserve"> </w:t>
            </w:r>
            <w:r>
              <w:rPr>
                <w:sz w:val="17"/>
              </w:rPr>
              <w:t xml:space="preserve">données</w:t>
            </w:r>
          </w:p>
        </w:tc>
        <w:tc>
          <w:tcPr/>
          <w:p>
            <w:pPr>
              <w:pStyle w:val="Compact"/>
              <w:spacing w:after="20" w:before="20" w:line="240" w:lineRule="auto"/>
              <w:jc w:val="left"/>
            </w:pPr>
            <w:r>
              <w:rPr>
                <w:sz w:val="17"/>
              </w:rPr>
              <w:t xml:space="preserve">Responsable des données,</w:t>
            </w:r>
            <w:r>
              <w:rPr>
                <w:sz w:val="17"/>
              </w:rPr>
              <w:t xml:space="preserve"> </w:t>
            </w:r>
            <w:r>
              <w:rPr>
                <w:sz w:val="17"/>
              </w:rPr>
              <w:t xml:space="preserve">juridique, sécurité,</w:t>
            </w:r>
            <w:r>
              <w:rPr>
                <w:sz w:val="17"/>
              </w:rPr>
              <w:t xml:space="preserve"> </w:t>
            </w:r>
            <w:r>
              <w:rPr>
                <w:sz w:val="17"/>
              </w:rPr>
              <w:t xml:space="preserve">régies</w:t>
            </w:r>
          </w:p>
        </w:tc>
        <w:tc>
          <w:tcPr/>
          <w:p>
            <w:pPr>
              <w:pStyle w:val="Compact"/>
              <w:spacing w:after="20" w:before="20" w:line="240" w:lineRule="auto"/>
              <w:jc w:val="left"/>
            </w:pPr>
            <w:r>
              <w:rPr>
                <w:sz w:val="17"/>
              </w:rPr>
              <w:t xml:space="preserve">Protocoles,</w:t>
            </w:r>
            <w:r>
              <w:rPr>
                <w:sz w:val="17"/>
              </w:rPr>
              <w:t xml:space="preserve"> </w:t>
            </w:r>
            <w:r>
              <w:rPr>
                <w:sz w:val="17"/>
              </w:rPr>
              <w:t xml:space="preserve">finalités,</w:t>
            </w:r>
            <w:r>
              <w:rPr>
                <w:sz w:val="17"/>
              </w:rPr>
              <w:t xml:space="preserve"> </w:t>
            </w:r>
            <w:r>
              <w:rPr>
                <w:sz w:val="17"/>
              </w:rPr>
              <w:t xml:space="preserve">conservation,</w:t>
            </w:r>
            <w:r>
              <w:rPr>
                <w:sz w:val="17"/>
              </w:rPr>
              <w:t xml:space="preserve"> </w:t>
            </w:r>
            <w:r>
              <w:rPr>
                <w:sz w:val="17"/>
              </w:rPr>
              <w:t xml:space="preserve">publications</w:t>
            </w:r>
          </w:p>
        </w:tc>
        <w:tc>
          <w:tcPr/>
          <w:p>
            <w:pPr>
              <w:pStyle w:val="Compact"/>
              <w:spacing w:after="20" w:before="20" w:line="240" w:lineRule="auto"/>
              <w:jc w:val="left"/>
            </w:pPr>
            <w:r>
              <w:rPr>
                <w:sz w:val="17"/>
              </w:rPr>
              <w:t xml:space="preserve">Mensuelle</w:t>
            </w:r>
          </w:p>
        </w:tc>
      </w:tr>
    </w:tbl>
    <w:p>
      <w:pPr>
        <w:pStyle w:val="BodyText"/>
      </w:pPr>
      <w:r>
        <w:t xml:space="preserve">Correspondance avec les instances nommées dans les sources : le comité de pilotage exerce le rôle de comité exécutif ; le comité juridique et tarifaire est le Legal &amp; Revenue Rule Board ; le comité des données est le Data Governance Council ; le contrôle indépendant assure l’Audit &amp; Assurance. Trois instances complètent le dispositif :</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blHeader/>
        </w:trPr>
        <w:tc>
          <w:tcPr>
            <w:shd w:val="clear" w:color="auto" w:fill="1BA996"/>
          </w:tcPr>
          <w:p>
            <w:pPr>
              <w:pStyle w:val="Compact"/>
              <w:spacing w:after="20" w:before="20" w:line="240" w:lineRule="auto"/>
              <w:jc w:val="left"/>
            </w:pPr>
            <w:r>
              <w:rPr>
                <w:b/>
                <w:color w:val="FFFFFF"/>
                <w:sz w:val="17"/>
              </w:rPr>
              <w:t xml:space="preserve">Instance</w:t>
            </w:r>
          </w:p>
        </w:tc>
        <w:tc>
          <w:tcPr>
            <w:shd w:val="clear" w:color="auto" w:fill="1BA996"/>
          </w:tcPr>
          <w:p>
            <w:pPr>
              <w:pStyle w:val="Compact"/>
              <w:spacing w:after="20" w:before="20" w:line="240" w:lineRule="auto"/>
              <w:jc w:val="left"/>
            </w:pPr>
            <w:r>
              <w:rPr>
                <w:b/>
                <w:color w:val="FFFFFF"/>
                <w:sz w:val="17"/>
              </w:rPr>
              <w:t xml:space="preserve">Composition</w:t>
            </w:r>
          </w:p>
        </w:tc>
        <w:tc>
          <w:tcPr>
            <w:shd w:val="clear" w:color="auto" w:fill="1BA996"/>
          </w:tcPr>
          <w:p>
            <w:pPr>
              <w:pStyle w:val="Compact"/>
              <w:spacing w:after="20" w:before="20" w:line="240" w:lineRule="auto"/>
              <w:jc w:val="left"/>
            </w:pPr>
            <w:r>
              <w:rPr>
                <w:b/>
                <w:color w:val="FFFFFF"/>
                <w:sz w:val="17"/>
              </w:rPr>
              <w:t xml:space="preserve">Rôle</w:t>
            </w:r>
          </w:p>
        </w:tc>
        <w:tc>
          <w:tcPr>
            <w:shd w:val="clear" w:color="auto" w:fill="1BA996"/>
          </w:tcPr>
          <w:p>
            <w:pPr>
              <w:pStyle w:val="Compact"/>
              <w:spacing w:after="20" w:before="20" w:line="240" w:lineRule="auto"/>
              <w:jc w:val="left"/>
            </w:pPr>
            <w:r>
              <w:rPr>
                <w:b/>
                <w:color w:val="FFFFFF"/>
                <w:sz w:val="17"/>
              </w:rPr>
              <w:t xml:space="preserve">Fréquence</w:t>
            </w:r>
          </w:p>
        </w:tc>
      </w:tr>
      <w:tr>
        <w:tc>
          <w:tcPr/>
          <w:p>
            <w:pPr>
              <w:pStyle w:val="Compact"/>
              <w:spacing w:after="20" w:before="20" w:line="240" w:lineRule="auto"/>
              <w:jc w:val="left"/>
            </w:pPr>
            <w:r>
              <w:rPr>
                <w:sz w:val="17"/>
              </w:rPr>
              <w:t xml:space="preserve">Bureau du programme et du produit (Product/Programme Office)</w:t>
            </w:r>
          </w:p>
        </w:tc>
        <w:tc>
          <w:tcPr/>
          <w:p>
            <w:pPr>
              <w:pStyle w:val="Compact"/>
              <w:spacing w:after="20" w:before="20" w:line="240" w:lineRule="auto"/>
              <w:jc w:val="left"/>
            </w:pPr>
            <w:r>
              <w:rPr>
                <w:sz w:val="17"/>
              </w:rPr>
              <w:t xml:space="preserve">Directeur de programme, responsable produit, architecte, responsables de lots</w:t>
            </w:r>
          </w:p>
        </w:tc>
        <w:tc>
          <w:tcPr/>
          <w:p>
            <w:pPr>
              <w:pStyle w:val="Compact"/>
              <w:spacing w:after="20" w:before="20" w:line="240" w:lineRule="auto"/>
              <w:jc w:val="left"/>
            </w:pPr>
            <w:r>
              <w:rPr>
                <w:sz w:val="17"/>
              </w:rPr>
              <w:t xml:space="preserve">Planification, arbitrages de backlog, suivi des livrables, RACI</w:t>
            </w:r>
          </w:p>
        </w:tc>
        <w:tc>
          <w:tcPr/>
          <w:p>
            <w:pPr>
              <w:pStyle w:val="Compact"/>
              <w:spacing w:after="20" w:before="20" w:line="240" w:lineRule="auto"/>
              <w:jc w:val="left"/>
            </w:pPr>
            <w:r>
              <w:rPr>
                <w:sz w:val="17"/>
              </w:rPr>
              <w:t xml:space="preserve">Hebdomadaire</w:t>
            </w:r>
          </w:p>
        </w:tc>
      </w:tr>
      <w:tr>
        <w:tc>
          <w:tcPr>
            <w:shd w:val="clear" w:color="auto" w:fill="F2F9F8"/>
          </w:tcPr>
          <w:p>
            <w:pPr>
              <w:pStyle w:val="Compact"/>
              <w:spacing w:after="20" w:before="20" w:line="240" w:lineRule="auto"/>
              <w:jc w:val="left"/>
            </w:pPr>
            <w:r>
              <w:rPr>
                <w:sz w:val="17"/>
              </w:rPr>
              <w:t xml:space="preserve">Comité de sécurité</w:t>
            </w:r>
          </w:p>
        </w:tc>
        <w:tc>
          <w:tcPr>
            <w:shd w:val="clear" w:color="auto" w:fill="F2F9F8"/>
          </w:tcPr>
          <w:p>
            <w:pPr>
              <w:pStyle w:val="Compact"/>
              <w:spacing w:after="20" w:before="20" w:line="240" w:lineRule="auto"/>
              <w:jc w:val="left"/>
            </w:pPr>
            <w:r>
              <w:rPr>
                <w:sz w:val="17"/>
              </w:rPr>
              <w:t xml:space="preserve">Responsable sécurité, programme, trésorerie, audit</w:t>
            </w:r>
          </w:p>
        </w:tc>
        <w:tc>
          <w:tcPr>
            <w:shd w:val="clear" w:color="auto" w:fill="F2F9F8"/>
          </w:tcPr>
          <w:p>
            <w:pPr>
              <w:pStyle w:val="Compact"/>
              <w:spacing w:after="20" w:before="20" w:line="240" w:lineRule="auto"/>
              <w:jc w:val="left"/>
            </w:pPr>
            <w:r>
              <w:rPr>
                <w:sz w:val="17"/>
              </w:rPr>
              <w:t xml:space="preserve">Risques cyber, incidents, revues d’accès privilégiés, tests d’intrusion</w:t>
            </w:r>
          </w:p>
        </w:tc>
        <w:tc>
          <w:tcPr>
            <w:shd w:val="clear" w:color="auto" w:fill="F2F9F8"/>
          </w:tcPr>
          <w:p>
            <w:pPr>
              <w:pStyle w:val="Compact"/>
              <w:spacing w:after="20" w:before="20" w:line="240" w:lineRule="auto"/>
              <w:jc w:val="left"/>
            </w:pPr>
            <w:r>
              <w:rPr>
                <w:sz w:val="17"/>
              </w:rPr>
              <w:t xml:space="preserve">Mensuelle et sur incident</w:t>
            </w:r>
          </w:p>
        </w:tc>
      </w:tr>
      <w:tr>
        <w:tc>
          <w:tcPr/>
          <w:p>
            <w:pPr>
              <w:pStyle w:val="Compact"/>
              <w:spacing w:after="20" w:before="20" w:line="240" w:lineRule="auto"/>
              <w:jc w:val="left"/>
            </w:pPr>
            <w:r>
              <w:rPr>
                <w:sz w:val="17"/>
              </w:rPr>
              <w:t xml:space="preserve">Comité de contrôle des changements (Change Control Board)</w:t>
            </w:r>
          </w:p>
        </w:tc>
        <w:tc>
          <w:tcPr/>
          <w:p>
            <w:pPr>
              <w:pStyle w:val="Compact"/>
              <w:spacing w:after="20" w:before="20" w:line="240" w:lineRule="auto"/>
              <w:jc w:val="left"/>
            </w:pPr>
            <w:r>
              <w:rPr>
                <w:sz w:val="17"/>
              </w:rPr>
              <w:t xml:space="preserve">Programme, régies, juridique, sécurité</w:t>
            </w:r>
          </w:p>
        </w:tc>
        <w:tc>
          <w:tcPr/>
          <w:p>
            <w:pPr>
              <w:pStyle w:val="Compact"/>
              <w:spacing w:after="20" w:before="20" w:line="240" w:lineRule="auto"/>
              <w:jc w:val="left"/>
            </w:pPr>
            <w:r>
              <w:rPr>
                <w:sz w:val="17"/>
              </w:rPr>
              <w:t xml:space="preserve">Approbation des changements de périmètre, de règles et de mises en production</w:t>
            </w:r>
          </w:p>
        </w:tc>
        <w:tc>
          <w:tcPr/>
          <w:p>
            <w:pPr>
              <w:pStyle w:val="Compact"/>
              <w:spacing w:after="20" w:before="20" w:line="240" w:lineRule="auto"/>
              <w:jc w:val="left"/>
            </w:pPr>
            <w:r>
              <w:rPr>
                <w:sz w:val="17"/>
              </w:rPr>
              <w:t xml:space="preserve">À chaque demande</w:t>
            </w:r>
          </w:p>
        </w:tc>
      </w:tr>
    </w:tbl>
    <w:p>
      <w:pPr>
        <w:pStyle w:val="BodyText"/>
      </w:pPr>
      <w:r>
        <w:t xml:space="preserve">Une matrice RACI explicite est établie pour chaque domaine, et toute décision est documentée.</w:t>
      </w:r>
    </w:p>
    <w:bookmarkStart w:id="268" w:name="Xc1e92eb9457748073612a753b8db507193b692f"/>
    <w:p>
      <w:pPr>
        <w:pStyle w:val="Heading2"/>
      </w:pPr>
      <w:r>
        <w:t xml:space="preserve">36.1 Standard minimal applicable à chaque module critique</w:t>
      </w:r>
    </w:p>
    <w:p>
      <w:pPr>
        <w:pStyle w:val="FirstParagraph"/>
      </w:pPr>
      <w:r>
        <w:t xml:space="preserve">Ce standard constitue la « définition de terminé » de chaque module critique : registre des règles, habilitations RBAC/ABAC, liquidation, orchestration des paiements, règlement et rapprochement, plan anti-fraude, agents IA, architecture applicative, modèle de données, API, cybersécurité, plateforme terrain, feuille de route et critères d’acceptation.</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Élément</w:t>
            </w:r>
          </w:p>
        </w:tc>
        <w:tc>
          <w:tcPr>
            <w:shd w:val="clear" w:color="auto" w:fill="1BA996"/>
          </w:tcPr>
          <w:p>
            <w:pPr>
              <w:pStyle w:val="Compact"/>
              <w:spacing w:after="20" w:before="20" w:line="240" w:lineRule="auto"/>
              <w:jc w:val="left"/>
            </w:pPr>
            <w:r>
              <w:rPr>
                <w:b/>
                <w:color w:val="FFFFFF"/>
                <w:sz w:val="17"/>
              </w:rPr>
              <w:t xml:space="preserve">Exigence minimale</w:t>
            </w:r>
          </w:p>
        </w:tc>
      </w:tr>
      <w:tr>
        <w:tc>
          <w:tcPr/>
          <w:p>
            <w:pPr>
              <w:pStyle w:val="Compact"/>
              <w:spacing w:after="20" w:before="20" w:line="240" w:lineRule="auto"/>
              <w:jc w:val="left"/>
            </w:pPr>
            <w:r>
              <w:rPr>
                <w:sz w:val="17"/>
              </w:rPr>
              <w:t xml:space="preserve">Responsable (Owner)</w:t>
            </w:r>
          </w:p>
        </w:tc>
        <w:tc>
          <w:tcPr/>
          <w:p>
            <w:pPr>
              <w:pStyle w:val="Compact"/>
              <w:spacing w:after="20" w:before="20" w:line="240" w:lineRule="auto"/>
              <w:jc w:val="left"/>
            </w:pPr>
            <w:r>
              <w:rPr>
                <w:sz w:val="17"/>
              </w:rPr>
              <w:t xml:space="preserve">Responsable métier + responsable produit + contrôle indépendant selon le domaine</w:t>
            </w:r>
          </w:p>
        </w:tc>
      </w:tr>
      <w:tr>
        <w:tc>
          <w:tcPr>
            <w:shd w:val="clear" w:color="auto" w:fill="F2F9F8"/>
          </w:tcPr>
          <w:p>
            <w:pPr>
              <w:pStyle w:val="Compact"/>
              <w:spacing w:after="20" w:before="20" w:line="240" w:lineRule="auto"/>
              <w:jc w:val="left"/>
            </w:pPr>
            <w:r>
              <w:rPr>
                <w:sz w:val="17"/>
              </w:rPr>
              <w:t xml:space="preserve">Audit</w:t>
            </w:r>
          </w:p>
        </w:tc>
        <w:tc>
          <w:tcPr>
            <w:shd w:val="clear" w:color="auto" w:fill="F2F9F8"/>
          </w:tcPr>
          <w:p>
            <w:pPr>
              <w:pStyle w:val="Compact"/>
              <w:spacing w:after="20" w:before="20" w:line="240" w:lineRule="auto"/>
              <w:jc w:val="left"/>
            </w:pPr>
            <w:r>
              <w:rPr>
                <w:sz w:val="17"/>
              </w:rPr>
              <w:t xml:space="preserve">Acteur, horodatage, appareil et session, avant et après, motif, chaîne d’approbation, identifiant de corrélation</w:t>
            </w:r>
          </w:p>
        </w:tc>
      </w:tr>
      <w:tr>
        <w:tc>
          <w:tcPr/>
          <w:p>
            <w:pPr>
              <w:pStyle w:val="Compact"/>
              <w:spacing w:after="20" w:before="20" w:line="240" w:lineRule="auto"/>
              <w:jc w:val="left"/>
            </w:pPr>
            <w:r>
              <w:rPr>
                <w:sz w:val="17"/>
              </w:rPr>
              <w:t xml:space="preserve">Sécurité</w:t>
            </w:r>
          </w:p>
        </w:tc>
        <w:tc>
          <w:tcPr/>
          <w:p>
            <w:pPr>
              <w:pStyle w:val="Compact"/>
              <w:spacing w:after="20" w:before="20" w:line="240" w:lineRule="auto"/>
              <w:jc w:val="left"/>
            </w:pPr>
            <w:r>
              <w:rPr>
                <w:sz w:val="17"/>
              </w:rPr>
              <w:t xml:space="preserve">Moindre privilège, authentification multifacteur pour les actions sensibles, chiffrement, secrets hors du code</w:t>
            </w:r>
          </w:p>
        </w:tc>
      </w:tr>
      <w:tr>
        <w:tc>
          <w:tcPr>
            <w:shd w:val="clear" w:color="auto" w:fill="F2F9F8"/>
          </w:tcPr>
          <w:p>
            <w:pPr>
              <w:pStyle w:val="Compact"/>
              <w:spacing w:after="20" w:before="20" w:line="240" w:lineRule="auto"/>
              <w:jc w:val="left"/>
            </w:pPr>
            <w:r>
              <w:rPr>
                <w:sz w:val="17"/>
              </w:rPr>
              <w:t xml:space="preserve">Tests</w:t>
            </w:r>
          </w:p>
        </w:tc>
        <w:tc>
          <w:tcPr>
            <w:shd w:val="clear" w:color="auto" w:fill="F2F9F8"/>
          </w:tcPr>
          <w:p>
            <w:pPr>
              <w:pStyle w:val="Compact"/>
              <w:spacing w:after="20" w:before="20" w:line="240" w:lineRule="auto"/>
              <w:jc w:val="left"/>
            </w:pPr>
            <w:r>
              <w:rPr>
                <w:sz w:val="17"/>
              </w:rPr>
              <w:t xml:space="preserve">Unitaires + intégration + sécurité + recette utilisateur + cas négatifs + retour arrière</w:t>
            </w:r>
          </w:p>
        </w:tc>
      </w:tr>
      <w:tr>
        <w:tc>
          <w:tcPr/>
          <w:p>
            <w:pPr>
              <w:pStyle w:val="Compact"/>
              <w:spacing w:after="20" w:before="20" w:line="240" w:lineRule="auto"/>
              <w:jc w:val="left"/>
            </w:pPr>
            <w:r>
              <w:rPr>
                <w:sz w:val="17"/>
              </w:rPr>
              <w:t xml:space="preserve">Acceptation</w:t>
            </w:r>
          </w:p>
        </w:tc>
        <w:tc>
          <w:tcPr/>
          <w:p>
            <w:pPr>
              <w:pStyle w:val="Compact"/>
              <w:spacing w:after="20" w:before="20" w:line="240" w:lineRule="auto"/>
              <w:jc w:val="left"/>
            </w:pPr>
            <w:r>
              <w:rPr>
                <w:sz w:val="17"/>
              </w:rPr>
              <w:t xml:space="preserve">Aucune mise en production sans critères mesurables et preuves de test</w:t>
            </w:r>
          </w:p>
        </w:tc>
      </w:tr>
    </w:tbl>
    <w:p>
      <w:pPr>
        <w:pStyle w:val="BodyText"/>
      </w:pPr>
      <w:r>
        <w:t xml:space="preserve">Deux instances complémentaires issues de la spécification KIN RECETTES : un</w:t>
      </w:r>
      <w:r>
        <w:t xml:space="preserve"> </w:t>
      </w:r>
      <w:r>
        <w:rPr>
          <w:b/>
          <w:bCs/>
        </w:rPr>
        <w:t xml:space="preserve">comité finances et rapprochement</w:t>
      </w:r>
      <w:r>
        <w:t xml:space="preserve"> </w:t>
      </w:r>
      <w:r>
        <w:t xml:space="preserve">(règlements, comptes publics, écarts, clôture ; hebdomadaire, quotidien en période critique) et un</w:t>
      </w:r>
      <w:r>
        <w:t xml:space="preserve"> </w:t>
      </w:r>
      <w:r>
        <w:rPr>
          <w:b/>
          <w:bCs/>
        </w:rPr>
        <w:t xml:space="preserve">comité produit</w:t>
      </w:r>
      <w:r>
        <w:t xml:space="preserve"> </w:t>
      </w:r>
      <w:r>
        <w:t xml:space="preserve">(priorités, adoption, retours des contribuables, qualité ; toutes les deux semaines). Le comité de sécurité se réunit mensuellement et couvre aussi les données, la conservation et les tiers.</w:t>
      </w:r>
    </w:p>
    <w:bookmarkEnd w:id="268"/>
    <w:bookmarkEnd w:id="269"/>
    <w:bookmarkStart w:id="273" w:name="passation-et-modèle-commercial"/>
    <w:p>
      <w:pPr>
        <w:pStyle w:val="Heading1"/>
      </w:pPr>
      <w:r>
        <w:t xml:space="preserve">37. Passation et modèle commercial</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564"/>
        <w:gridCol w:w="2151"/>
        <w:gridCol w:w="2151"/>
        <w:gridCol w:w="1857"/>
      </w:tblGrid>
      <w:tr>
        <w:trPr>
          <w:tblHeader w:val="true"/>
          <w:tblHeader/>
        </w:trPr>
        <w:tc>
          <w:tcPr>
            <w:shd w:val="clear" w:color="auto" w:fill="1BA996"/>
          </w:tcPr>
          <w:p>
            <w:pPr>
              <w:pStyle w:val="Compact"/>
              <w:spacing w:after="20" w:before="20" w:line="240" w:lineRule="auto"/>
              <w:jc w:val="left"/>
            </w:pPr>
            <w:r>
              <w:rPr>
                <w:b/>
                <w:bCs/>
                <w:color w:val="FFFFFF"/>
                <w:sz w:val="17"/>
              </w:rPr>
              <w:t xml:space="preserve">Modèle</w:t>
            </w:r>
          </w:p>
        </w:tc>
        <w:tc>
          <w:tcPr>
            <w:shd w:val="clear" w:color="auto" w:fill="1BA996"/>
          </w:tcPr>
          <w:p>
            <w:pPr>
              <w:pStyle w:val="Compact"/>
              <w:spacing w:after="20" w:before="20" w:line="240" w:lineRule="auto"/>
              <w:jc w:val="left"/>
            </w:pPr>
            <w:r>
              <w:rPr>
                <w:b/>
                <w:bCs/>
                <w:color w:val="FFFFFF"/>
                <w:sz w:val="17"/>
              </w:rPr>
              <w:t xml:space="preserve">Description</w:t>
            </w:r>
          </w:p>
        </w:tc>
        <w:tc>
          <w:tcPr>
            <w:shd w:val="clear" w:color="auto" w:fill="1BA996"/>
          </w:tcPr>
          <w:p>
            <w:pPr>
              <w:pStyle w:val="Compact"/>
              <w:spacing w:after="20" w:before="20" w:line="240" w:lineRule="auto"/>
              <w:jc w:val="left"/>
            </w:pPr>
            <w:r>
              <w:rPr>
                <w:b/>
                <w:bCs/>
                <w:color w:val="FFFFFF"/>
                <w:sz w:val="17"/>
              </w:rPr>
              <w:t xml:space="preserve">Risque pour la</w:t>
            </w:r>
            <w:r>
              <w:rPr>
                <w:b/>
                <w:bCs/>
                <w:color w:val="FFFFFF"/>
                <w:sz w:val="17"/>
              </w:rPr>
              <w:t xml:space="preserve"> </w:t>
            </w:r>
            <w:r>
              <w:rPr>
                <w:b/>
                <w:bCs/>
                <w:color w:val="FFFFFF"/>
                <w:sz w:val="17"/>
              </w:rPr>
              <w:t xml:space="preserve">Ville</w:t>
            </w:r>
          </w:p>
        </w:tc>
        <w:tc>
          <w:tcPr>
            <w:shd w:val="clear" w:color="auto" w:fill="1BA996"/>
          </w:tcPr>
          <w:p>
            <w:pPr>
              <w:pStyle w:val="Compact"/>
              <w:spacing w:after="20" w:before="20" w:line="240" w:lineRule="auto"/>
              <w:jc w:val="left"/>
            </w:pPr>
            <w:r>
              <w:rPr>
                <w:b/>
                <w:bCs/>
                <w:color w:val="FFFFFF"/>
                <w:sz w:val="17"/>
              </w:rPr>
              <w:t xml:space="preserve">Appréciation</w:t>
            </w:r>
          </w:p>
        </w:tc>
      </w:tr>
      <w:tr>
        <w:tc>
          <w:tcPr/>
          <w:p>
            <w:pPr>
              <w:pStyle w:val="Compact"/>
              <w:spacing w:after="20" w:before="20" w:line="240" w:lineRule="auto"/>
              <w:jc w:val="left"/>
            </w:pPr>
            <w:r>
              <w:rPr>
                <w:sz w:val="17"/>
              </w:rPr>
              <w:t xml:space="preserve">Financement</w:t>
            </w:r>
            <w:r>
              <w:rPr>
                <w:sz w:val="17"/>
              </w:rPr>
              <w:t xml:space="preserve"> </w:t>
            </w:r>
            <w:r>
              <w:rPr>
                <w:sz w:val="17"/>
              </w:rPr>
              <w:t xml:space="preserve">public intégral</w:t>
            </w:r>
          </w:p>
        </w:tc>
        <w:tc>
          <w:tcPr/>
          <w:p>
            <w:pPr>
              <w:pStyle w:val="Compact"/>
              <w:spacing w:after="20" w:before="20" w:line="240" w:lineRule="auto"/>
              <w:jc w:val="left"/>
            </w:pPr>
            <w:r>
              <w:rPr>
                <w:sz w:val="17"/>
              </w:rPr>
              <w:t xml:space="preserve">La Ville finance et</w:t>
            </w:r>
            <w:r>
              <w:rPr>
                <w:sz w:val="17"/>
              </w:rPr>
              <w:t xml:space="preserve"> </w:t>
            </w:r>
            <w:r>
              <w:rPr>
                <w:sz w:val="17"/>
              </w:rPr>
              <w:t xml:space="preserve">pilote</w:t>
            </w:r>
          </w:p>
        </w:tc>
        <w:tc>
          <w:tcPr/>
          <w:p>
            <w:pPr>
              <w:pStyle w:val="Compact"/>
              <w:spacing w:after="20" w:before="20" w:line="240" w:lineRule="auto"/>
              <w:jc w:val="left"/>
            </w:pPr>
            <w:r>
              <w:rPr>
                <w:sz w:val="17"/>
              </w:rPr>
              <w:t xml:space="preserve">Charge budgétaire</w:t>
            </w:r>
            <w:r>
              <w:rPr>
                <w:sz w:val="17"/>
              </w:rPr>
              <w:t xml:space="preserve"> </w:t>
            </w:r>
            <w:r>
              <w:rPr>
                <w:sz w:val="17"/>
              </w:rPr>
              <w:t xml:space="preserve">immédiate</w:t>
            </w:r>
          </w:p>
        </w:tc>
        <w:tc>
          <w:tcPr/>
          <w:p>
            <w:pPr>
              <w:pStyle w:val="Compact"/>
              <w:spacing w:after="20" w:before="20" w:line="240" w:lineRule="auto"/>
              <w:jc w:val="left"/>
            </w:pPr>
            <w:r>
              <w:rPr>
                <w:sz w:val="17"/>
              </w:rPr>
              <w:t xml:space="preserve">Optimal si le</w:t>
            </w:r>
            <w:r>
              <w:rPr>
                <w:sz w:val="17"/>
              </w:rPr>
              <w:t xml:space="preserve"> </w:t>
            </w:r>
            <w:r>
              <w:rPr>
                <w:sz w:val="17"/>
              </w:rPr>
              <w:t xml:space="preserve">financement est</w:t>
            </w:r>
            <w:r>
              <w:rPr>
                <w:sz w:val="17"/>
              </w:rPr>
              <w:t xml:space="preserve"> </w:t>
            </w:r>
            <w:r>
              <w:rPr>
                <w:sz w:val="17"/>
              </w:rPr>
              <w:t xml:space="preserve">disponible</w:t>
            </w:r>
          </w:p>
        </w:tc>
      </w:tr>
      <w:tr>
        <w:tc>
          <w:tcPr>
            <w:shd w:val="clear" w:color="auto" w:fill="F2F9F8"/>
          </w:tcPr>
          <w:p>
            <w:pPr>
              <w:pStyle w:val="Compact"/>
              <w:spacing w:after="20" w:before="20" w:line="240" w:lineRule="auto"/>
              <w:jc w:val="left"/>
            </w:pPr>
            <w:r>
              <w:rPr>
                <w:sz w:val="17"/>
              </w:rPr>
              <w:t xml:space="preserve">Licence et</w:t>
            </w:r>
            <w:r>
              <w:rPr>
                <w:sz w:val="17"/>
              </w:rPr>
              <w:t xml:space="preserve"> </w:t>
            </w:r>
            <w:r>
              <w:rPr>
                <w:sz w:val="17"/>
              </w:rPr>
              <w:t xml:space="preserve">service managé</w:t>
            </w:r>
          </w:p>
        </w:tc>
        <w:tc>
          <w:tcPr>
            <w:shd w:val="clear" w:color="auto" w:fill="F2F9F8"/>
          </w:tcPr>
          <w:p>
            <w:pPr>
              <w:pStyle w:val="Compact"/>
              <w:spacing w:after="20" w:before="20" w:line="240" w:lineRule="auto"/>
              <w:jc w:val="left"/>
            </w:pPr>
            <w:r>
              <w:rPr>
                <w:sz w:val="17"/>
              </w:rPr>
              <w:t xml:space="preserve">Redevance annuelle,</w:t>
            </w:r>
            <w:r>
              <w:rPr>
                <w:sz w:val="17"/>
              </w:rPr>
              <w:t xml:space="preserve"> </w:t>
            </w:r>
            <w:r>
              <w:rPr>
                <w:sz w:val="17"/>
              </w:rPr>
              <w:t xml:space="preserve">exploitation confiée</w:t>
            </w:r>
          </w:p>
        </w:tc>
        <w:tc>
          <w:tcPr>
            <w:shd w:val="clear" w:color="auto" w:fill="F2F9F8"/>
          </w:tcPr>
          <w:p>
            <w:pPr>
              <w:pStyle w:val="Compact"/>
              <w:spacing w:after="20" w:before="20" w:line="240" w:lineRule="auto"/>
              <w:jc w:val="left"/>
            </w:pPr>
            <w:r>
              <w:rPr>
                <w:sz w:val="17"/>
              </w:rPr>
              <w:t xml:space="preserve">Dépendance et coûts</w:t>
            </w:r>
            <w:r>
              <w:rPr>
                <w:sz w:val="17"/>
              </w:rPr>
              <w:t xml:space="preserve"> </w:t>
            </w:r>
            <w:r>
              <w:rPr>
                <w:sz w:val="17"/>
              </w:rPr>
              <w:t xml:space="preserve">récurrents</w:t>
            </w:r>
          </w:p>
        </w:tc>
        <w:tc>
          <w:tcPr>
            <w:shd w:val="clear" w:color="auto" w:fill="F2F9F8"/>
          </w:tcPr>
          <w:p>
            <w:pPr>
              <w:pStyle w:val="Compact"/>
              <w:spacing w:after="20" w:before="20" w:line="240" w:lineRule="auto"/>
              <w:jc w:val="left"/>
            </w:pPr>
            <w:r>
              <w:rPr>
                <w:sz w:val="17"/>
              </w:rPr>
              <w:t xml:space="preserve">Acceptable avec</w:t>
            </w:r>
            <w:r>
              <w:rPr>
                <w:sz w:val="17"/>
              </w:rPr>
              <w:t xml:space="preserve"> </w:t>
            </w:r>
            <w:r>
              <w:rPr>
                <w:sz w:val="17"/>
              </w:rPr>
              <w:t xml:space="preserve">séquestre du code</w:t>
            </w:r>
          </w:p>
        </w:tc>
      </w:tr>
      <w:tr>
        <w:tc>
          <w:tcPr/>
          <w:p>
            <w:pPr>
              <w:pStyle w:val="Compact"/>
              <w:spacing w:after="20" w:before="20" w:line="240" w:lineRule="auto"/>
              <w:jc w:val="left"/>
            </w:pPr>
            <w:r>
              <w:rPr>
                <w:sz w:val="17"/>
              </w:rPr>
              <w:t xml:space="preserve">Partenariat</w:t>
            </w:r>
            <w:r>
              <w:rPr>
                <w:sz w:val="17"/>
              </w:rPr>
              <w:t xml:space="preserve"> </w:t>
            </w:r>
            <w:r>
              <w:rPr>
                <w:sz w:val="17"/>
              </w:rPr>
              <w:t xml:space="preserve">public-privé</w:t>
            </w:r>
          </w:p>
        </w:tc>
        <w:tc>
          <w:tcPr/>
          <w:p>
            <w:pPr>
              <w:pStyle w:val="Compact"/>
              <w:spacing w:after="20" w:before="20" w:line="240" w:lineRule="auto"/>
              <w:jc w:val="left"/>
            </w:pPr>
            <w:r>
              <w:rPr>
                <w:sz w:val="17"/>
              </w:rPr>
              <w:t xml:space="preserve">Investissement privé,</w:t>
            </w:r>
            <w:r>
              <w:rPr>
                <w:sz w:val="17"/>
              </w:rPr>
              <w:t xml:space="preserve"> </w:t>
            </w:r>
            <w:r>
              <w:rPr>
                <w:sz w:val="17"/>
              </w:rPr>
              <w:t xml:space="preserve">exploitation partagée</w:t>
            </w:r>
          </w:p>
        </w:tc>
        <w:tc>
          <w:tcPr/>
          <w:p>
            <w:pPr>
              <w:pStyle w:val="Compact"/>
              <w:spacing w:after="20" w:before="20" w:line="240" w:lineRule="auto"/>
              <w:jc w:val="left"/>
            </w:pPr>
            <w:r>
              <w:rPr>
                <w:sz w:val="17"/>
              </w:rPr>
              <w:t xml:space="preserve">Partage de recettes,</w:t>
            </w:r>
            <w:r>
              <w:rPr>
                <w:sz w:val="17"/>
              </w:rPr>
              <w:t xml:space="preserve"> </w:t>
            </w:r>
            <w:r>
              <w:rPr>
                <w:sz w:val="17"/>
              </w:rPr>
              <w:t xml:space="preserve">opacité possible</w:t>
            </w:r>
          </w:p>
        </w:tc>
        <w:tc>
          <w:tcPr/>
          <w:p>
            <w:pPr>
              <w:pStyle w:val="Compact"/>
              <w:spacing w:after="20" w:before="20" w:line="240" w:lineRule="auto"/>
              <w:jc w:val="left"/>
            </w:pPr>
            <w:r>
              <w:rPr>
                <w:sz w:val="17"/>
              </w:rPr>
              <w:t xml:space="preserve">À encadrer très</w:t>
            </w:r>
            <w:r>
              <w:rPr>
                <w:sz w:val="17"/>
              </w:rPr>
              <w:t xml:space="preserve"> </w:t>
            </w:r>
            <w:r>
              <w:rPr>
                <w:sz w:val="17"/>
              </w:rPr>
              <w:t xml:space="preserve">strictement</w:t>
            </w:r>
          </w:p>
        </w:tc>
      </w:tr>
      <w:tr>
        <w:tc>
          <w:tcPr>
            <w:shd w:val="clear" w:color="auto" w:fill="F2F9F8"/>
          </w:tcPr>
          <w:p>
            <w:pPr>
              <w:pStyle w:val="Compact"/>
              <w:spacing w:after="20" w:before="20" w:line="240" w:lineRule="auto"/>
              <w:jc w:val="left"/>
            </w:pPr>
            <w:r>
              <w:rPr>
                <w:sz w:val="17"/>
              </w:rPr>
              <w:t xml:space="preserve">Construction,</w:t>
            </w:r>
            <w:r>
              <w:rPr>
                <w:sz w:val="17"/>
              </w:rPr>
              <w:t xml:space="preserve"> </w:t>
            </w:r>
            <w:r>
              <w:rPr>
                <w:sz w:val="17"/>
              </w:rPr>
              <w:t xml:space="preserve">exploitation,</w:t>
            </w:r>
            <w:r>
              <w:rPr>
                <w:sz w:val="17"/>
              </w:rPr>
              <w:t xml:space="preserve"> </w:t>
            </w:r>
            <w:r>
              <w:rPr>
                <w:sz w:val="17"/>
              </w:rPr>
              <w:t xml:space="preserve">transfert</w:t>
            </w:r>
          </w:p>
        </w:tc>
        <w:tc>
          <w:tcPr>
            <w:shd w:val="clear" w:color="auto" w:fill="F2F9F8"/>
          </w:tcPr>
          <w:p>
            <w:pPr>
              <w:pStyle w:val="Compact"/>
              <w:spacing w:after="20" w:before="20" w:line="240" w:lineRule="auto"/>
              <w:jc w:val="left"/>
            </w:pPr>
            <w:r>
              <w:rPr>
                <w:sz w:val="17"/>
              </w:rPr>
              <w:t xml:space="preserve">Le partenaire</w:t>
            </w:r>
            <w:r>
              <w:rPr>
                <w:sz w:val="17"/>
              </w:rPr>
              <w:t xml:space="preserve"> </w:t>
            </w:r>
            <w:r>
              <w:rPr>
                <w:sz w:val="17"/>
              </w:rPr>
              <w:t xml:space="preserve">construit, exploite,</w:t>
            </w:r>
            <w:r>
              <w:rPr>
                <w:sz w:val="17"/>
              </w:rPr>
              <w:t xml:space="preserve"> </w:t>
            </w:r>
            <w:r>
              <w:rPr>
                <w:sz w:val="17"/>
              </w:rPr>
              <w:t xml:space="preserve">puis transfère</w:t>
            </w:r>
          </w:p>
        </w:tc>
        <w:tc>
          <w:tcPr>
            <w:shd w:val="clear" w:color="auto" w:fill="F2F9F8"/>
          </w:tcPr>
          <w:p>
            <w:pPr>
              <w:pStyle w:val="Compact"/>
              <w:spacing w:after="20" w:before="20" w:line="240" w:lineRule="auto"/>
              <w:jc w:val="left"/>
            </w:pPr>
            <w:r>
              <w:rPr>
                <w:sz w:val="17"/>
              </w:rPr>
              <w:t xml:space="preserve">Transfert mal préparé</w:t>
            </w:r>
          </w:p>
        </w:tc>
        <w:tc>
          <w:tcPr>
            <w:shd w:val="clear" w:color="auto" w:fill="F2F9F8"/>
          </w:tcPr>
          <w:p>
            <w:pPr>
              <w:pStyle w:val="Compact"/>
              <w:spacing w:after="20" w:before="20" w:line="240" w:lineRule="auto"/>
              <w:jc w:val="left"/>
            </w:pPr>
            <w:r>
              <w:rPr>
                <w:sz w:val="17"/>
              </w:rPr>
              <w:t xml:space="preserve">Acceptable avec</w:t>
            </w:r>
            <w:r>
              <w:rPr>
                <w:sz w:val="17"/>
              </w:rPr>
              <w:t xml:space="preserve"> </w:t>
            </w:r>
            <w:r>
              <w:rPr>
                <w:sz w:val="17"/>
              </w:rPr>
              <w:t xml:space="preserve">calendrier de</w:t>
            </w:r>
            <w:r>
              <w:rPr>
                <w:sz w:val="17"/>
              </w:rPr>
              <w:t xml:space="preserve"> </w:t>
            </w:r>
            <w:r>
              <w:rPr>
                <w:sz w:val="17"/>
              </w:rPr>
              <w:t xml:space="preserve">transfert vérifié</w:t>
            </w:r>
          </w:p>
        </w:tc>
      </w:tr>
      <w:tr>
        <w:tc>
          <w:tcPr/>
          <w:p>
            <w:pPr>
              <w:pStyle w:val="Compact"/>
              <w:spacing w:after="20" w:before="20" w:line="240" w:lineRule="auto"/>
              <w:jc w:val="left"/>
            </w:pPr>
            <w:r>
              <w:rPr>
                <w:sz w:val="17"/>
              </w:rPr>
              <w:t xml:space="preserve">Contrat à la</w:t>
            </w:r>
            <w:r>
              <w:rPr>
                <w:sz w:val="17"/>
              </w:rPr>
              <w:t xml:space="preserve"> </w:t>
            </w:r>
            <w:r>
              <w:rPr>
                <w:sz w:val="17"/>
              </w:rPr>
              <w:t xml:space="preserve">performance sur</w:t>
            </w:r>
            <w:r>
              <w:rPr>
                <w:sz w:val="17"/>
              </w:rPr>
              <w:t xml:space="preserve"> </w:t>
            </w:r>
            <w:r>
              <w:rPr>
                <w:sz w:val="17"/>
              </w:rPr>
              <w:t xml:space="preserve">recettes</w:t>
            </w:r>
          </w:p>
        </w:tc>
        <w:tc>
          <w:tcPr/>
          <w:p>
            <w:pPr>
              <w:pStyle w:val="Compact"/>
              <w:spacing w:after="20" w:before="20" w:line="240" w:lineRule="auto"/>
              <w:jc w:val="left"/>
            </w:pPr>
            <w:r>
              <w:rPr>
                <w:sz w:val="17"/>
              </w:rPr>
              <w:t xml:space="preserve">Rémunération indexée</w:t>
            </w:r>
            <w:r>
              <w:rPr>
                <w:sz w:val="17"/>
              </w:rPr>
              <w:t xml:space="preserve"> </w:t>
            </w:r>
            <w:r>
              <w:rPr>
                <w:sz w:val="17"/>
              </w:rPr>
              <w:t xml:space="preserve">sur les recettes</w:t>
            </w:r>
          </w:p>
        </w:tc>
        <w:tc>
          <w:tcPr/>
          <w:p>
            <w:pPr>
              <w:pStyle w:val="Compact"/>
              <w:spacing w:after="20" w:before="20" w:line="240" w:lineRule="auto"/>
              <w:jc w:val="left"/>
            </w:pPr>
            <w:r>
              <w:rPr>
                <w:sz w:val="17"/>
              </w:rPr>
              <w:t xml:space="preserve">Perception de fermage</w:t>
            </w:r>
            <w:r>
              <w:rPr>
                <w:sz w:val="17"/>
              </w:rPr>
              <w:t xml:space="preserve"> </w:t>
            </w:r>
            <w:r>
              <w:rPr>
                <w:sz w:val="17"/>
              </w:rPr>
              <w:t xml:space="preserve">fiscal, conflit</w:t>
            </w:r>
            <w:r>
              <w:rPr>
                <w:sz w:val="17"/>
              </w:rPr>
              <w:t xml:space="preserve"> </w:t>
            </w:r>
            <w:r>
              <w:rPr>
                <w:sz w:val="17"/>
              </w:rPr>
              <w:t xml:space="preserve">d'intérêts,</w:t>
            </w:r>
            <w:r>
              <w:rPr>
                <w:sz w:val="17"/>
              </w:rPr>
              <w:t xml:space="preserve"> </w:t>
            </w:r>
            <w:r>
              <w:rPr>
                <w:sz w:val="17"/>
              </w:rPr>
              <w:t xml:space="preserve">opposition des</w:t>
            </w:r>
            <w:r>
              <w:rPr>
                <w:sz w:val="17"/>
              </w:rPr>
              <w:t xml:space="preserve"> </w:t>
            </w:r>
            <w:r>
              <w:rPr>
                <w:sz w:val="17"/>
              </w:rPr>
              <w:t xml:space="preserve">partenaires</w:t>
            </w:r>
            <w:r>
              <w:rPr>
                <w:sz w:val="17"/>
              </w:rPr>
              <w:t xml:space="preserve"> </w:t>
            </w:r>
            <w:r>
              <w:rPr>
                <w:sz w:val="17"/>
              </w:rPr>
              <w:t xml:space="preserve">techniques</w:t>
            </w:r>
          </w:p>
        </w:tc>
        <w:tc>
          <w:tcPr/>
          <w:p>
            <w:pPr>
              <w:pStyle w:val="Compact"/>
              <w:spacing w:after="20" w:before="20" w:line="240" w:lineRule="auto"/>
              <w:jc w:val="left"/>
            </w:pPr>
            <w:r>
              <w:rPr>
                <w:sz w:val="17"/>
              </w:rPr>
              <w:t xml:space="preserve">Déconseillé comme</w:t>
            </w:r>
            <w:r>
              <w:rPr>
                <w:sz w:val="17"/>
              </w:rPr>
              <w:t xml:space="preserve"> </w:t>
            </w:r>
            <w:r>
              <w:rPr>
                <w:sz w:val="17"/>
              </w:rPr>
              <w:t xml:space="preserve">modèle principal</w:t>
            </w:r>
          </w:p>
        </w:tc>
      </w:tr>
      <w:tr>
        <w:tc>
          <w:tcPr>
            <w:shd w:val="clear" w:color="auto" w:fill="F2F9F8"/>
          </w:tcPr>
          <w:p>
            <w:pPr>
              <w:pStyle w:val="Compact"/>
              <w:spacing w:after="20" w:before="20" w:line="240" w:lineRule="auto"/>
              <w:jc w:val="left"/>
            </w:pPr>
            <w:r>
              <w:rPr>
                <w:sz w:val="17"/>
              </w:rPr>
              <w:t xml:space="preserve">Hybride</w:t>
            </w:r>
            <w:r>
              <w:rPr>
                <w:sz w:val="17"/>
              </w:rPr>
              <w:t xml:space="preserve"> </w:t>
            </w:r>
            <w:r>
              <w:rPr>
                <w:sz w:val="17"/>
              </w:rPr>
              <w:t xml:space="preserve">recommandé</w:t>
            </w:r>
          </w:p>
        </w:tc>
        <w:tc>
          <w:tcPr>
            <w:shd w:val="clear" w:color="auto" w:fill="F2F9F8"/>
          </w:tcPr>
          <w:p>
            <w:pPr>
              <w:pStyle w:val="Compact"/>
              <w:spacing w:after="20" w:before="20" w:line="240" w:lineRule="auto"/>
              <w:jc w:val="left"/>
            </w:pPr>
            <w:r>
              <w:rPr>
                <w:sz w:val="17"/>
              </w:rPr>
              <w:t xml:space="preserve">Forfait de</w:t>
            </w:r>
            <w:r>
              <w:rPr>
                <w:sz w:val="17"/>
              </w:rPr>
              <w:t xml:space="preserve"> </w:t>
            </w:r>
            <w:r>
              <w:rPr>
                <w:sz w:val="17"/>
              </w:rPr>
              <w:t xml:space="preserve">construction, forfait</w:t>
            </w:r>
            <w:r>
              <w:rPr>
                <w:sz w:val="17"/>
              </w:rPr>
              <w:t xml:space="preserve"> </w:t>
            </w:r>
            <w:r>
              <w:rPr>
                <w:sz w:val="17"/>
              </w:rPr>
              <w:t xml:space="preserve">d'exploitation,</w:t>
            </w:r>
            <w:r>
              <w:rPr>
                <w:sz w:val="17"/>
              </w:rPr>
              <w:t xml:space="preserve"> </w:t>
            </w:r>
            <w:r>
              <w:rPr>
                <w:sz w:val="17"/>
              </w:rPr>
              <w:t xml:space="preserve">prime sur indicateurs</w:t>
            </w:r>
            <w:r>
              <w:rPr>
                <w:sz w:val="17"/>
              </w:rPr>
              <w:t xml:space="preserve"> </w:t>
            </w:r>
            <w:r>
              <w:rPr>
                <w:sz w:val="17"/>
              </w:rPr>
              <w:t xml:space="preserve">publiés et audités</w:t>
            </w:r>
          </w:p>
        </w:tc>
        <w:tc>
          <w:tcPr>
            <w:shd w:val="clear" w:color="auto" w:fill="F2F9F8"/>
          </w:tcPr>
          <w:p>
            <w:pPr>
              <w:pStyle w:val="Compact"/>
              <w:spacing w:after="20" w:before="20" w:line="240" w:lineRule="auto"/>
              <w:jc w:val="left"/>
            </w:pPr>
            <w:r>
              <w:rPr>
                <w:sz w:val="17"/>
              </w:rPr>
              <w:t xml:space="preserve">Maîtrisé</w:t>
            </w:r>
          </w:p>
        </w:tc>
        <w:tc>
          <w:tcPr>
            <w:shd w:val="clear" w:color="auto" w:fill="F2F9F8"/>
          </w:tcPr>
          <w:p>
            <w:pPr>
              <w:pStyle w:val="Compact"/>
              <w:spacing w:after="20" w:before="20" w:line="240" w:lineRule="auto"/>
              <w:jc w:val="left"/>
            </w:pPr>
            <w:r>
              <w:rPr>
                <w:sz w:val="17"/>
              </w:rPr>
              <w:t xml:space="preserve">Recommandé</w:t>
            </w:r>
          </w:p>
        </w:tc>
      </w:tr>
    </w:tbl>
    <w:p>
      <w:pPr>
        <w:pStyle w:val="BodyText"/>
      </w:pPr>
      <w:r>
        <w:t xml:space="preserve">Le contrat doit chiffrer séparément : construction ; licences ;</w:t>
      </w:r>
      <w:r>
        <w:t xml:space="preserve"> </w:t>
      </w:r>
      <w:r>
        <w:t xml:space="preserve">hébergement ; maintenance ; support ; intégrations ; coûts des canaux de</w:t>
      </w:r>
      <w:r>
        <w:t xml:space="preserve"> </w:t>
      </w:r>
      <w:r>
        <w:t xml:space="preserve">paiement ; équipements de terrain ; messagerie et communication ;</w:t>
      </w:r>
      <w:r>
        <w:t xml:space="preserve"> </w:t>
      </w:r>
      <w:r>
        <w:t xml:space="preserve">formation ; cybersécurité ; demandes d'évolution ; migration des</w:t>
      </w:r>
      <w:r>
        <w:t xml:space="preserve"> </w:t>
      </w:r>
      <w:r>
        <w:t xml:space="preserve">données ; audit ; coûts de sortie. Toute prime de performance exige une</w:t>
      </w:r>
      <w:r>
        <w:t xml:space="preserve"> </w:t>
      </w:r>
      <w:r>
        <w:t xml:space="preserve">base de référence définie, une formule claire, des exclusions, un</w:t>
      </w:r>
      <w:r>
        <w:t xml:space="preserve"> </w:t>
      </w:r>
      <w:r>
        <w:t xml:space="preserve">plafond, un mécanisme d'audit indépendant et une durée limitée.</w:t>
      </w:r>
    </w:p>
    <w:p>
      <w:pPr>
        <w:pStyle w:val="BlockText"/>
      </w:pPr>
      <w:r>
        <w:rPr>
          <w:b/>
          <w:bCs/>
        </w:rPr>
        <w:t xml:space="preserve">Modèle retenu.</w:t>
      </w:r>
      <w:r>
        <w:t xml:space="preserve"> </w:t>
      </w:r>
      <w:r>
        <w:t xml:space="preserve">Le tableau ci-dessus présente l’analyse comparative initiale des modèles. Le promoteur a retenu un modèle de financement intégral du système d’exploitation numérique par Groupe Nseya, hors moyens physiques, avec partage des recettes sur 30 ans, décrit au § 37A. Sa mise en œuvre exige un acte juridique préalable et le respect des garanties de ce chapitre ; toute rémunération reste calculée sur des recettes rapprochées et vérifiables par un tiers.</w:t>
      </w:r>
    </w:p>
    <w:bookmarkStart w:id="270" w:name="clauses-de-protection-obligatoires"/>
    <w:p>
      <w:pPr>
        <w:pStyle w:val="Heading3"/>
      </w:pPr>
      <w:r>
        <w:t xml:space="preserve">Clauses de protection obligatoires</w:t>
      </w:r>
    </w:p>
    <w:p>
      <w:pPr>
        <w:pStyle w:val="Compact"/>
        <w:numPr>
          <w:ilvl w:val="0"/>
          <w:numId w:val="1070"/>
        </w:numPr>
      </w:pPr>
      <w:r>
        <w:t xml:space="preserve">Comparer explicitement les modèles : financement public, licence ou service managé, PPP ou BOT, performance et hybride.</w:t>
      </w:r>
    </w:p>
    <w:p>
      <w:pPr>
        <w:pStyle w:val="Compact"/>
        <w:numPr>
          <w:ilvl w:val="0"/>
          <w:numId w:val="1070"/>
        </w:numPr>
      </w:pPr>
      <w:r>
        <w:t xml:space="preserve">Protéger les données, le code, les interfaces, les prix, la gestion des changements, la réversibilité et la continuité de service.</w:t>
      </w:r>
    </w:p>
    <w:p>
      <w:pPr>
        <w:pStyle w:val="Compact"/>
        <w:numPr>
          <w:ilvl w:val="0"/>
          <w:numId w:val="1070"/>
        </w:numPr>
      </w:pPr>
      <w:r>
        <w:t xml:space="preserve">La part de Groupe Nseya et les rétrocessions sont calculées selon la clé du § 37A sur des recettes rapprochées, avec formule versionnée, exclusions définies, durée de 30 ans et droit d’audit indépendant.</w:t>
      </w:r>
    </w:p>
    <w:p>
      <w:pPr>
        <w:pStyle w:val="Compact"/>
        <w:numPr>
          <w:ilvl w:val="0"/>
          <w:numId w:val="1070"/>
        </w:numPr>
      </w:pPr>
      <w:r>
        <w:t xml:space="preserve">Interdire le verrouillage opaque, toute dépendance propriétaire non réversible et tout contrôle privé des comptes publics.</w:t>
      </w:r>
    </w:p>
    <w:bookmarkEnd w:id="270"/>
    <w:bookmarkStart w:id="271" w:name="X26bc021f5f59f23fe789b6002fa4c8622a6972a"/>
    <w:p>
      <w:pPr>
        <w:pStyle w:val="Heading3"/>
      </w:pPr>
      <w:r>
        <w:t xml:space="preserve">Clauses propres aux sous-traitants terrain et aux points de paiement</w:t>
      </w:r>
    </w:p>
    <w:p>
      <w:pPr>
        <w:pStyle w:val="Compact"/>
        <w:numPr>
          <w:ilvl w:val="0"/>
          <w:numId w:val="1071"/>
        </w:numPr>
      </w:pPr>
      <w:r>
        <w:t xml:space="preserve">Sous-traitants : accréditation par module et durée limitée ; rémunération sur livrables vérifiés ; interdiction absolue d’encaisser ; statut de sous-traitant de données ; clause de récupération des sommes ; audit sur place ; résiliation immédiate en cas de fraude.</w:t>
      </w:r>
    </w:p>
    <w:p>
      <w:pPr>
        <w:pStyle w:val="Compact"/>
        <w:numPr>
          <w:ilvl w:val="0"/>
          <w:numId w:val="1071"/>
        </w:numPr>
      </w:pPr>
      <w:r>
        <w:t xml:space="preserve">Points de paiement : agrément par l’opérateur ou la banque et référencement dans MOSOLO ; commission contractuelle distincte des recettes publiques, jamais prélevée sur le montant dû sans base légale ; délai maximal de règlement vers le compte public ; pénalités de retard ; suspension automatique en cas d’écart non justifié.</w:t>
      </w:r>
    </w:p>
    <w:bookmarkEnd w:id="271"/>
    <w:bookmarkStart w:id="272" w:name="X28dbd4d53e0a875a8592723645299fb55975ab5"/>
    <w:p>
      <w:pPr>
        <w:pStyle w:val="Heading3"/>
      </w:pPr>
      <w:r>
        <w:t xml:space="preserve">Recommandations commerciales des documents sources</w:t>
      </w:r>
    </w:p>
    <w:p>
      <w:pPr>
        <w:pStyle w:val="FirstParagraph"/>
      </w:pPr>
      <w:r>
        <w:t xml:space="preserve">Les documents sources formulaient les recommandations suivantes, dont le promoteur a tenu compte dans le modèle retenu au § 37A : aucune commission non plafonnée sur les recettes publiques ; aucun droit du fournisseur sur les comptes publics ni sur les fonds en transit ; prix séparés pour la construction, les licences, l’hébergement, le support, les appareils, les SMS, les paiements et les changements ; gains de performance calculés sur une base de référence indépendante ; transfert de compétences, documentation et code ou configuration à chaque version ; tests d’acceptation, pénalités de service, audit de sécurité et réversibilité. Le plan directeur KIN-RECETTES recommandait un forfait de construction et d’exploitation avec primes sur indicateurs publiés. Les dossiers KIN-AVIA FISCUS (65 % Ville / 35 % Groupe Nseya), ParkSmart et KIN PUB CONTROL proposaient chacun leur propre modèle ; ils sont désormais couverts par la clé unique du § 37A. L’écart entre ces recommandations et le modèle retenu est signalé au registre des risques (§ 40).</w:t>
      </w:r>
    </w:p>
    <w:bookmarkEnd w:id="272"/>
    <w:bookmarkEnd w:id="273"/>
    <w:bookmarkStart w:id="282" w:name="Xe61dfc94e221922bd03af8e294697a5bf6cd264"/>
    <w:p>
      <w:pPr>
        <w:pStyle w:val="Heading1"/>
        <w:pageBreakBefore/>
      </w:pPr>
      <w:r>
        <w:t xml:space="preserve">37A. Modèle de financement et de partage des recettes retenu</w:t>
      </w:r>
    </w:p>
    <w:p>
      <w:pPr>
        <w:pStyle w:val="FirstParagraph"/>
      </w:pPr>
      <w:r>
        <w:t xml:space="preserve">Le promoteur propose le modèle suivant :</w:t>
      </w:r>
      <w:r>
        <w:t xml:space="preserve"> </w:t>
      </w:r>
      <w:r>
        <w:rPr>
          <w:b/>
          <w:bCs/>
        </w:rPr>
        <w:t xml:space="preserve">Groupe Nseya finance intégralement le système d’exploitation numérique KINSHASA MOSOLO — le logiciel, sa plateforme et son exploitation — et reçoit, en contrepartie, 10 % des recettes générées par le système pendant 30 ans.</w:t>
      </w:r>
      <w:r>
        <w:t xml:space="preserve"> </w:t>
      </w:r>
      <w:r>
        <w:t xml:space="preserve">Les moyens physiques du déploiement ne sont pas compris dans cet investissement. Le reste des recettes est réparti entre les ministères de tutelle des modules, les agents de terrain et leurs sous-traitants, et le Gouvernement provincial. Ce chapitre décrit le modèle, son exécution technique et les conditions de sa validité.</w:t>
      </w:r>
    </w:p>
    <w:bookmarkStart w:id="274" w:name="X194cb66224e7478546868b9fb96c5c51cf323f6"/>
    <w:p>
      <w:pPr>
        <w:pStyle w:val="Heading2"/>
      </w:pPr>
      <w:r>
        <w:t xml:space="preserve">37A.1 Périmètre de l’investissement : le numérique, pas le physique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Financé par Groupe Nseya (système d’exploitation numérique)</w:t>
            </w:r>
          </w:p>
        </w:tc>
        <w:tc>
          <w:tcPr>
            <w:shd w:val="clear" w:color="auto" w:fill="1BA996"/>
          </w:tcPr>
          <w:p>
            <w:pPr>
              <w:pStyle w:val="Compact"/>
              <w:spacing w:after="20" w:before="20" w:line="240" w:lineRule="auto"/>
              <w:jc w:val="left"/>
            </w:pPr>
            <w:r>
              <w:rPr>
                <w:b/>
                <w:color w:val="FFFFFF"/>
                <w:sz w:val="17"/>
              </w:rPr>
              <w:t xml:space="preserve">Non compris : moyens physiques du déploiement</w:t>
            </w:r>
          </w:p>
        </w:tc>
      </w:tr>
      <w:tr>
        <w:tc>
          <w:tcPr/>
          <w:p>
            <w:pPr>
              <w:pStyle w:val="Compact"/>
              <w:spacing w:after="20" w:before="20" w:line="240" w:lineRule="auto"/>
              <w:jc w:val="left"/>
            </w:pPr>
            <w:r>
              <w:rPr>
                <w:sz w:val="17"/>
              </w:rPr>
              <w:t xml:space="preserve">Conception, architecture, développement et évolutions de tous les modules</w:t>
            </w:r>
          </w:p>
        </w:tc>
        <w:tc>
          <w:tcPr/>
          <w:p>
            <w:pPr>
              <w:pStyle w:val="Compact"/>
              <w:spacing w:after="20" w:before="20" w:line="240" w:lineRule="auto"/>
              <w:jc w:val="left"/>
            </w:pPr>
            <w:r>
              <w:rPr>
                <w:sz w:val="17"/>
              </w:rPr>
              <w:t xml:space="preserve">Terminaux Android des agents, imprimantes portables, terminaux de paiement</w:t>
            </w:r>
          </w:p>
        </w:tc>
      </w:tr>
      <w:tr>
        <w:tc>
          <w:tcPr>
            <w:shd w:val="clear" w:color="auto" w:fill="F2F9F8"/>
          </w:tcPr>
          <w:p>
            <w:pPr>
              <w:pStyle w:val="Compact"/>
              <w:spacing w:after="20" w:before="20" w:line="240" w:lineRule="auto"/>
              <w:jc w:val="left"/>
            </w:pPr>
            <w:r>
              <w:rPr>
                <w:sz w:val="17"/>
              </w:rPr>
              <w:t xml:space="preserve">Applications citoyenne et terrain (logiciel), portail web, tableaux de bord</w:t>
            </w:r>
          </w:p>
        </w:tc>
        <w:tc>
          <w:tcPr>
            <w:shd w:val="clear" w:color="auto" w:fill="F2F9F8"/>
          </w:tcPr>
          <w:p>
            <w:pPr>
              <w:pStyle w:val="Compact"/>
              <w:spacing w:after="20" w:before="20" w:line="240" w:lineRule="auto"/>
              <w:jc w:val="left"/>
            </w:pPr>
            <w:r>
              <w:rPr>
                <w:sz w:val="17"/>
              </w:rPr>
              <w:t xml:space="preserve">Guichets MOSOLO : locaux, mobilier, électricité, connexion</w:t>
            </w:r>
          </w:p>
        </w:tc>
      </w:tr>
      <w:tr>
        <w:tc>
          <w:tcPr/>
          <w:p>
            <w:pPr>
              <w:pStyle w:val="Compact"/>
              <w:spacing w:after="20" w:before="20" w:line="240" w:lineRule="auto"/>
              <w:jc w:val="left"/>
            </w:pPr>
            <w:r>
              <w:rPr>
                <w:sz w:val="17"/>
              </w:rPr>
              <w:t xml:space="preserve">Logiciels des canaux USSD, SVI et SMS, et leur intégration aux opérateurs</w:t>
            </w:r>
          </w:p>
        </w:tc>
        <w:tc>
          <w:tcPr/>
          <w:p>
            <w:pPr>
              <w:pStyle w:val="Compact"/>
              <w:spacing w:after="20" w:before="20" w:line="240" w:lineRule="auto"/>
              <w:jc w:val="left"/>
            </w:pPr>
            <w:r>
              <w:rPr>
                <w:sz w:val="17"/>
              </w:rPr>
              <w:t xml:space="preserve">Plaques et autocollants QR, badges d’agents, cartes MOSOLO physiques, avis imprimés</w:t>
            </w:r>
          </w:p>
        </w:tc>
      </w:tr>
      <w:tr>
        <w:tc>
          <w:tcPr>
            <w:shd w:val="clear" w:color="auto" w:fill="F2F9F8"/>
          </w:tcPr>
          <w:p>
            <w:pPr>
              <w:pStyle w:val="Compact"/>
              <w:spacing w:after="20" w:before="20" w:line="240" w:lineRule="auto"/>
              <w:jc w:val="left"/>
            </w:pPr>
            <w:r>
              <w:rPr>
                <w:sz w:val="17"/>
              </w:rPr>
              <w:t xml:space="preserve">Hébergement, infrastructure informatique fournie comme service, sauvegardes, reprise après sinistre</w:t>
            </w:r>
          </w:p>
        </w:tc>
        <w:tc>
          <w:tcPr>
            <w:shd w:val="clear" w:color="auto" w:fill="F2F9F8"/>
          </w:tcPr>
          <w:p>
            <w:pPr>
              <w:pStyle w:val="Compact"/>
              <w:spacing w:after="20" w:before="20" w:line="240" w:lineRule="auto"/>
              <w:jc w:val="left"/>
            </w:pPr>
            <w:r>
              <w:rPr>
                <w:sz w:val="17"/>
              </w:rPr>
              <w:t xml:space="preserve">Rémunération et déplacement des agents de terrain, en dehors de la réserve de 10 % (§ 37A.5)</w:t>
            </w:r>
          </w:p>
        </w:tc>
      </w:tr>
      <w:tr>
        <w:tc>
          <w:tcPr/>
          <w:p>
            <w:pPr>
              <w:pStyle w:val="Compact"/>
              <w:spacing w:after="20" w:before="20" w:line="240" w:lineRule="auto"/>
              <w:jc w:val="left"/>
            </w:pPr>
            <w:r>
              <w:rPr>
                <w:sz w:val="17"/>
              </w:rPr>
              <w:t xml:space="preserve">Cybersécurité : logiciels, supervision, tests d’intrusion, audits techniques</w:t>
            </w:r>
          </w:p>
        </w:tc>
        <w:tc>
          <w:tcPr/>
          <w:p>
            <w:pPr>
              <w:pStyle w:val="Compact"/>
              <w:spacing w:after="20" w:before="20" w:line="240" w:lineRule="auto"/>
              <w:jc w:val="left"/>
            </w:pPr>
            <w:r>
              <w:rPr>
                <w:sz w:val="17"/>
              </w:rPr>
              <w:t xml:space="preserve">Véhicules, locaux administratifs, campagnes de communication physiques</w:t>
            </w:r>
          </w:p>
        </w:tc>
      </w:tr>
      <w:tr>
        <w:tc>
          <w:tcPr>
            <w:shd w:val="clear" w:color="auto" w:fill="F2F9F8"/>
          </w:tcPr>
          <w:p>
            <w:pPr>
              <w:pStyle w:val="Compact"/>
              <w:spacing w:after="20" w:before="20" w:line="240" w:lineRule="auto"/>
              <w:jc w:val="left"/>
            </w:pPr>
            <w:r>
              <w:rPr>
                <w:sz w:val="17"/>
              </w:rPr>
              <w:t xml:space="preserve">Moteur de règles, liquidation, paiements, rapprochement, grand livre, titres, IA</w:t>
            </w:r>
          </w:p>
        </w:tc>
        <w:tc>
          <w:tcPr>
            <w:shd w:val="clear" w:color="auto" w:fill="F2F9F8"/>
          </w:tcPr>
          <w:p>
            <w:pPr>
              <w:pStyle w:val="Compact"/>
              <w:spacing w:after="20" w:before="20" w:line="240" w:lineRule="auto"/>
              <w:jc w:val="left"/>
            </w:pPr>
            <w:r>
              <w:rPr>
                <w:sz w:val="17"/>
              </w:rPr>
              <w:t xml:space="preserve">Frais de communication facturés à l’usage par les opérateurs (SMS, appels du SVI, sessions USSD), sauf convention contraire</w:t>
            </w:r>
          </w:p>
        </w:tc>
      </w:tr>
      <w:tr>
        <w:tc>
          <w:tcPr/>
          <w:p>
            <w:pPr>
              <w:pStyle w:val="Compact"/>
              <w:spacing w:after="20" w:before="20" w:line="240" w:lineRule="auto"/>
              <w:jc w:val="left"/>
            </w:pPr>
            <w:r>
              <w:rPr>
                <w:sz w:val="17"/>
              </w:rPr>
              <w:t xml:space="preserve">Intégrations et API avec banques, opérateurs Mobile Money et partenaires de données</w:t>
            </w:r>
          </w:p>
        </w:tc>
        <w:tc>
          <w:tcPr/>
          <w:p>
            <w:pPr>
              <w:pStyle w:val="Compact"/>
              <w:spacing w:after="20" w:before="20" w:line="240" w:lineRule="auto"/>
            </w:pPr>
          </w:p>
        </w:tc>
      </w:tr>
      <w:tr>
        <w:tc>
          <w:tcPr>
            <w:shd w:val="clear" w:color="auto" w:fill="F2F9F8"/>
          </w:tcPr>
          <w:p>
            <w:pPr>
              <w:pStyle w:val="Compact"/>
              <w:spacing w:after="20" w:before="20" w:line="240" w:lineRule="auto"/>
              <w:jc w:val="left"/>
            </w:pPr>
            <w:r>
              <w:rPr>
                <w:sz w:val="17"/>
              </w:rPr>
              <w:t xml:space="preserve">Maintenance, mises à jour, support technique, documentation, contenus de formation numériques</w:t>
            </w:r>
          </w:p>
        </w:tc>
        <w:tc>
          <w:tcPr>
            <w:shd w:val="clear" w:color="auto" w:fill="F2F9F8"/>
          </w:tcPr>
          <w:p>
            <w:pPr>
              <w:pStyle w:val="Compact"/>
              <w:spacing w:after="20" w:before="20" w:line="240" w:lineRule="auto"/>
            </w:pPr>
          </w:p>
        </w:tc>
      </w:tr>
    </w:tbl>
    <w:p>
      <w:pPr>
        <w:pStyle w:val="BodyText"/>
      </w:pPr>
      <w:r>
        <w:rPr>
          <w:b/>
          <w:bCs/>
        </w:rPr>
        <w:t xml:space="preserve">Financement des moyens physiques.</w:t>
      </w:r>
      <w:r>
        <w:t xml:space="preserve"> </w:t>
      </w:r>
      <w:r>
        <w:t xml:space="preserve">Leur financement est à arrêter par le Gouvernement provincial avant le lancement du pilote. Plusieurs options sont possibles et peuvent se combiner : budget provincial ; partenaires techniques et financiers ; équipements apportés par les sous-traitants accrédités dans leurs offres, conformes aux spécifications de sécurité (§ 15.4) ; conventions avec les opérateurs de téléphonie et les banques pour les frais de communication et les guichets bancaires (Annexe B, point 22). Sans ce financement, les chapitres 13A, 15A et 18A ne peuvent pas être déployés, même si la plateforme numérique est prête.</w:t>
      </w:r>
    </w:p>
    <w:bookmarkEnd w:id="274"/>
    <w:bookmarkStart w:id="275" w:name="a.2-clé-de-répartition"/>
    <w:p>
      <w:pPr>
        <w:pStyle w:val="Heading2"/>
      </w:pPr>
      <w:r>
        <w:t xml:space="preserve">37A.2 Clé de répartition</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blHeader/>
        </w:trPr>
        <w:tc>
          <w:tcPr>
            <w:shd w:val="clear" w:color="auto" w:fill="1BA996"/>
          </w:tcPr>
          <w:p>
            <w:pPr>
              <w:pStyle w:val="Compact"/>
              <w:spacing w:after="20" w:before="20" w:line="240" w:lineRule="auto"/>
              <w:jc w:val="left"/>
            </w:pPr>
            <w:r>
              <w:rPr>
                <w:b/>
                <w:color w:val="FFFFFF"/>
                <w:sz w:val="17"/>
              </w:rPr>
              <w:t xml:space="preserve">Bénéficiaire</w:t>
            </w:r>
          </w:p>
        </w:tc>
        <w:tc>
          <w:tcPr>
            <w:shd w:val="clear" w:color="auto" w:fill="1BA996"/>
          </w:tcPr>
          <w:p>
            <w:pPr>
              <w:pStyle w:val="Compact"/>
              <w:spacing w:after="20" w:before="20" w:line="240" w:lineRule="auto"/>
              <w:jc w:val="left"/>
            </w:pPr>
            <w:r>
              <w:rPr>
                <w:b/>
                <w:color w:val="FFFFFF"/>
                <w:sz w:val="17"/>
              </w:rPr>
              <w:t xml:space="preserve">Part</w:t>
            </w:r>
          </w:p>
        </w:tc>
        <w:tc>
          <w:tcPr>
            <w:shd w:val="clear" w:color="auto" w:fill="1BA996"/>
          </w:tcPr>
          <w:p>
            <w:pPr>
              <w:pStyle w:val="Compact"/>
              <w:spacing w:after="20" w:before="20" w:line="240" w:lineRule="auto"/>
              <w:jc w:val="left"/>
            </w:pPr>
            <w:r>
              <w:rPr>
                <w:b/>
                <w:color w:val="FFFFFF"/>
                <w:sz w:val="17"/>
              </w:rPr>
              <w:t xml:space="preserve">Calcul</w:t>
            </w:r>
          </w:p>
        </w:tc>
        <w:tc>
          <w:tcPr>
            <w:shd w:val="clear" w:color="auto" w:fill="1BA996"/>
          </w:tcPr>
          <w:p>
            <w:pPr>
              <w:pStyle w:val="Compact"/>
              <w:spacing w:after="20" w:before="20" w:line="240" w:lineRule="auto"/>
              <w:jc w:val="left"/>
            </w:pPr>
            <w:r>
              <w:rPr>
                <w:b/>
                <w:color w:val="FFFFFF"/>
                <w:sz w:val="17"/>
              </w:rPr>
              <w:t xml:space="preserve">Flux de décaissement</w:t>
            </w:r>
          </w:p>
        </w:tc>
      </w:tr>
      <w:tr>
        <w:tc>
          <w:tcPr/>
          <w:p>
            <w:pPr>
              <w:pStyle w:val="Compact"/>
              <w:spacing w:after="20" w:before="20" w:line="240" w:lineRule="auto"/>
              <w:jc w:val="left"/>
            </w:pPr>
            <w:r>
              <w:rPr>
                <w:sz w:val="17"/>
              </w:rPr>
              <w:t xml:space="preserve">Groupe Nseya (investisseur et opérateur)</w:t>
            </w:r>
          </w:p>
        </w:tc>
        <w:tc>
          <w:tcPr/>
          <w:p>
            <w:pPr>
              <w:pStyle w:val="Compact"/>
              <w:spacing w:after="20" w:before="20" w:line="240" w:lineRule="auto"/>
              <w:jc w:val="left"/>
            </w:pPr>
            <w:r>
              <w:rPr>
                <w:sz w:val="17"/>
              </w:rPr>
              <w:t xml:space="preserve">10 %</w:t>
            </w:r>
          </w:p>
        </w:tc>
        <w:tc>
          <w:tcPr/>
          <w:p>
            <w:pPr>
              <w:pStyle w:val="Compact"/>
              <w:spacing w:after="20" w:before="20" w:line="240" w:lineRule="auto"/>
              <w:jc w:val="left"/>
            </w:pPr>
            <w:r>
              <w:rPr>
                <w:sz w:val="17"/>
              </w:rPr>
              <w:t xml:space="preserve">De toute recette générée par le système, pendant 30 ans</w:t>
            </w:r>
          </w:p>
        </w:tc>
        <w:tc>
          <w:tcPr/>
          <w:p>
            <w:pPr>
              <w:pStyle w:val="Compact"/>
              <w:spacing w:after="20" w:before="20" w:line="240" w:lineRule="auto"/>
              <w:jc w:val="left"/>
            </w:pPr>
            <w:r>
              <w:rPr>
                <w:sz w:val="17"/>
              </w:rPr>
              <w:t xml:space="preserve">Flux 1 — compte de Groupe Nseya</w:t>
            </w:r>
          </w:p>
        </w:tc>
      </w:tr>
      <w:tr>
        <w:tc>
          <w:tcPr>
            <w:shd w:val="clear" w:color="auto" w:fill="F2F9F8"/>
          </w:tcPr>
          <w:p>
            <w:pPr>
              <w:pStyle w:val="Compact"/>
              <w:spacing w:after="20" w:before="20" w:line="240" w:lineRule="auto"/>
              <w:jc w:val="left"/>
            </w:pPr>
            <w:r>
              <w:rPr>
                <w:sz w:val="17"/>
              </w:rPr>
              <w:t xml:space="preserve">Ministère de tutelle du module</w:t>
            </w:r>
          </w:p>
        </w:tc>
        <w:tc>
          <w:tcPr>
            <w:shd w:val="clear" w:color="auto" w:fill="F2F9F8"/>
          </w:tcPr>
          <w:p>
            <w:pPr>
              <w:pStyle w:val="Compact"/>
              <w:spacing w:after="20" w:before="20" w:line="240" w:lineRule="auto"/>
              <w:jc w:val="left"/>
            </w:pPr>
            <w:r>
              <w:rPr>
                <w:sz w:val="17"/>
              </w:rPr>
              <w:t xml:space="preserve">10 %</w:t>
            </w:r>
          </w:p>
        </w:tc>
        <w:tc>
          <w:tcPr>
            <w:shd w:val="clear" w:color="auto" w:fill="F2F9F8"/>
          </w:tcPr>
          <w:p>
            <w:pPr>
              <w:pStyle w:val="Compact"/>
              <w:spacing w:after="20" w:before="20" w:line="240" w:lineRule="auto"/>
              <w:jc w:val="left"/>
            </w:pPr>
            <w:r>
              <w:rPr>
                <w:sz w:val="17"/>
              </w:rPr>
              <w:t xml:space="preserve">Des recettes générées par le ou les modules placés sous son autorité</w:t>
            </w:r>
          </w:p>
        </w:tc>
        <w:tc>
          <w:tcPr>
            <w:shd w:val="clear" w:color="auto" w:fill="F2F9F8"/>
          </w:tcPr>
          <w:p>
            <w:pPr>
              <w:pStyle w:val="Compact"/>
              <w:spacing w:after="20" w:before="20" w:line="240" w:lineRule="auto"/>
              <w:jc w:val="left"/>
            </w:pPr>
            <w:r>
              <w:rPr>
                <w:sz w:val="17"/>
              </w:rPr>
              <w:t xml:space="preserve">Flux 2 — compte du Gouvernement provincial, puis Trésor</w:t>
            </w:r>
          </w:p>
        </w:tc>
      </w:tr>
      <w:tr>
        <w:tc>
          <w:tcPr/>
          <w:p>
            <w:pPr>
              <w:pStyle w:val="Compact"/>
              <w:spacing w:after="20" w:before="20" w:line="240" w:lineRule="auto"/>
              <w:jc w:val="left"/>
            </w:pPr>
            <w:r>
              <w:rPr>
                <w:sz w:val="17"/>
              </w:rPr>
              <w:t xml:space="preserve">Agents de terrain et sous-traitants</w:t>
            </w:r>
          </w:p>
        </w:tc>
        <w:tc>
          <w:tcPr/>
          <w:p>
            <w:pPr>
              <w:pStyle w:val="Compact"/>
              <w:spacing w:after="20" w:before="20" w:line="240" w:lineRule="auto"/>
              <w:jc w:val="left"/>
            </w:pPr>
            <w:r>
              <w:rPr>
                <w:sz w:val="17"/>
              </w:rPr>
              <w:t xml:space="preserve">10 %</w:t>
            </w:r>
          </w:p>
        </w:tc>
        <w:tc>
          <w:tcPr/>
          <w:p>
            <w:pPr>
              <w:pStyle w:val="Compact"/>
              <w:spacing w:after="20" w:before="20" w:line="240" w:lineRule="auto"/>
              <w:jc w:val="left"/>
            </w:pPr>
            <w:r>
              <w:rPr>
                <w:sz w:val="17"/>
              </w:rPr>
              <w:t xml:space="preserve">Des recettes générées, en réserve par module, répartie selon les résultats vérifiés (§ 37A.5)</w:t>
            </w:r>
          </w:p>
        </w:tc>
        <w:tc>
          <w:tcPr/>
          <w:p>
            <w:pPr>
              <w:pStyle w:val="Compact"/>
              <w:spacing w:after="20" w:before="20" w:line="240" w:lineRule="auto"/>
              <w:jc w:val="left"/>
            </w:pPr>
            <w:r>
              <w:rPr>
                <w:sz w:val="17"/>
              </w:rPr>
              <w:t xml:space="preserve">Flux 2 — compte du Gouvernement provincial, puis Trésor</w:t>
            </w:r>
          </w:p>
        </w:tc>
      </w:tr>
      <w:tr>
        <w:tc>
          <w:tcPr>
            <w:shd w:val="clear" w:color="auto" w:fill="F2F9F8"/>
          </w:tcPr>
          <w:p>
            <w:pPr>
              <w:pStyle w:val="Compact"/>
              <w:spacing w:after="20" w:before="20" w:line="240" w:lineRule="auto"/>
              <w:jc w:val="left"/>
            </w:pPr>
            <w:r>
              <w:rPr>
                <w:sz w:val="17"/>
              </w:rPr>
              <w:t xml:space="preserve">Gouvernement provincial</w:t>
            </w:r>
          </w:p>
        </w:tc>
        <w:tc>
          <w:tcPr>
            <w:shd w:val="clear" w:color="auto" w:fill="F2F9F8"/>
          </w:tcPr>
          <w:p>
            <w:pPr>
              <w:pStyle w:val="Compact"/>
              <w:spacing w:after="20" w:before="20" w:line="240" w:lineRule="auto"/>
              <w:jc w:val="left"/>
            </w:pPr>
            <w:r>
              <w:rPr>
                <w:sz w:val="17"/>
              </w:rPr>
              <w:t xml:space="preserve">70 %</w:t>
            </w:r>
          </w:p>
        </w:tc>
        <w:tc>
          <w:tcPr>
            <w:shd w:val="clear" w:color="auto" w:fill="F2F9F8"/>
          </w:tcPr>
          <w:p>
            <w:pPr>
              <w:pStyle w:val="Compact"/>
              <w:spacing w:after="20" w:before="20" w:line="240" w:lineRule="auto"/>
              <w:jc w:val="left"/>
            </w:pPr>
            <w:r>
              <w:rPr>
                <w:sz w:val="17"/>
              </w:rPr>
              <w:t xml:space="preserve">Solde</w:t>
            </w:r>
          </w:p>
        </w:tc>
        <w:tc>
          <w:tcPr>
            <w:shd w:val="clear" w:color="auto" w:fill="F2F9F8"/>
          </w:tcPr>
          <w:p>
            <w:pPr>
              <w:pStyle w:val="Compact"/>
              <w:spacing w:after="20" w:before="20" w:line="240" w:lineRule="auto"/>
              <w:jc w:val="left"/>
            </w:pPr>
            <w:r>
              <w:rPr>
                <w:sz w:val="17"/>
              </w:rPr>
              <w:t xml:space="preserve">Flux 2 — compte du Gouvernement provincial</w:t>
            </w:r>
          </w:p>
        </w:tc>
      </w:tr>
      <w:tr>
        <w:tc>
          <w:tcPr/>
          <w:p>
            <w:pPr>
              <w:pStyle w:val="Compact"/>
              <w:spacing w:after="20" w:before="20" w:line="240" w:lineRule="auto"/>
              <w:jc w:val="left"/>
            </w:pPr>
            <w:r>
              <w:rPr>
                <w:b/>
                <w:bCs/>
                <w:sz w:val="17"/>
              </w:rPr>
              <w:t xml:space="preserve">Total</w:t>
            </w:r>
          </w:p>
        </w:tc>
        <w:tc>
          <w:tcPr/>
          <w:p>
            <w:pPr>
              <w:pStyle w:val="Compact"/>
              <w:spacing w:after="20" w:before="20" w:line="240" w:lineRule="auto"/>
              <w:jc w:val="left"/>
            </w:pPr>
            <w:r>
              <w:rPr>
                <w:b/>
                <w:bCs/>
                <w:sz w:val="17"/>
              </w:rPr>
              <w:t xml:space="preserve">100 %</w:t>
            </w:r>
          </w:p>
        </w:tc>
        <w:tc>
          <w:tcPr/>
          <w:p>
            <w:pPr>
              <w:pStyle w:val="Compact"/>
              <w:spacing w:after="20" w:before="20" w:line="240" w:lineRule="auto"/>
            </w:pPr>
          </w:p>
        </w:tc>
        <w:tc>
          <w:tcPr/>
          <w:p>
            <w:pPr>
              <w:pStyle w:val="Compact"/>
              <w:spacing w:after="20" w:before="20" w:line="240" w:lineRule="auto"/>
              <w:jc w:val="left"/>
            </w:pPr>
            <w:r>
              <w:rPr>
                <w:b/>
                <w:bCs/>
                <w:sz w:val="17"/>
              </w:rPr>
              <w:t xml:space="preserve">Deux flux uniquement</w:t>
            </w:r>
          </w:p>
        </w:tc>
      </w:tr>
    </w:tbl>
    <w:p>
      <w:pPr>
        <w:pStyle w:val="BodyText"/>
      </w:pPr>
      <w:r>
        <w:t xml:space="preserve">Pour 100 $ de recettes rapprochées : 10 $ à Groupe Nseya ; 90 $ au Gouvernement provincial, dont 10 $ constatés au profit du ministère de tutelle, 10 $ au profit de la réserve des agents et sous-traitants, et 70 $ pour le budget provincial.</w:t>
      </w:r>
    </w:p>
    <w:bookmarkEnd w:id="275"/>
    <w:bookmarkStart w:id="276" w:name="a.3-assiette-de-calcul"/>
    <w:p>
      <w:pPr>
        <w:pStyle w:val="Heading2"/>
      </w:pPr>
      <w:r>
        <w:t xml:space="preserve">37A.3 Assiette de calcul</w:t>
      </w:r>
    </w:p>
    <w:p>
      <w:pPr>
        <w:pStyle w:val="Compact"/>
        <w:numPr>
          <w:ilvl w:val="0"/>
          <w:numId w:val="1072"/>
        </w:numPr>
      </w:pPr>
      <w:r>
        <w:rPr>
          <w:b/>
          <w:bCs/>
        </w:rPr>
        <w:t xml:space="preserve">Recette générée par le système</w:t>
      </w:r>
      <w:r>
        <w:t xml:space="preserve"> </w:t>
      </w:r>
      <w:r>
        <w:t xml:space="preserve">: tout montant payé au moyen d’une référence MOSOLO, réglé sur le compte public et rapproché (états 8 et 9 de l’échelle du § 26.1).</w:t>
      </w:r>
    </w:p>
    <w:p>
      <w:pPr>
        <w:pStyle w:val="Compact"/>
        <w:numPr>
          <w:ilvl w:val="0"/>
          <w:numId w:val="1072"/>
        </w:numPr>
      </w:pPr>
      <w:r>
        <w:t xml:space="preserve">La répartition s’applique aux recettes</w:t>
      </w:r>
      <w:r>
        <w:t xml:space="preserve"> </w:t>
      </w:r>
      <w:r>
        <w:rPr>
          <w:b/>
          <w:bCs/>
        </w:rPr>
        <w:t xml:space="preserve">rapprochées</w:t>
      </w:r>
      <w:r>
        <w:t xml:space="preserve">, jamais aux montants liquidés, déclarés ou simplement initiés.</w:t>
      </w:r>
    </w:p>
    <w:p>
      <w:pPr>
        <w:pStyle w:val="Compact"/>
        <w:numPr>
          <w:ilvl w:val="0"/>
          <w:numId w:val="1072"/>
        </w:numPr>
      </w:pPr>
      <w:r>
        <w:t xml:space="preserve">Les remboursements, contrepassements et corrections réduisent l’assiette ; la part déjà versée est régularisée par contre-écriture sur les répartitions suivantes.</w:t>
      </w:r>
    </w:p>
    <w:p>
      <w:pPr>
        <w:pStyle w:val="Compact"/>
        <w:numPr>
          <w:ilvl w:val="0"/>
          <w:numId w:val="1072"/>
        </w:numPr>
      </w:pPr>
      <w:r>
        <w:t xml:space="preserve">Les arrondis sont affectés au Gouvernement provincial.</w:t>
      </w:r>
    </w:p>
    <w:p>
      <w:pPr>
        <w:pStyle w:val="Compact"/>
        <w:numPr>
          <w:ilvl w:val="0"/>
          <w:numId w:val="1072"/>
        </w:numPr>
      </w:pPr>
      <w:r>
        <w:t xml:space="preserve">Les parts revenant légalement aux entités territoriales décentralisées ou au pouvoir central, en vertu de la nomenclature et des clés de répartition légales, font l’objet d’une décision expresse dans l’acte qui institue le modèle (Annexe B, point 19).</w:t>
      </w:r>
    </w:p>
    <w:bookmarkEnd w:id="276"/>
    <w:bookmarkStart w:id="277" w:name="Xd6ed9d1a6376fbfdb88a5223bc2c8f4293ed3de"/>
    <w:p>
      <w:pPr>
        <w:pStyle w:val="Heading2"/>
      </w:pPr>
      <w:r>
        <w:t xml:space="preserve">37A.4 Exécution : deux flux de décaissement seulement</w:t>
      </w:r>
    </w:p>
    <w:p>
      <w:pPr>
        <w:pStyle w:val="Compact"/>
        <w:numPr>
          <w:ilvl w:val="0"/>
          <w:numId w:val="1073"/>
        </w:numPr>
      </w:pPr>
      <w:r>
        <w:t xml:space="preserve">Tous les paiements arrivent sur le compte public de recettes désigné (§ 18) ; MOSOLO ne détient jamais de fonds.</w:t>
      </w:r>
    </w:p>
    <w:p>
      <w:pPr>
        <w:pStyle w:val="Compact"/>
        <w:numPr>
          <w:ilvl w:val="0"/>
          <w:numId w:val="1073"/>
        </w:numPr>
      </w:pPr>
      <w:r>
        <w:t xml:space="preserve">Après rapprochement, MOSOLO calcule la répartition, la signe et l’inscrit au grand livre (§ 20.1).</w:t>
      </w:r>
    </w:p>
    <w:p>
      <w:pPr>
        <w:pStyle w:val="Compact"/>
        <w:numPr>
          <w:ilvl w:val="0"/>
          <w:numId w:val="1073"/>
        </w:numPr>
      </w:pPr>
      <w:r>
        <w:t xml:space="preserve">La banque de règlement exécute automatiquement, selon une</w:t>
      </w:r>
      <w:r>
        <w:t xml:space="preserve"> </w:t>
      </w:r>
      <w:r>
        <w:rPr>
          <w:b/>
          <w:bCs/>
        </w:rPr>
        <w:t xml:space="preserve">convention tripartite Province – banque – Groupe Nseya</w:t>
      </w:r>
      <w:r>
        <w:t xml:space="preserve"> </w:t>
      </w:r>
      <w:r>
        <w:t xml:space="preserve">approuvée par acte juridique, deux virements et deux seulement :</w:t>
      </w:r>
      <w:r>
        <w:t xml:space="preserve"> </w:t>
      </w:r>
      <w:r>
        <w:rPr>
          <w:b/>
          <w:bCs/>
        </w:rPr>
        <w:t xml:space="preserve">Flux 1</w:t>
      </w:r>
      <w:r>
        <w:t xml:space="preserve"> </w:t>
      </w:r>
      <w:r>
        <w:t xml:space="preserve">vers le compte de Groupe Nseya (10 %) ;</w:t>
      </w:r>
      <w:r>
        <w:t xml:space="preserve"> </w:t>
      </w:r>
      <w:r>
        <w:rPr>
          <w:b/>
          <w:bCs/>
        </w:rPr>
        <w:t xml:space="preserve">Flux 2</w:t>
      </w:r>
      <w:r>
        <w:t xml:space="preserve"> </w:t>
      </w:r>
      <w:r>
        <w:t xml:space="preserve">vers le compte du Gouvernement provincial au Trésor (90 %).</w:t>
      </w:r>
    </w:p>
    <w:p>
      <w:pPr>
        <w:pStyle w:val="Compact"/>
        <w:numPr>
          <w:ilvl w:val="0"/>
          <w:numId w:val="1073"/>
        </w:numPr>
      </w:pPr>
      <w:r>
        <w:t xml:space="preserve">Fréquence : quotidienne après rapprochement, ou selon la périodicité fixée par la convention.</w:t>
      </w:r>
    </w:p>
    <w:p>
      <w:pPr>
        <w:pStyle w:val="Compact"/>
        <w:numPr>
          <w:ilvl w:val="0"/>
          <w:numId w:val="1073"/>
        </w:numPr>
      </w:pPr>
      <w:r>
        <w:t xml:space="preserve">Les comptes des deux flux sont des comptes bénéficiaires verrouillés : tout changement exige le quorum, la vérification hors bande et le délai de refroidissement de la Constitution financière (§ 12.3).</w:t>
      </w:r>
    </w:p>
    <w:bookmarkEnd w:id="277"/>
    <w:bookmarkStart w:id="278" w:name="Xc777a1d82f03618c0f6dc0b9062c14693fe6164"/>
    <w:p>
      <w:pPr>
        <w:pStyle w:val="Heading2"/>
      </w:pPr>
      <w:r>
        <w:t xml:space="preserve">37A.5 Répartition interne des 90 % du Gouvernement</w:t>
      </w:r>
    </w:p>
    <w:p>
      <w:pPr>
        <w:pStyle w:val="FirstParagraph"/>
      </w:pPr>
      <w:r>
        <w:t xml:space="preserve">Les parts des ministères et des agents ne font pas l’objet de flux distincts dans le système : elles sont</w:t>
      </w:r>
      <w:r>
        <w:t xml:space="preserve"> </w:t>
      </w:r>
      <w:r>
        <w:rPr>
          <w:b/>
          <w:bCs/>
        </w:rPr>
        <w:t xml:space="preserve">calculées et constatées</w:t>
      </w:r>
      <w:r>
        <w:t xml:space="preserve"> </w:t>
      </w:r>
      <w:r>
        <w:t xml:space="preserve">par MOSOLO, puis versées par le Trésor provincial selon les procédures budgétaires et comptables publiques.</w:t>
      </w:r>
    </w:p>
    <w:p>
      <w:pPr>
        <w:pStyle w:val="Compact"/>
        <w:numPr>
          <w:ilvl w:val="0"/>
          <w:numId w:val="1074"/>
        </w:numPr>
      </w:pPr>
      <w:r>
        <w:rPr>
          <w:b/>
          <w:bCs/>
        </w:rPr>
        <w:t xml:space="preserve">Ministères</w:t>
      </w:r>
      <w:r>
        <w:t xml:space="preserve"> </w:t>
      </w:r>
      <w:r>
        <w:t xml:space="preserve">: chaque module est rattaché à un ministère de tutelle par une table versionnée. Exemple indicatif, à confirmer par arrêté :</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Modules</w:t>
            </w:r>
          </w:p>
        </w:tc>
        <w:tc>
          <w:tcPr>
            <w:shd w:val="clear" w:color="auto" w:fill="1BA996"/>
          </w:tcPr>
          <w:p>
            <w:pPr>
              <w:pStyle w:val="Compact"/>
              <w:spacing w:after="20" w:before="20" w:line="240" w:lineRule="auto"/>
              <w:jc w:val="left"/>
            </w:pPr>
            <w:r>
              <w:rPr>
                <w:b/>
                <w:color w:val="FFFFFF"/>
                <w:sz w:val="17"/>
              </w:rPr>
              <w:t xml:space="preserve">Ministère de tutelle (indicatif)</w:t>
            </w:r>
          </w:p>
        </w:tc>
      </w:tr>
      <w:tr>
        <w:tc>
          <w:tcPr/>
          <w:p>
            <w:pPr>
              <w:pStyle w:val="Compact"/>
              <w:spacing w:after="20" w:before="20" w:line="240" w:lineRule="auto"/>
              <w:jc w:val="left"/>
            </w:pPr>
            <w:r>
              <w:rPr>
                <w:sz w:val="17"/>
              </w:rPr>
              <w:t xml:space="preserve">Impôt foncier, IRL, véhicules, grands redevables</w:t>
            </w:r>
          </w:p>
        </w:tc>
        <w:tc>
          <w:tcPr/>
          <w:p>
            <w:pPr>
              <w:pStyle w:val="Compact"/>
              <w:spacing w:after="20" w:before="20" w:line="240" w:lineRule="auto"/>
              <w:jc w:val="left"/>
            </w:pPr>
            <w:r>
              <w:rPr>
                <w:sz w:val="17"/>
              </w:rPr>
              <w:t xml:space="preserve">Finances</w:t>
            </w:r>
          </w:p>
        </w:tc>
      </w:tr>
      <w:tr>
        <w:tc>
          <w:tcPr>
            <w:shd w:val="clear" w:color="auto" w:fill="F2F9F8"/>
          </w:tcPr>
          <w:p>
            <w:pPr>
              <w:pStyle w:val="Compact"/>
              <w:spacing w:after="20" w:before="20" w:line="240" w:lineRule="auto"/>
              <w:jc w:val="left"/>
            </w:pPr>
            <w:r>
              <w:rPr>
                <w:sz w:val="17"/>
              </w:rPr>
              <w:t xml:space="preserve">Stationnement, autorisations de transport, embarquement, péage</w:t>
            </w:r>
          </w:p>
        </w:tc>
        <w:tc>
          <w:tcPr>
            <w:shd w:val="clear" w:color="auto" w:fill="F2F9F8"/>
          </w:tcPr>
          <w:p>
            <w:pPr>
              <w:pStyle w:val="Compact"/>
              <w:spacing w:after="20" w:before="20" w:line="240" w:lineRule="auto"/>
              <w:jc w:val="left"/>
            </w:pPr>
            <w:r>
              <w:rPr>
                <w:sz w:val="17"/>
              </w:rPr>
              <w:t xml:space="preserve">Transports et mobilité</w:t>
            </w:r>
          </w:p>
        </w:tc>
      </w:tr>
      <w:tr>
        <w:tc>
          <w:tcPr/>
          <w:p>
            <w:pPr>
              <w:pStyle w:val="Compact"/>
              <w:spacing w:after="20" w:before="20" w:line="240" w:lineRule="auto"/>
              <w:jc w:val="left"/>
            </w:pPr>
            <w:r>
              <w:rPr>
                <w:sz w:val="17"/>
              </w:rPr>
              <w:t xml:space="preserve">Publicité extérieure, voirie, chantiers, domaine public</w:t>
            </w:r>
          </w:p>
        </w:tc>
        <w:tc>
          <w:tcPr/>
          <w:p>
            <w:pPr>
              <w:pStyle w:val="Compact"/>
              <w:spacing w:after="20" w:before="20" w:line="240" w:lineRule="auto"/>
              <w:jc w:val="left"/>
            </w:pPr>
            <w:r>
              <w:rPr>
                <w:sz w:val="17"/>
              </w:rPr>
              <w:t xml:space="preserve">Infrastructures, urbanisme</w:t>
            </w:r>
          </w:p>
        </w:tc>
      </w:tr>
      <w:tr>
        <w:tc>
          <w:tcPr>
            <w:shd w:val="clear" w:color="auto" w:fill="F2F9F8"/>
          </w:tcPr>
          <w:p>
            <w:pPr>
              <w:pStyle w:val="Compact"/>
              <w:spacing w:after="20" w:before="20" w:line="240" w:lineRule="auto"/>
              <w:jc w:val="left"/>
            </w:pPr>
            <w:r>
              <w:rPr>
                <w:sz w:val="17"/>
              </w:rPr>
              <w:t xml:space="preserve">Patente, marchés, débits de boissons</w:t>
            </w:r>
          </w:p>
        </w:tc>
        <w:tc>
          <w:tcPr>
            <w:shd w:val="clear" w:color="auto" w:fill="F2F9F8"/>
          </w:tcPr>
          <w:p>
            <w:pPr>
              <w:pStyle w:val="Compact"/>
              <w:spacing w:after="20" w:before="20" w:line="240" w:lineRule="auto"/>
              <w:jc w:val="left"/>
            </w:pPr>
            <w:r>
              <w:rPr>
                <w:sz w:val="17"/>
              </w:rPr>
              <w:t xml:space="preserve">Économie et commerce</w:t>
            </w:r>
          </w:p>
        </w:tc>
      </w:tr>
      <w:tr>
        <w:tc>
          <w:tcPr/>
          <w:p>
            <w:pPr>
              <w:pStyle w:val="Compact"/>
              <w:spacing w:after="20" w:before="20" w:line="240" w:lineRule="auto"/>
              <w:jc w:val="left"/>
            </w:pPr>
            <w:r>
              <w:rPr>
                <w:sz w:val="17"/>
              </w:rPr>
              <w:t xml:space="preserve">Contribution plastique, assainissement</w:t>
            </w:r>
          </w:p>
        </w:tc>
        <w:tc>
          <w:tcPr/>
          <w:p>
            <w:pPr>
              <w:pStyle w:val="Compact"/>
              <w:spacing w:after="20" w:before="20" w:line="240" w:lineRule="auto"/>
              <w:jc w:val="left"/>
            </w:pPr>
            <w:r>
              <w:rPr>
                <w:sz w:val="17"/>
              </w:rPr>
              <w:t xml:space="preserve">Environnement</w:t>
            </w:r>
          </w:p>
        </w:tc>
      </w:tr>
      <w:tr>
        <w:tc>
          <w:tcPr>
            <w:shd w:val="clear" w:color="auto" w:fill="F2F9F8"/>
          </w:tcPr>
          <w:p>
            <w:pPr>
              <w:pStyle w:val="Compact"/>
              <w:spacing w:after="20" w:before="20" w:line="240" w:lineRule="auto"/>
              <w:jc w:val="left"/>
            </w:pPr>
            <w:r>
              <w:rPr>
                <w:sz w:val="17"/>
              </w:rPr>
              <w:t xml:space="preserve">Carrières, recettes forestières</w:t>
            </w:r>
          </w:p>
        </w:tc>
        <w:tc>
          <w:tcPr>
            <w:shd w:val="clear" w:color="auto" w:fill="F2F9F8"/>
          </w:tcPr>
          <w:p>
            <w:pPr>
              <w:pStyle w:val="Compact"/>
              <w:spacing w:after="20" w:before="20" w:line="240" w:lineRule="auto"/>
              <w:jc w:val="left"/>
            </w:pPr>
            <w:r>
              <w:rPr>
                <w:sz w:val="17"/>
              </w:rPr>
              <w:t xml:space="preserve">Mines, environnement</w:t>
            </w:r>
          </w:p>
        </w:tc>
      </w:tr>
      <w:tr>
        <w:tc>
          <w:tcPr/>
          <w:p>
            <w:pPr>
              <w:pStyle w:val="Compact"/>
              <w:spacing w:after="20" w:before="20" w:line="240" w:lineRule="auto"/>
              <w:jc w:val="left"/>
            </w:pPr>
            <w:r>
              <w:rPr>
                <w:sz w:val="17"/>
              </w:rPr>
              <w:t xml:space="preserve">Spectacles et événements</w:t>
            </w:r>
          </w:p>
        </w:tc>
        <w:tc>
          <w:tcPr/>
          <w:p>
            <w:pPr>
              <w:pStyle w:val="Compact"/>
              <w:spacing w:after="20" w:before="20" w:line="240" w:lineRule="auto"/>
              <w:jc w:val="left"/>
            </w:pPr>
            <w:r>
              <w:rPr>
                <w:sz w:val="17"/>
              </w:rPr>
              <w:t xml:space="preserve">Culture</w:t>
            </w:r>
          </w:p>
        </w:tc>
      </w:tr>
    </w:tbl>
    <w:p>
      <w:pPr>
        <w:pStyle w:val="Compact"/>
        <w:numPr>
          <w:ilvl w:val="0"/>
          <w:numId w:val="1075"/>
        </w:numPr>
      </w:pPr>
      <w:r>
        <w:rPr>
          <w:b/>
          <w:bCs/>
        </w:rPr>
        <w:t xml:space="preserve">Agents de terrain et sous-traitants</w:t>
      </w:r>
      <w:r>
        <w:t xml:space="preserve"> </w:t>
      </w:r>
      <w:r>
        <w:t xml:space="preserve">: la réserve de 10 % est tenue</w:t>
      </w:r>
      <w:r>
        <w:t xml:space="preserve"> </w:t>
      </w:r>
      <w:r>
        <w:rPr>
          <w:b/>
          <w:bCs/>
        </w:rPr>
        <w:t xml:space="preserve">par module</w:t>
      </w:r>
      <w:r>
        <w:t xml:space="preserve">. Elle est répartie entre les équipes internes et les sous-traitants accrédités au prorata de points de résultats vérifiés (objets confirmés après contrôle qualité, enrôlements valides, régularisations confirmées par quittance définitive), pondérés par la note de qualité (§ 15A.5). Chaque sous-traitant reverse à ses agents selon son contrat ; les agents internes perçoivent leur part sous forme de primes. Les points ne dépendent jamais du montant liquidé par un agent individuel, afin de ne pas inciter à la surtaxation ; les sommes attribuées à des objets fictifs ou à des constats frauduleux sont récupérées.</w:t>
      </w:r>
    </w:p>
    <w:p>
      <w:pPr>
        <w:pStyle w:val="Compact"/>
        <w:numPr>
          <w:ilvl w:val="0"/>
          <w:numId w:val="1075"/>
        </w:numPr>
      </w:pPr>
      <w:r>
        <w:rPr>
          <w:b/>
          <w:bCs/>
        </w:rPr>
        <w:t xml:space="preserve">Gouvernement provincial</w:t>
      </w:r>
      <w:r>
        <w:t xml:space="preserve"> </w:t>
      </w:r>
      <w:r>
        <w:t xml:space="preserve">: le solde de 70 % alimente le budget provincial selon les règles de la LOFIP et du budget voté.</w:t>
      </w:r>
    </w:p>
    <w:bookmarkEnd w:id="278"/>
    <w:bookmarkStart w:id="279" w:name="a.6-tableau-de-bord-de-la-répartition"/>
    <w:p>
      <w:pPr>
        <w:pStyle w:val="Heading2"/>
      </w:pPr>
      <w:r>
        <w:t xml:space="preserve">37A.6 Tableau de bord de la répartition</w:t>
      </w:r>
    </w:p>
    <w:p>
      <w:pPr>
        <w:pStyle w:val="FirstParagraph"/>
      </w:pPr>
      <w:r>
        <w:t xml:space="preserve">Le tableau de bord montre, pour chaque bénéficiaire prédéfini, ce qu’il doit recevoir et ce qu’il a reçu :</w:t>
      </w:r>
    </w:p>
    <w:p>
      <w:pPr>
        <w:pStyle w:val="Compact"/>
        <w:numPr>
          <w:ilvl w:val="0"/>
          <w:numId w:val="1076"/>
        </w:numPr>
      </w:pPr>
      <w:r>
        <w:t xml:space="preserve">Par bénéficiaire : montant</w:t>
      </w:r>
      <w:r>
        <w:t xml:space="preserve"> </w:t>
      </w:r>
      <w:r>
        <w:rPr>
          <w:b/>
          <w:bCs/>
        </w:rPr>
        <w:t xml:space="preserve">calculé</w:t>
      </w:r>
      <w:r>
        <w:t xml:space="preserve">, montant</w:t>
      </w:r>
      <w:r>
        <w:t xml:space="preserve"> </w:t>
      </w:r>
      <w:r>
        <w:rPr>
          <w:b/>
          <w:bCs/>
        </w:rPr>
        <w:t xml:space="preserve">rapproché</w:t>
      </w:r>
      <w:r>
        <w:t xml:space="preserve">, montant</w:t>
      </w:r>
      <w:r>
        <w:t xml:space="preserve"> </w:t>
      </w:r>
      <w:r>
        <w:rPr>
          <w:b/>
          <w:bCs/>
        </w:rPr>
        <w:t xml:space="preserve">versé</w:t>
      </w:r>
      <w:r>
        <w:t xml:space="preserve">, reste à verser.</w:t>
      </w:r>
    </w:p>
    <w:p>
      <w:pPr>
        <w:pStyle w:val="Compact"/>
        <w:numPr>
          <w:ilvl w:val="0"/>
          <w:numId w:val="1076"/>
        </w:numPr>
      </w:pPr>
      <w:r>
        <w:t xml:space="preserve">Par module, ministère, commune, période, canal, sous-traitant, équipe et agent (chacun ne voit que son périmètre).</w:t>
      </w:r>
    </w:p>
    <w:p>
      <w:pPr>
        <w:pStyle w:val="Compact"/>
        <w:numPr>
          <w:ilvl w:val="0"/>
          <w:numId w:val="1076"/>
        </w:numPr>
      </w:pPr>
      <w:r>
        <w:t xml:space="preserve">Consultation détaillée (drill-down) jusqu’aux paiements individuels ; export signé ; piste d’audit complète.</w:t>
      </w:r>
    </w:p>
    <w:p>
      <w:pPr>
        <w:pStyle w:val="Compact"/>
        <w:numPr>
          <w:ilvl w:val="0"/>
          <w:numId w:val="1076"/>
        </w:numPr>
      </w:pPr>
      <w:r>
        <w:t xml:space="preserve">Rapprochement permanent : la somme des parts est toujours égale à 100 % des recettes rapprochées ; tout écart déclenche une alerte.</w:t>
      </w:r>
    </w:p>
    <w:p>
      <w:pPr>
        <w:pStyle w:val="Compact"/>
        <w:numPr>
          <w:ilvl w:val="0"/>
          <w:numId w:val="1076"/>
        </w:numPr>
      </w:pPr>
      <w:r>
        <w:t xml:space="preserve">Vue publique agrégée : recettes totales, parts par catégorie de bénéficiaire, sans donnée individuelle.</w:t>
      </w:r>
    </w:p>
    <w:bookmarkEnd w:id="279"/>
    <w:bookmarkStart w:id="280" w:name="a.7-gouvernance-de-la-clé-et-durée"/>
    <w:p>
      <w:pPr>
        <w:pStyle w:val="Heading2"/>
      </w:pPr>
      <w:r>
        <w:t xml:space="preserve">37A.7 Gouvernance de la clé et durée</w:t>
      </w:r>
    </w:p>
    <w:p>
      <w:pPr>
        <w:pStyle w:val="Compact"/>
        <w:numPr>
          <w:ilvl w:val="0"/>
          <w:numId w:val="1077"/>
        </w:numPr>
      </w:pPr>
      <w:r>
        <w:t xml:space="preserve">La clé de répartition est une règle versionnée du registre juridique ; elle ne peut être modifiée que sur la base d’un acte juridique, avec quorum et piste d’audit ; aucune personne, y compris chez Groupe Nseya, ne peut la modifier seule.</w:t>
      </w:r>
    </w:p>
    <w:p>
      <w:pPr>
        <w:pStyle w:val="Compact"/>
        <w:numPr>
          <w:ilvl w:val="0"/>
          <w:numId w:val="1077"/>
        </w:numPr>
      </w:pPr>
      <w:r>
        <w:t xml:space="preserve">Un</w:t>
      </w:r>
      <w:r>
        <w:t xml:space="preserve"> </w:t>
      </w:r>
      <w:r>
        <w:rPr>
          <w:b/>
          <w:bCs/>
        </w:rPr>
        <w:t xml:space="preserve">comité de suivi de la répartition</w:t>
      </w:r>
      <w:r>
        <w:t xml:space="preserve"> </w:t>
      </w:r>
      <w:r>
        <w:t xml:space="preserve">(Finances, Trésor, audit interne, Groupe Nseya, observateur indépendant) examine trimestriellement les montants calculés, versés et régularisés.</w:t>
      </w:r>
    </w:p>
    <w:p>
      <w:pPr>
        <w:pStyle w:val="Compact"/>
        <w:numPr>
          <w:ilvl w:val="0"/>
          <w:numId w:val="1077"/>
        </w:numPr>
      </w:pPr>
      <w:r>
        <w:t xml:space="preserve">Durée : 30 ans à compter de la mise en service du pilote. Clauses recommandées pour le contrat : engagements d’investissement et niveaux de service de Groupe Nseya ; propriété des données par la Ville ; séquestre du code source ; transfert de compétences ; revue périodique ; conditions de sortie anticipée ; transfert de la plateforme à la Ville au terme du contrat.</w:t>
      </w:r>
    </w:p>
    <w:bookmarkEnd w:id="280"/>
    <w:bookmarkStart w:id="281" w:name="a.8-conditions-préalables-de-validité"/>
    <w:p>
      <w:pPr>
        <w:pStyle w:val="Heading2"/>
      </w:pPr>
      <w:r>
        <w:t xml:space="preserve">37A.8 Conditions préalables de validité</w:t>
      </w:r>
    </w:p>
    <w:p>
      <w:pPr>
        <w:pStyle w:val="FirstParagraph"/>
      </w:pPr>
      <w:r>
        <w:t xml:space="preserve">Le modèle ne peut être mis en production qu’une fois réunies les conditions suivantes :</w:t>
      </w:r>
    </w:p>
    <w:p>
      <w:pPr>
        <w:pStyle w:val="Compact"/>
        <w:numPr>
          <w:ilvl w:val="0"/>
          <w:numId w:val="1078"/>
        </w:numPr>
      </w:pPr>
      <w:r>
        <w:t xml:space="preserve">Un acte juridique provincial (édit ou arrêté selon la compétence) instituant la clé de répartition, les rétrocessions aux ministères et la réserve des agents et sous-traitants.</w:t>
      </w:r>
    </w:p>
    <w:p>
      <w:pPr>
        <w:pStyle w:val="Compact"/>
        <w:numPr>
          <w:ilvl w:val="0"/>
          <w:numId w:val="1078"/>
        </w:numPr>
      </w:pPr>
      <w:r>
        <w:t xml:space="preserve">Un contrat conclu selon le régime applicable aux partenariats public-privé et aux marchés publics, pour une durée de 30 ans.</w:t>
      </w:r>
    </w:p>
    <w:p>
      <w:pPr>
        <w:pStyle w:val="Compact"/>
        <w:numPr>
          <w:ilvl w:val="0"/>
          <w:numId w:val="1078"/>
        </w:numPr>
      </w:pPr>
      <w:r>
        <w:t xml:space="preserve">La conformité du mécanisme de répartition à la source avec la loi relative aux finances publiques (LOFIP) et les règles du Trésor provincial.</w:t>
      </w:r>
    </w:p>
    <w:p>
      <w:pPr>
        <w:pStyle w:val="Compact"/>
        <w:numPr>
          <w:ilvl w:val="0"/>
          <w:numId w:val="1078"/>
        </w:numPr>
      </w:pPr>
      <w:r>
        <w:t xml:space="preserve">L’approbation de la convention tripartite de règlement par les autorités compétentes, dont la Banque Centrale du Congo si requis.</w:t>
      </w:r>
    </w:p>
    <w:p>
      <w:pPr>
        <w:pStyle w:val="Compact"/>
        <w:numPr>
          <w:ilvl w:val="0"/>
          <w:numId w:val="1078"/>
        </w:numPr>
      </w:pPr>
      <w:r>
        <w:t xml:space="preserve">Le traitement fiscal des sommes versées à Groupe Nseya et aux sous-traitants.</w:t>
      </w:r>
    </w:p>
    <w:p>
      <w:pPr>
        <w:pStyle w:val="BlockText"/>
      </w:pPr>
      <w:r>
        <w:rPr>
          <w:b/>
          <w:bCs/>
        </w:rPr>
        <w:t xml:space="preserve">Point d’attention.</w:t>
      </w:r>
      <w:r>
        <w:t xml:space="preserve"> </w:t>
      </w:r>
      <w:r>
        <w:t xml:space="preserve">Les partenaires techniques et financiers et l’évaluation TADAT regardent avec prudence les rémunérations privées indexées sur les recettes fiscales. Plusieurs documents sources recommandaient d’ailleurs d’éviter toute commission non plafonnée (§ 37, recommandations des sources). La solidité juridique de l’acte, la transparence du tableau de bord de répartition et l’audit indépendant sont les meilleures réponses à cette prudence (voir § 40).</w:t>
      </w:r>
    </w:p>
    <w:p>
      <w:pPr>
        <w:pStyle w:val="FirstParagraph"/>
      </w:pPr>
      <w:r>
        <w:rPr>
          <w:b/>
          <w:bCs/>
        </w:rPr>
        <w:t xml:space="preserve">Critère d’acceptation.</w:t>
      </w:r>
      <w:r>
        <w:t xml:space="preserve"> </w:t>
      </w:r>
      <w:r>
        <w:rPr>
          <w:b/>
          <w:bCs/>
        </w:rPr>
        <w:t xml:space="preserve">Étant donné</w:t>
      </w:r>
      <w:r>
        <w:t xml:space="preserve"> </w:t>
      </w:r>
      <w:r>
        <w:t xml:space="preserve">un paiement rapproché,</w:t>
      </w:r>
      <w:r>
        <w:t xml:space="preserve"> </w:t>
      </w:r>
      <w:r>
        <w:rPr>
          <w:b/>
          <w:bCs/>
        </w:rPr>
        <w:t xml:space="preserve">lorsque</w:t>
      </w:r>
      <w:r>
        <w:t xml:space="preserve"> </w:t>
      </w:r>
      <w:r>
        <w:t xml:space="preserve">la répartition est calculée,</w:t>
      </w:r>
      <w:r>
        <w:t xml:space="preserve"> </w:t>
      </w:r>
      <w:r>
        <w:rPr>
          <w:b/>
          <w:bCs/>
        </w:rPr>
        <w:t xml:space="preserve">alors</w:t>
      </w:r>
      <w:r>
        <w:t xml:space="preserve"> </w:t>
      </w:r>
      <w:r>
        <w:t xml:space="preserve">la somme des parts est égale au montant rapproché, deux instructions de virement seulement sont émises (10 % vers Groupe Nseya, 90 % vers le Gouvernement provincial), les parts des ministères et de la réserve des agents sont constatées au grand livre, et le tableau de bord affiche chaque montant calculé, rapproché et versé.</w:t>
      </w:r>
    </w:p>
    <w:bookmarkEnd w:id="281"/>
    <w:bookmarkEnd w:id="282"/>
    <w:bookmarkStart w:id="287" w:name="modèle-financier"/>
    <w:p>
      <w:pPr>
        <w:pStyle w:val="Heading1"/>
      </w:pPr>
      <w:r>
        <w:t xml:space="preserve">38. Modèle financier</w:t>
      </w:r>
    </w:p>
    <w:bookmarkStart w:id="283" w:name="X761843dbc34191cc039d5b428e76c9c4e79acea"/>
    <w:p>
      <w:pPr>
        <w:pStyle w:val="Heading2"/>
      </w:pPr>
      <w:r>
        <w:t xml:space="preserve">38.1 Établir la base de référence avant toute promesse</w:t>
      </w:r>
    </w:p>
    <w:p>
      <w:pPr>
        <w:pStyle w:val="FirstParagraph"/>
      </w:pPr>
      <w:r>
        <w:t xml:space="preserve">Aucun engagement chiffré ne peut précéder la mesure. La base de</w:t>
      </w:r>
      <w:r>
        <w:t xml:space="preserve"> </w:t>
      </w:r>
      <w:r>
        <w:t xml:space="preserve">référence porte sur : contribuables enregistrés ; objets imposables</w:t>
      </w:r>
      <w:r>
        <w:t xml:space="preserve"> </w:t>
      </w:r>
      <w:r>
        <w:t xml:space="preserve">connus ; liquidations annuelles ; encaissements réels ; délais de</w:t>
      </w:r>
      <w:r>
        <w:t xml:space="preserve"> </w:t>
      </w:r>
      <w:r>
        <w:t xml:space="preserve">règlement ; paiements non rapprochés ; arriérés ; exonérations ;</w:t>
      </w:r>
      <w:r>
        <w:t xml:space="preserve"> </w:t>
      </w:r>
      <w:r>
        <w:t xml:space="preserve">annulations ; coût de recouvrement ; coût de collecte ; pertes estimées</w:t>
      </w:r>
      <w:r>
        <w:t xml:space="preserve"> </w:t>
      </w:r>
      <w:r>
        <w:t xml:space="preserve">par fraude ; temps de traitement administratif.</w:t>
      </w:r>
    </w:p>
    <w:bookmarkEnd w:id="283"/>
    <w:bookmarkStart w:id="284" w:name="formules-de-calcul-du-potentiel"/>
    <w:p>
      <w:pPr>
        <w:pStyle w:val="Heading2"/>
      </w:pPr>
      <w:r>
        <w:t xml:space="preserve">38.2 Formules de calcul du potentiel</w:t>
      </w:r>
    </w:p>
    <w:p>
      <w:pPr>
        <w:pStyle w:val="FirstParagraph"/>
      </w:pPr>
      <w:r>
        <w:t xml:space="preserve">Potentiel théorique d'une recette = nombre d'objets imposables ×</w:t>
      </w:r>
      <w:r>
        <w:t xml:space="preserve"> </w:t>
      </w:r>
      <w:r>
        <w:t xml:space="preserve">montant moyen légal dû. Recette additionnelle attendue = potentiel ×</w:t>
      </w:r>
      <w:r>
        <w:t xml:space="preserve"> </w:t>
      </w:r>
      <w:r>
        <w:t xml:space="preserve">(taux de conformité cible − taux de conformité actuel) − coût marginal</w:t>
      </w:r>
      <w:r>
        <w:t xml:space="preserve"> </w:t>
      </w:r>
      <w:r>
        <w:t xml:space="preserve">de recouvrement. Recette nette = recette additionnelle − coûts</w:t>
      </w:r>
      <w:r>
        <w:t xml:space="preserve"> </w:t>
      </w:r>
      <w:r>
        <w:t xml:space="preserve">d'investissement amortis − coûts récurrents.</w:t>
      </w:r>
    </w:p>
    <w:p>
      <w:pPr>
        <w:pStyle w:val="BodyText"/>
      </w:pPr>
      <w:r>
        <w:rPr>
          <w:b/>
          <w:bCs/>
        </w:rPr>
        <w:t xml:space="preserve">Recette additionnelle nette vérifiée</w:t>
      </w:r>
      <w:r>
        <w:t xml:space="preserve"> </w:t>
      </w:r>
      <w:r>
        <w:t xml:space="preserve">= assiette vérifiée supplémentaire + gains de conformité + arriérés recouvrés + déperdition évitée + gains de rapprochement − coûts additionnels − remboursements − corrections. C’est la grandeur retenue pour mesurer le succès du programme ; la clé de répartition du § 37A s’applique, elle, à l’ensemble des recettes rapprochées.</w:t>
      </w:r>
    </w:p>
    <w:bookmarkEnd w:id="284"/>
    <w:bookmarkStart w:id="285" w:name="X5df2cb3f5c4b2e2a8e4edad2c0a7a078fd3570e"/>
    <w:p>
      <w:pPr>
        <w:pStyle w:val="Heading2"/>
      </w:pPr>
      <w:r>
        <w:t xml:space="preserve">38.3 Exemple illustratif, à remplacer par les données du pilote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448"/>
        <w:gridCol w:w="1641"/>
        <w:gridCol w:w="1545"/>
        <w:gridCol w:w="1545"/>
        <w:gridCol w:w="1545"/>
      </w:tblGrid>
      <w:tr>
        <w:trPr>
          <w:tblHeader w:val="true"/>
          <w:tblHeader/>
        </w:trPr>
        <w:tc>
          <w:tcPr>
            <w:shd w:val="clear" w:color="auto" w:fill="1BA996"/>
          </w:tcPr>
          <w:p>
            <w:pPr>
              <w:pStyle w:val="Compact"/>
              <w:spacing w:after="20" w:before="20" w:line="240" w:lineRule="auto"/>
              <w:jc w:val="left"/>
            </w:pPr>
            <w:r>
              <w:rPr>
                <w:b/>
                <w:bCs/>
                <w:color w:val="FFFFFF"/>
                <w:sz w:val="17"/>
              </w:rPr>
              <w:t xml:space="preserve">Ligne</w:t>
            </w:r>
          </w:p>
        </w:tc>
        <w:tc>
          <w:tcPr>
            <w:shd w:val="clear" w:color="auto" w:fill="1BA996"/>
          </w:tcPr>
          <w:p>
            <w:pPr>
              <w:pStyle w:val="Compact"/>
              <w:spacing w:after="20" w:before="20" w:line="240" w:lineRule="auto"/>
              <w:jc w:val="left"/>
            </w:pPr>
            <w:r>
              <w:rPr>
                <w:b/>
                <w:bCs/>
                <w:color w:val="FFFFFF"/>
                <w:sz w:val="17"/>
              </w:rPr>
              <w:t xml:space="preserve">Objets</w:t>
            </w:r>
            <w:r>
              <w:rPr>
                <w:b/>
                <w:bCs/>
                <w:color w:val="FFFFFF"/>
                <w:sz w:val="17"/>
              </w:rPr>
              <w:t xml:space="preserve"> </w:t>
            </w:r>
            <w:r>
              <w:rPr>
                <w:b/>
                <w:bCs/>
                <w:color w:val="FFFFFF"/>
                <w:sz w:val="17"/>
              </w:rPr>
              <w:t xml:space="preserve">(hypothèse)</w:t>
            </w:r>
          </w:p>
        </w:tc>
        <w:tc>
          <w:tcPr>
            <w:shd w:val="clear" w:color="auto" w:fill="1BA996"/>
          </w:tcPr>
          <w:p>
            <w:pPr>
              <w:pStyle w:val="Compact"/>
              <w:spacing w:after="20" w:before="20" w:line="240" w:lineRule="auto"/>
              <w:jc w:val="left"/>
            </w:pPr>
            <w:r>
              <w:rPr>
                <w:b/>
                <w:bCs/>
                <w:color w:val="FFFFFF"/>
                <w:sz w:val="17"/>
              </w:rPr>
              <w:t xml:space="preserve">Montant</w:t>
            </w:r>
            <w:r>
              <w:rPr>
                <w:b/>
                <w:bCs/>
                <w:color w:val="FFFFFF"/>
                <w:sz w:val="17"/>
              </w:rPr>
              <w:t xml:space="preserve"> </w:t>
            </w:r>
            <w:r>
              <w:rPr>
                <w:b/>
                <w:bCs/>
                <w:color w:val="FFFFFF"/>
                <w:sz w:val="17"/>
              </w:rPr>
              <w:t xml:space="preserve">annuel moyen</w:t>
            </w:r>
            <w:r>
              <w:rPr>
                <w:b/>
                <w:bCs/>
                <w:color w:val="FFFFFF"/>
                <w:sz w:val="17"/>
              </w:rPr>
              <w:t xml:space="preserve"> </w:t>
            </w:r>
            <w:r>
              <w:rPr>
                <w:b/>
                <w:bCs/>
                <w:color w:val="FFFFFF"/>
                <w:sz w:val="17"/>
              </w:rPr>
              <w:t xml:space="preserve">(hypothèse)</w:t>
            </w:r>
          </w:p>
        </w:tc>
        <w:tc>
          <w:tcPr>
            <w:shd w:val="clear" w:color="auto" w:fill="1BA996"/>
          </w:tcPr>
          <w:p>
            <w:pPr>
              <w:pStyle w:val="Compact"/>
              <w:spacing w:after="20" w:before="20" w:line="240" w:lineRule="auto"/>
              <w:jc w:val="left"/>
            </w:pPr>
            <w:r>
              <w:rPr>
                <w:b/>
                <w:bCs/>
                <w:color w:val="FFFFFF"/>
                <w:sz w:val="17"/>
              </w:rPr>
              <w:t xml:space="preserve">Conformité</w:t>
            </w:r>
            <w:r>
              <w:rPr>
                <w:b/>
                <w:bCs/>
                <w:color w:val="FFFFFF"/>
                <w:sz w:val="17"/>
              </w:rPr>
              <w:t xml:space="preserve"> </w:t>
            </w:r>
            <w:r>
              <w:rPr>
                <w:b/>
                <w:bCs/>
                <w:color w:val="FFFFFF"/>
                <w:sz w:val="17"/>
              </w:rPr>
              <w:t xml:space="preserve">actuelle →</w:t>
            </w:r>
            <w:r>
              <w:rPr>
                <w:b/>
                <w:bCs/>
                <w:color w:val="FFFFFF"/>
                <w:sz w:val="17"/>
              </w:rPr>
              <w:t xml:space="preserve"> </w:t>
            </w:r>
            <w:r>
              <w:rPr>
                <w:b/>
                <w:bCs/>
                <w:color w:val="FFFFFF"/>
                <w:sz w:val="17"/>
              </w:rPr>
              <w:t xml:space="preserve">cible</w:t>
            </w:r>
            <w:r>
              <w:rPr>
                <w:b/>
                <w:bCs/>
                <w:color w:val="FFFFFF"/>
                <w:sz w:val="17"/>
              </w:rPr>
              <w:t xml:space="preserve"> </w:t>
            </w:r>
            <w:r>
              <w:rPr>
                <w:b/>
                <w:bCs/>
                <w:color w:val="FFFFFF"/>
                <w:sz w:val="17"/>
              </w:rPr>
              <w:t xml:space="preserve">(hypothèse)</w:t>
            </w:r>
          </w:p>
        </w:tc>
        <w:tc>
          <w:tcPr>
            <w:shd w:val="clear" w:color="auto" w:fill="1BA996"/>
          </w:tcPr>
          <w:p>
            <w:pPr>
              <w:pStyle w:val="Compact"/>
              <w:spacing w:after="20" w:before="20" w:line="240" w:lineRule="auto"/>
              <w:jc w:val="left"/>
            </w:pPr>
            <w:r>
              <w:rPr>
                <w:b/>
                <w:bCs/>
                <w:color w:val="FFFFFF"/>
                <w:sz w:val="17"/>
              </w:rPr>
              <w:t xml:space="preserve">Gain</w:t>
            </w:r>
            <w:r>
              <w:rPr>
                <w:b/>
                <w:bCs/>
                <w:color w:val="FFFFFF"/>
                <w:sz w:val="17"/>
              </w:rPr>
              <w:t xml:space="preserve"> </w:t>
            </w:r>
            <w:r>
              <w:rPr>
                <w:b/>
                <w:bCs/>
                <w:color w:val="FFFFFF"/>
                <w:sz w:val="17"/>
              </w:rPr>
              <w:t xml:space="preserve">illustratif</w:t>
            </w:r>
          </w:p>
        </w:tc>
      </w:tr>
      <w:tr>
        <w:tc>
          <w:tcPr/>
          <w:p>
            <w:pPr>
              <w:pStyle w:val="Compact"/>
              <w:spacing w:after="20" w:before="20" w:line="240" w:lineRule="auto"/>
              <w:jc w:val="left"/>
            </w:pPr>
            <w:r>
              <w:rPr>
                <w:sz w:val="17"/>
              </w:rPr>
              <w:t xml:space="preserve">Revenus</w:t>
            </w:r>
            <w:r>
              <w:rPr>
                <w:sz w:val="17"/>
              </w:rPr>
              <w:t xml:space="preserve"> </w:t>
            </w:r>
            <w:r>
              <w:rPr>
                <w:sz w:val="17"/>
              </w:rPr>
              <w:t xml:space="preserve">locatifs</w:t>
            </w:r>
          </w:p>
        </w:tc>
        <w:tc>
          <w:tcPr/>
          <w:p>
            <w:pPr>
              <w:pStyle w:val="Compact"/>
              <w:spacing w:after="20" w:before="20" w:line="240" w:lineRule="auto"/>
              <w:jc w:val="left"/>
            </w:pPr>
            <w:r>
              <w:rPr>
                <w:sz w:val="17"/>
              </w:rPr>
              <w:t xml:space="preserve">2 000 000 unités</w:t>
            </w:r>
            <w:r>
              <w:rPr>
                <w:sz w:val="17"/>
              </w:rPr>
              <w:t xml:space="preserve"> </w:t>
            </w:r>
            <w:r>
              <w:rPr>
                <w:sz w:val="17"/>
              </w:rPr>
              <w:t xml:space="preserve">louées</w:t>
            </w:r>
          </w:p>
        </w:tc>
        <w:tc>
          <w:tcPr/>
          <w:p>
            <w:pPr>
              <w:pStyle w:val="Compact"/>
              <w:spacing w:after="20" w:before="20" w:line="240" w:lineRule="auto"/>
              <w:jc w:val="left"/>
            </w:pPr>
            <w:r>
              <w:rPr>
                <w:sz w:val="17"/>
              </w:rPr>
              <w:t xml:space="preserve">158 USD (22 %</w:t>
            </w:r>
            <w:r>
              <w:rPr>
                <w:sz w:val="17"/>
              </w:rPr>
              <w:t xml:space="preserve"> </w:t>
            </w:r>
            <w:r>
              <w:rPr>
                <w:sz w:val="17"/>
              </w:rPr>
              <w:t xml:space="preserve">d'un loyer de</w:t>
            </w:r>
            <w:r>
              <w:rPr>
                <w:sz w:val="17"/>
              </w:rPr>
              <w:t xml:space="preserve"> </w:t>
            </w:r>
            <w:r>
              <w:rPr>
                <w:sz w:val="17"/>
              </w:rPr>
              <w:t xml:space="preserve">60 USD par</w:t>
            </w:r>
            <w:r>
              <w:rPr>
                <w:sz w:val="17"/>
              </w:rPr>
              <w:t xml:space="preserve"> </w:t>
            </w:r>
            <w:r>
              <w:rPr>
                <w:sz w:val="17"/>
              </w:rPr>
              <w:t xml:space="preserve">mois)</w:t>
            </w:r>
          </w:p>
        </w:tc>
        <w:tc>
          <w:tcPr/>
          <w:p>
            <w:pPr>
              <w:pStyle w:val="Compact"/>
              <w:spacing w:after="20" w:before="20" w:line="240" w:lineRule="auto"/>
              <w:jc w:val="left"/>
            </w:pPr>
            <w:r>
              <w:rPr>
                <w:sz w:val="17"/>
              </w:rPr>
              <w:t xml:space="preserve">8 % → 35 %</w:t>
            </w:r>
          </w:p>
        </w:tc>
        <w:tc>
          <w:tcPr/>
          <w:p>
            <w:pPr>
              <w:pStyle w:val="Compact"/>
              <w:spacing w:after="20" w:before="20" w:line="240" w:lineRule="auto"/>
              <w:jc w:val="left"/>
            </w:pPr>
            <w:r>
              <w:rPr>
                <w:sz w:val="17"/>
              </w:rPr>
              <w:t xml:space="preserve">≈ 85 M USD</w:t>
            </w:r>
          </w:p>
        </w:tc>
      </w:tr>
      <w:tr>
        <w:tc>
          <w:tcPr>
            <w:shd w:val="clear" w:color="auto" w:fill="F2F9F8"/>
          </w:tcPr>
          <w:p>
            <w:pPr>
              <w:pStyle w:val="Compact"/>
              <w:spacing w:after="20" w:before="20" w:line="240" w:lineRule="auto"/>
              <w:jc w:val="left"/>
            </w:pPr>
            <w:r>
              <w:rPr>
                <w:sz w:val="17"/>
              </w:rPr>
              <w:t xml:space="preserve">Impôt foncier</w:t>
            </w:r>
          </w:p>
        </w:tc>
        <w:tc>
          <w:tcPr>
            <w:shd w:val="clear" w:color="auto" w:fill="F2F9F8"/>
          </w:tcPr>
          <w:p>
            <w:pPr>
              <w:pStyle w:val="Compact"/>
              <w:spacing w:after="20" w:before="20" w:line="240" w:lineRule="auto"/>
              <w:jc w:val="left"/>
            </w:pPr>
            <w:r>
              <w:rPr>
                <w:sz w:val="17"/>
              </w:rPr>
              <w:t xml:space="preserve">1 200 000</w:t>
            </w:r>
            <w:r>
              <w:rPr>
                <w:sz w:val="17"/>
              </w:rPr>
              <w:t xml:space="preserve"> </w:t>
            </w:r>
            <w:r>
              <w:rPr>
                <w:sz w:val="17"/>
              </w:rPr>
              <w:t xml:space="preserve">parcelles</w:t>
            </w:r>
          </w:p>
        </w:tc>
        <w:tc>
          <w:tcPr>
            <w:shd w:val="clear" w:color="auto" w:fill="F2F9F8"/>
          </w:tcPr>
          <w:p>
            <w:pPr>
              <w:pStyle w:val="Compact"/>
              <w:spacing w:after="20" w:before="20" w:line="240" w:lineRule="auto"/>
              <w:jc w:val="left"/>
            </w:pPr>
            <w:r>
              <w:rPr>
                <w:sz w:val="17"/>
              </w:rPr>
              <w:t xml:space="preserve">40 USD</w:t>
            </w:r>
          </w:p>
        </w:tc>
        <w:tc>
          <w:tcPr>
            <w:shd w:val="clear" w:color="auto" w:fill="F2F9F8"/>
          </w:tcPr>
          <w:p>
            <w:pPr>
              <w:pStyle w:val="Compact"/>
              <w:spacing w:after="20" w:before="20" w:line="240" w:lineRule="auto"/>
              <w:jc w:val="left"/>
            </w:pPr>
            <w:r>
              <w:rPr>
                <w:sz w:val="17"/>
              </w:rPr>
              <w:t xml:space="preserve">15 % → 50 %</w:t>
            </w:r>
          </w:p>
        </w:tc>
        <w:tc>
          <w:tcPr>
            <w:shd w:val="clear" w:color="auto" w:fill="F2F9F8"/>
          </w:tcPr>
          <w:p>
            <w:pPr>
              <w:pStyle w:val="Compact"/>
              <w:spacing w:after="20" w:before="20" w:line="240" w:lineRule="auto"/>
              <w:jc w:val="left"/>
            </w:pPr>
            <w:r>
              <w:rPr>
                <w:sz w:val="17"/>
              </w:rPr>
              <w:t xml:space="preserve">≈ 17 M USD</w:t>
            </w:r>
          </w:p>
        </w:tc>
      </w:tr>
      <w:tr>
        <w:tc>
          <w:tcPr/>
          <w:p>
            <w:pPr>
              <w:pStyle w:val="Compact"/>
              <w:spacing w:after="20" w:before="20" w:line="240" w:lineRule="auto"/>
              <w:jc w:val="left"/>
            </w:pPr>
            <w:r>
              <w:rPr>
                <w:sz w:val="17"/>
              </w:rPr>
              <w:t xml:space="preserve">Véhicules et</w:t>
            </w:r>
            <w:r>
              <w:rPr>
                <w:sz w:val="17"/>
              </w:rPr>
              <w:t xml:space="preserve"> </w:t>
            </w:r>
            <w:r>
              <w:rPr>
                <w:sz w:val="17"/>
              </w:rPr>
              <w:t xml:space="preserve">circulation</w:t>
            </w:r>
          </w:p>
        </w:tc>
        <w:tc>
          <w:tcPr/>
          <w:p>
            <w:pPr>
              <w:pStyle w:val="Compact"/>
              <w:spacing w:after="20" w:before="20" w:line="240" w:lineRule="auto"/>
              <w:jc w:val="left"/>
            </w:pPr>
            <w:r>
              <w:rPr>
                <w:sz w:val="17"/>
              </w:rPr>
              <w:t xml:space="preserve">600 000</w:t>
            </w:r>
            <w:r>
              <w:rPr>
                <w:sz w:val="17"/>
              </w:rPr>
              <w:t xml:space="preserve"> </w:t>
            </w:r>
            <w:r>
              <w:rPr>
                <w:sz w:val="17"/>
              </w:rPr>
              <w:t xml:space="preserve">véhicules</w:t>
            </w:r>
          </w:p>
        </w:tc>
        <w:tc>
          <w:tcPr/>
          <w:p>
            <w:pPr>
              <w:pStyle w:val="Compact"/>
              <w:spacing w:after="20" w:before="20" w:line="240" w:lineRule="auto"/>
              <w:jc w:val="left"/>
            </w:pPr>
            <w:r>
              <w:rPr>
                <w:sz w:val="17"/>
              </w:rPr>
              <w:t xml:space="preserve">60 USD</w:t>
            </w:r>
          </w:p>
        </w:tc>
        <w:tc>
          <w:tcPr/>
          <w:p>
            <w:pPr>
              <w:pStyle w:val="Compact"/>
              <w:spacing w:after="20" w:before="20" w:line="240" w:lineRule="auto"/>
              <w:jc w:val="left"/>
            </w:pPr>
            <w:r>
              <w:rPr>
                <w:sz w:val="17"/>
              </w:rPr>
              <w:t xml:space="preserve">35 % → 70 %</w:t>
            </w:r>
          </w:p>
        </w:tc>
        <w:tc>
          <w:tcPr/>
          <w:p>
            <w:pPr>
              <w:pStyle w:val="Compact"/>
              <w:spacing w:after="20" w:before="20" w:line="240" w:lineRule="auto"/>
              <w:jc w:val="left"/>
            </w:pPr>
            <w:r>
              <w:rPr>
                <w:sz w:val="17"/>
              </w:rPr>
              <w:t xml:space="preserve">≈ 13 M USD</w:t>
            </w:r>
          </w:p>
        </w:tc>
      </w:tr>
      <w:tr>
        <w:tc>
          <w:tcPr>
            <w:shd w:val="clear" w:color="auto" w:fill="F2F9F8"/>
          </w:tcPr>
          <w:p>
            <w:pPr>
              <w:pStyle w:val="Compact"/>
              <w:spacing w:after="20" w:before="20" w:line="240" w:lineRule="auto"/>
              <w:jc w:val="left"/>
            </w:pPr>
            <w:r>
              <w:rPr>
                <w:sz w:val="17"/>
              </w:rPr>
              <w:t xml:space="preserve">Patente et</w:t>
            </w:r>
            <w:r>
              <w:rPr>
                <w:sz w:val="17"/>
              </w:rPr>
              <w:t xml:space="preserve"> </w:t>
            </w:r>
            <w:r>
              <w:rPr>
                <w:sz w:val="17"/>
              </w:rPr>
              <w:t xml:space="preserve">débits de</w:t>
            </w:r>
            <w:r>
              <w:rPr>
                <w:sz w:val="17"/>
              </w:rPr>
              <w:t xml:space="preserve"> </w:t>
            </w:r>
            <w:r>
              <w:rPr>
                <w:sz w:val="17"/>
              </w:rPr>
              <w:t xml:space="preserve">boissons</w:t>
            </w:r>
          </w:p>
        </w:tc>
        <w:tc>
          <w:tcPr>
            <w:shd w:val="clear" w:color="auto" w:fill="F2F9F8"/>
          </w:tcPr>
          <w:p>
            <w:pPr>
              <w:pStyle w:val="Compact"/>
              <w:spacing w:after="20" w:before="20" w:line="240" w:lineRule="auto"/>
              <w:jc w:val="left"/>
            </w:pPr>
            <w:r>
              <w:rPr>
                <w:sz w:val="17"/>
              </w:rPr>
              <w:t xml:space="preserve">400 000</w:t>
            </w:r>
            <w:r>
              <w:rPr>
                <w:sz w:val="17"/>
              </w:rPr>
              <w:t xml:space="preserve"> </w:t>
            </w:r>
            <w:r>
              <w:rPr>
                <w:sz w:val="17"/>
              </w:rPr>
              <w:t xml:space="preserve">établissements</w:t>
            </w:r>
          </w:p>
        </w:tc>
        <w:tc>
          <w:tcPr>
            <w:shd w:val="clear" w:color="auto" w:fill="F2F9F8"/>
          </w:tcPr>
          <w:p>
            <w:pPr>
              <w:pStyle w:val="Compact"/>
              <w:spacing w:after="20" w:before="20" w:line="240" w:lineRule="auto"/>
              <w:jc w:val="left"/>
            </w:pPr>
            <w:r>
              <w:rPr>
                <w:sz w:val="17"/>
              </w:rPr>
              <w:t xml:space="preserve">50 USD</w:t>
            </w:r>
          </w:p>
        </w:tc>
        <w:tc>
          <w:tcPr>
            <w:shd w:val="clear" w:color="auto" w:fill="F2F9F8"/>
          </w:tcPr>
          <w:p>
            <w:pPr>
              <w:pStyle w:val="Compact"/>
              <w:spacing w:after="20" w:before="20" w:line="240" w:lineRule="auto"/>
              <w:jc w:val="left"/>
            </w:pPr>
            <w:r>
              <w:rPr>
                <w:sz w:val="17"/>
              </w:rPr>
              <w:t xml:space="preserve">10 % → 40 %</w:t>
            </w:r>
          </w:p>
        </w:tc>
        <w:tc>
          <w:tcPr>
            <w:shd w:val="clear" w:color="auto" w:fill="F2F9F8"/>
          </w:tcPr>
          <w:p>
            <w:pPr>
              <w:pStyle w:val="Compact"/>
              <w:spacing w:after="20" w:before="20" w:line="240" w:lineRule="auto"/>
              <w:jc w:val="left"/>
            </w:pPr>
            <w:r>
              <w:rPr>
                <w:sz w:val="17"/>
              </w:rPr>
              <w:t xml:space="preserve">≈ 6 M USD</w:t>
            </w:r>
          </w:p>
        </w:tc>
      </w:tr>
      <w:tr>
        <w:tc>
          <w:tcPr/>
          <w:p>
            <w:pPr>
              <w:pStyle w:val="Compact"/>
              <w:spacing w:after="20" w:before="20" w:line="240" w:lineRule="auto"/>
              <w:jc w:val="left"/>
            </w:pPr>
            <w:r>
              <w:rPr>
                <w:sz w:val="17"/>
              </w:rPr>
              <w:t xml:space="preserve">Publicité et</w:t>
            </w:r>
            <w:r>
              <w:rPr>
                <w:sz w:val="17"/>
              </w:rPr>
              <w:t xml:space="preserve"> </w:t>
            </w:r>
            <w:r>
              <w:rPr>
                <w:sz w:val="17"/>
              </w:rPr>
              <w:t xml:space="preserve">antennes</w:t>
            </w:r>
          </w:p>
        </w:tc>
        <w:tc>
          <w:tcPr/>
          <w:p>
            <w:pPr>
              <w:pStyle w:val="Compact"/>
              <w:spacing w:after="20" w:before="20" w:line="240" w:lineRule="auto"/>
              <w:jc w:val="left"/>
            </w:pPr>
            <w:r>
              <w:rPr>
                <w:sz w:val="17"/>
              </w:rPr>
              <w:t xml:space="preserve">15 000 objets</w:t>
            </w:r>
          </w:p>
        </w:tc>
        <w:tc>
          <w:tcPr/>
          <w:p>
            <w:pPr>
              <w:pStyle w:val="Compact"/>
              <w:spacing w:after="20" w:before="20" w:line="240" w:lineRule="auto"/>
              <w:jc w:val="left"/>
            </w:pPr>
            <w:r>
              <w:rPr>
                <w:sz w:val="17"/>
              </w:rPr>
              <w:t xml:space="preserve">900 USD</w:t>
            </w:r>
          </w:p>
        </w:tc>
        <w:tc>
          <w:tcPr/>
          <w:p>
            <w:pPr>
              <w:pStyle w:val="Compact"/>
              <w:spacing w:after="20" w:before="20" w:line="240" w:lineRule="auto"/>
              <w:jc w:val="left"/>
            </w:pPr>
            <w:r>
              <w:rPr>
                <w:sz w:val="17"/>
              </w:rPr>
              <w:t xml:space="preserve">30 % → 80 %</w:t>
            </w:r>
          </w:p>
        </w:tc>
        <w:tc>
          <w:tcPr/>
          <w:p>
            <w:pPr>
              <w:pStyle w:val="Compact"/>
              <w:spacing w:after="20" w:before="20" w:line="240" w:lineRule="auto"/>
              <w:jc w:val="left"/>
            </w:pPr>
            <w:r>
              <w:rPr>
                <w:sz w:val="17"/>
              </w:rPr>
              <w:t xml:space="preserve">≈ 7 M USD</w:t>
            </w:r>
          </w:p>
        </w:tc>
      </w:tr>
    </w:tbl>
    <w:p>
      <w:pPr>
        <w:pStyle w:val="BlockText"/>
      </w:pPr>
      <w:r>
        <w:rPr>
          <w:b/>
          <w:bCs/>
        </w:rPr>
        <w:t xml:space="preserve">Avertissement méthodologique.</w:t>
      </w:r>
      <w:r>
        <w:t xml:space="preserve"> </w:t>
      </w:r>
      <w:r>
        <w:t xml:space="preserve">Les valeurs du tableau ci-dessus</w:t>
      </w:r>
      <w:r>
        <w:t xml:space="preserve"> </w:t>
      </w:r>
      <w:r>
        <w:t xml:space="preserve">sont des hypothèses de travail destinées à illustrer la mécanique de</w:t>
      </w:r>
      <w:r>
        <w:t xml:space="preserve"> </w:t>
      </w:r>
      <w:r>
        <w:t xml:space="preserve">calcul. Elles ne constituent ni une prévision, ni un engagement. Elles</w:t>
      </w:r>
      <w:r>
        <w:t xml:space="preserve"> </w:t>
      </w:r>
      <w:r>
        <w:t xml:space="preserve">doivent être remplacées par les comptages du recensement pilote et par</w:t>
      </w:r>
      <w:r>
        <w:t xml:space="preserve"> </w:t>
      </w:r>
      <w:r>
        <w:t xml:space="preserve">les tarifs officiels des arrêtés en vigueur avant toute présentation</w:t>
      </w:r>
      <w:r>
        <w:t xml:space="preserve"> </w:t>
      </w:r>
      <w:r>
        <w:t xml:space="preserve">budgétaire.</w:t>
      </w:r>
    </w:p>
    <w:bookmarkEnd w:id="285"/>
    <w:bookmarkStart w:id="286" w:name="scénarios"/>
    <w:p>
      <w:pPr>
        <w:pStyle w:val="Heading2"/>
      </w:pPr>
      <w:r>
        <w:t xml:space="preserve">38.4 Scénarios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08"/>
        <w:gridCol w:w="2385"/>
        <w:gridCol w:w="1717"/>
        <w:gridCol w:w="1717"/>
      </w:tblGrid>
      <w:tr>
        <w:trPr>
          <w:tblHeader w:val="true"/>
          <w:tblHeader/>
        </w:trPr>
        <w:tc>
          <w:tcPr>
            <w:shd w:val="clear" w:color="auto" w:fill="1BA996"/>
          </w:tcPr>
          <w:p>
            <w:pPr>
              <w:pStyle w:val="Compact"/>
              <w:spacing w:after="20" w:before="20" w:line="240" w:lineRule="auto"/>
              <w:jc w:val="left"/>
            </w:pPr>
            <w:r>
              <w:rPr>
                <w:b/>
                <w:bCs/>
                <w:color w:val="FFFFFF"/>
                <w:sz w:val="17"/>
              </w:rPr>
              <w:t xml:space="preserve">Scénario</w:t>
            </w:r>
          </w:p>
        </w:tc>
        <w:tc>
          <w:tcPr>
            <w:shd w:val="clear" w:color="auto" w:fill="1BA996"/>
          </w:tcPr>
          <w:p>
            <w:pPr>
              <w:pStyle w:val="Compact"/>
              <w:spacing w:after="20" w:before="20" w:line="240" w:lineRule="auto"/>
              <w:jc w:val="left"/>
            </w:pPr>
            <w:r>
              <w:rPr>
                <w:b/>
                <w:bCs/>
                <w:color w:val="FFFFFF"/>
                <w:sz w:val="17"/>
              </w:rPr>
              <w:t xml:space="preserve">Hypothèse de</w:t>
            </w:r>
            <w:r>
              <w:rPr>
                <w:b/>
                <w:bCs/>
                <w:color w:val="FFFFFF"/>
                <w:sz w:val="17"/>
              </w:rPr>
              <w:t xml:space="preserve"> </w:t>
            </w:r>
            <w:r>
              <w:rPr>
                <w:b/>
                <w:bCs/>
                <w:color w:val="FFFFFF"/>
                <w:sz w:val="17"/>
              </w:rPr>
              <w:t xml:space="preserve">conformité</w:t>
            </w:r>
          </w:p>
        </w:tc>
        <w:tc>
          <w:tcPr>
            <w:shd w:val="clear" w:color="auto" w:fill="1BA996"/>
          </w:tcPr>
          <w:p>
            <w:pPr>
              <w:pStyle w:val="Compact"/>
              <w:spacing w:after="20" w:before="20" w:line="240" w:lineRule="auto"/>
              <w:jc w:val="left"/>
            </w:pPr>
            <w:r>
              <w:rPr>
                <w:b/>
                <w:bCs/>
                <w:color w:val="FFFFFF"/>
                <w:sz w:val="17"/>
              </w:rPr>
              <w:t xml:space="preserve">Coût</w:t>
            </w:r>
          </w:p>
        </w:tc>
        <w:tc>
          <w:tcPr>
            <w:shd w:val="clear" w:color="auto" w:fill="1BA996"/>
          </w:tcPr>
          <w:p>
            <w:pPr>
              <w:pStyle w:val="Compact"/>
              <w:spacing w:after="20" w:before="20" w:line="240" w:lineRule="auto"/>
              <w:jc w:val="left"/>
            </w:pPr>
            <w:r>
              <w:rPr>
                <w:b/>
                <w:bCs/>
                <w:color w:val="FFFFFF"/>
                <w:sz w:val="17"/>
              </w:rPr>
              <w:t xml:space="preserve">Lecture</w:t>
            </w:r>
          </w:p>
        </w:tc>
      </w:tr>
      <w:tr>
        <w:tc>
          <w:tcPr/>
          <w:p>
            <w:pPr>
              <w:pStyle w:val="Compact"/>
              <w:spacing w:after="20" w:before="20" w:line="240" w:lineRule="auto"/>
              <w:jc w:val="left"/>
            </w:pPr>
            <w:r>
              <w:rPr>
                <w:sz w:val="17"/>
              </w:rPr>
              <w:t xml:space="preserve">Prudent</w:t>
            </w:r>
          </w:p>
        </w:tc>
        <w:tc>
          <w:tcPr/>
          <w:p>
            <w:pPr>
              <w:pStyle w:val="Compact"/>
              <w:spacing w:after="20" w:before="20" w:line="240" w:lineRule="auto"/>
              <w:jc w:val="left"/>
            </w:pPr>
            <w:r>
              <w:rPr>
                <w:sz w:val="17"/>
              </w:rPr>
              <w:t xml:space="preserve">Progression lente,</w:t>
            </w:r>
            <w:r>
              <w:rPr>
                <w:sz w:val="17"/>
              </w:rPr>
              <w:t xml:space="preserve"> </w:t>
            </w:r>
            <w:r>
              <w:rPr>
                <w:sz w:val="17"/>
              </w:rPr>
              <w:t xml:space="preserve">résistance forte,</w:t>
            </w:r>
            <w:r>
              <w:rPr>
                <w:sz w:val="17"/>
              </w:rPr>
              <w:t xml:space="preserve"> </w:t>
            </w:r>
            <w:r>
              <w:rPr>
                <w:sz w:val="17"/>
              </w:rPr>
              <w:t xml:space="preserve">extension limitée</w:t>
            </w:r>
          </w:p>
        </w:tc>
        <w:tc>
          <w:tcPr/>
          <w:p>
            <w:pPr>
              <w:pStyle w:val="Compact"/>
              <w:spacing w:after="20" w:before="20" w:line="240" w:lineRule="auto"/>
              <w:jc w:val="left"/>
            </w:pPr>
            <w:r>
              <w:rPr>
                <w:sz w:val="17"/>
              </w:rPr>
              <w:t xml:space="preserve">Investissement</w:t>
            </w:r>
            <w:r>
              <w:rPr>
                <w:sz w:val="17"/>
              </w:rPr>
              <w:t xml:space="preserve"> </w:t>
            </w:r>
            <w:r>
              <w:rPr>
                <w:sz w:val="17"/>
              </w:rPr>
              <w:t xml:space="preserve">complet, gains</w:t>
            </w:r>
            <w:r>
              <w:rPr>
                <w:sz w:val="17"/>
              </w:rPr>
              <w:t xml:space="preserve"> </w:t>
            </w:r>
            <w:r>
              <w:rPr>
                <w:sz w:val="17"/>
              </w:rPr>
              <w:t xml:space="preserve">différés</w:t>
            </w:r>
          </w:p>
        </w:tc>
        <w:tc>
          <w:tcPr/>
          <w:p>
            <w:pPr>
              <w:pStyle w:val="Compact"/>
              <w:spacing w:after="20" w:before="20" w:line="240" w:lineRule="auto"/>
              <w:jc w:val="left"/>
            </w:pPr>
            <w:r>
              <w:rPr>
                <w:sz w:val="17"/>
              </w:rPr>
              <w:t xml:space="preserve">Retour sur</w:t>
            </w:r>
            <w:r>
              <w:rPr>
                <w:sz w:val="17"/>
              </w:rPr>
              <w:t xml:space="preserve"> </w:t>
            </w:r>
            <w:r>
              <w:rPr>
                <w:sz w:val="17"/>
              </w:rPr>
              <w:t xml:space="preserve">investissement</w:t>
            </w:r>
            <w:r>
              <w:rPr>
                <w:sz w:val="17"/>
              </w:rPr>
              <w:t xml:space="preserve"> </w:t>
            </w:r>
            <w:r>
              <w:rPr>
                <w:sz w:val="17"/>
              </w:rPr>
              <w:t xml:space="preserve">au-delà de 24</w:t>
            </w:r>
            <w:r>
              <w:rPr>
                <w:sz w:val="17"/>
              </w:rPr>
              <w:t xml:space="preserve"> </w:t>
            </w:r>
            <w:r>
              <w:rPr>
                <w:sz w:val="17"/>
              </w:rPr>
              <w:t xml:space="preserve">mois</w:t>
            </w:r>
          </w:p>
        </w:tc>
      </w:tr>
      <w:tr>
        <w:tc>
          <w:tcPr>
            <w:shd w:val="clear" w:color="auto" w:fill="F2F9F8"/>
          </w:tcPr>
          <w:p>
            <w:pPr>
              <w:pStyle w:val="Compact"/>
              <w:spacing w:after="20" w:before="20" w:line="240" w:lineRule="auto"/>
              <w:jc w:val="left"/>
            </w:pPr>
            <w:r>
              <w:rPr>
                <w:sz w:val="17"/>
              </w:rPr>
              <w:t xml:space="preserve">Attendu</w:t>
            </w:r>
          </w:p>
        </w:tc>
        <w:tc>
          <w:tcPr>
            <w:shd w:val="clear" w:color="auto" w:fill="F2F9F8"/>
          </w:tcPr>
          <w:p>
            <w:pPr>
              <w:pStyle w:val="Compact"/>
              <w:spacing w:after="20" w:before="20" w:line="240" w:lineRule="auto"/>
              <w:jc w:val="left"/>
            </w:pPr>
            <w:r>
              <w:rPr>
                <w:sz w:val="17"/>
              </w:rPr>
              <w:t xml:space="preserve">Pilote réussi, extension</w:t>
            </w:r>
            <w:r>
              <w:rPr>
                <w:sz w:val="17"/>
              </w:rPr>
              <w:t xml:space="preserve"> </w:t>
            </w:r>
            <w:r>
              <w:rPr>
                <w:sz w:val="17"/>
              </w:rPr>
              <w:t xml:space="preserve">régulière, protocoles de</w:t>
            </w:r>
            <w:r>
              <w:rPr>
                <w:sz w:val="17"/>
              </w:rPr>
              <w:t xml:space="preserve"> </w:t>
            </w:r>
            <w:r>
              <w:rPr>
                <w:sz w:val="17"/>
              </w:rPr>
              <w:t xml:space="preserve">données obtenus</w:t>
            </w:r>
          </w:p>
        </w:tc>
        <w:tc>
          <w:tcPr>
            <w:shd w:val="clear" w:color="auto" w:fill="F2F9F8"/>
          </w:tcPr>
          <w:p>
            <w:pPr>
              <w:pStyle w:val="Compact"/>
              <w:spacing w:after="20" w:before="20" w:line="240" w:lineRule="auto"/>
              <w:jc w:val="left"/>
            </w:pPr>
            <w:r>
              <w:rPr>
                <w:sz w:val="17"/>
              </w:rPr>
              <w:t xml:space="preserve">Investissement</w:t>
            </w:r>
            <w:r>
              <w:rPr>
                <w:sz w:val="17"/>
              </w:rPr>
              <w:t xml:space="preserve"> </w:t>
            </w:r>
            <w:r>
              <w:rPr>
                <w:sz w:val="17"/>
              </w:rPr>
              <w:t xml:space="preserve">complet, gains</w:t>
            </w:r>
            <w:r>
              <w:rPr>
                <w:sz w:val="17"/>
              </w:rPr>
              <w:t xml:space="preserve"> </w:t>
            </w:r>
            <w:r>
              <w:rPr>
                <w:sz w:val="17"/>
              </w:rPr>
              <w:t xml:space="preserve">progressifs</w:t>
            </w:r>
          </w:p>
        </w:tc>
        <w:tc>
          <w:tcPr>
            <w:shd w:val="clear" w:color="auto" w:fill="F2F9F8"/>
          </w:tcPr>
          <w:p>
            <w:pPr>
              <w:pStyle w:val="Compact"/>
              <w:spacing w:after="20" w:before="20" w:line="240" w:lineRule="auto"/>
              <w:jc w:val="left"/>
            </w:pPr>
            <w:r>
              <w:rPr>
                <w:sz w:val="17"/>
              </w:rPr>
              <w:t xml:space="preserve">Retour sur</w:t>
            </w:r>
            <w:r>
              <w:rPr>
                <w:sz w:val="17"/>
              </w:rPr>
              <w:t xml:space="preserve"> </w:t>
            </w:r>
            <w:r>
              <w:rPr>
                <w:sz w:val="17"/>
              </w:rPr>
              <w:t xml:space="preserve">investissement</w:t>
            </w:r>
            <w:r>
              <w:rPr>
                <w:sz w:val="17"/>
              </w:rPr>
              <w:t xml:space="preserve"> </w:t>
            </w:r>
            <w:r>
              <w:rPr>
                <w:sz w:val="17"/>
              </w:rPr>
              <w:t xml:space="preserve">attendu entre 12</w:t>
            </w:r>
            <w:r>
              <w:rPr>
                <w:sz w:val="17"/>
              </w:rPr>
              <w:t xml:space="preserve"> </w:t>
            </w:r>
            <w:r>
              <w:rPr>
                <w:sz w:val="17"/>
              </w:rPr>
              <w:t xml:space="preserve">et 24 mois</w:t>
            </w:r>
          </w:p>
        </w:tc>
      </w:tr>
      <w:tr>
        <w:tc>
          <w:tcPr/>
          <w:p>
            <w:pPr>
              <w:pStyle w:val="Compact"/>
              <w:spacing w:after="20" w:before="20" w:line="240" w:lineRule="auto"/>
              <w:jc w:val="left"/>
            </w:pPr>
            <w:r>
              <w:rPr>
                <w:sz w:val="17"/>
              </w:rPr>
              <w:t xml:space="preserve">Transformationnel</w:t>
            </w:r>
          </w:p>
        </w:tc>
        <w:tc>
          <w:tcPr/>
          <w:p>
            <w:pPr>
              <w:pStyle w:val="Compact"/>
              <w:spacing w:after="20" w:before="20" w:line="240" w:lineRule="auto"/>
              <w:jc w:val="left"/>
            </w:pPr>
            <w:r>
              <w:rPr>
                <w:sz w:val="17"/>
              </w:rPr>
              <w:t xml:space="preserve">Quitus généralisé,</w:t>
            </w:r>
            <w:r>
              <w:rPr>
                <w:sz w:val="17"/>
              </w:rPr>
              <w:t xml:space="preserve"> </w:t>
            </w:r>
            <w:r>
              <w:rPr>
                <w:sz w:val="17"/>
              </w:rPr>
              <w:t xml:space="preserve">grands redevables</w:t>
            </w:r>
            <w:r>
              <w:rPr>
                <w:sz w:val="17"/>
              </w:rPr>
              <w:t xml:space="preserve"> </w:t>
            </w:r>
            <w:r>
              <w:rPr>
                <w:sz w:val="17"/>
              </w:rPr>
              <w:t xml:space="preserve">fiabilisés, arriérés</w:t>
            </w:r>
            <w:r>
              <w:rPr>
                <w:sz w:val="17"/>
              </w:rPr>
              <w:t xml:space="preserve"> </w:t>
            </w:r>
            <w:r>
              <w:rPr>
                <w:sz w:val="17"/>
              </w:rPr>
              <w:t xml:space="preserve">recouvrés</w:t>
            </w:r>
          </w:p>
        </w:tc>
        <w:tc>
          <w:tcPr/>
          <w:p>
            <w:pPr>
              <w:pStyle w:val="Compact"/>
              <w:spacing w:after="20" w:before="20" w:line="240" w:lineRule="auto"/>
              <w:jc w:val="left"/>
            </w:pPr>
            <w:r>
              <w:rPr>
                <w:sz w:val="17"/>
              </w:rPr>
              <w:t xml:space="preserve">Investissement</w:t>
            </w:r>
            <w:r>
              <w:rPr>
                <w:sz w:val="17"/>
              </w:rPr>
              <w:t xml:space="preserve"> </w:t>
            </w:r>
            <w:r>
              <w:rPr>
                <w:sz w:val="17"/>
              </w:rPr>
              <w:t xml:space="preserve">complet plus</w:t>
            </w:r>
            <w:r>
              <w:rPr>
                <w:sz w:val="17"/>
              </w:rPr>
              <w:t xml:space="preserve"> </w:t>
            </w:r>
            <w:r>
              <w:rPr>
                <w:sz w:val="17"/>
              </w:rPr>
              <w:t xml:space="preserve">campagnes</w:t>
            </w:r>
          </w:p>
        </w:tc>
        <w:tc>
          <w:tcPr/>
          <w:p>
            <w:pPr>
              <w:pStyle w:val="Compact"/>
              <w:spacing w:after="20" w:before="20" w:line="240" w:lineRule="auto"/>
              <w:jc w:val="left"/>
            </w:pPr>
            <w:r>
              <w:rPr>
                <w:sz w:val="17"/>
              </w:rPr>
              <w:t xml:space="preserve">Changement</w:t>
            </w:r>
            <w:r>
              <w:rPr>
                <w:sz w:val="17"/>
              </w:rPr>
              <w:t xml:space="preserve"> </w:t>
            </w:r>
            <w:r>
              <w:rPr>
                <w:sz w:val="17"/>
              </w:rPr>
              <w:t xml:space="preserve">d'échelle du</w:t>
            </w:r>
            <w:r>
              <w:rPr>
                <w:sz w:val="17"/>
              </w:rPr>
              <w:t xml:space="preserve"> </w:t>
            </w:r>
            <w:r>
              <w:rPr>
                <w:sz w:val="17"/>
              </w:rPr>
              <w:t xml:space="preserve">budget provincial</w:t>
            </w:r>
          </w:p>
        </w:tc>
      </w:tr>
    </w:tbl>
    <w:p>
      <w:pPr>
        <w:pStyle w:val="BodyText"/>
      </w:pPr>
      <w:r>
        <w:t xml:space="preserve">Chaque scénario est accompagné d'une analyse de sensibilité sur trois</w:t>
      </w:r>
      <w:r>
        <w:t xml:space="preserve"> </w:t>
      </w:r>
      <w:r>
        <w:t xml:space="preserve">variables : taux de conformité atteint, taux de change, et délai</w:t>
      </w:r>
      <w:r>
        <w:t xml:space="preserve"> </w:t>
      </w:r>
      <w:r>
        <w:t xml:space="preserve">d'obtention des protocoles de données.</w:t>
      </w:r>
    </w:p>
    <w:p>
      <w:pPr>
        <w:pStyle w:val="BodyText"/>
      </w:pPr>
      <w:r>
        <w:t xml:space="preserve">La base de référence est établie par recette, par commune, par canal et par période. Les scénarios sont construits uniquement à partir d’une base de référence réelle, sans promesse de multiplication arbitraire des recettes. Correspondance de vocabulaire : le scénario prudent correspond au scénario conservateur, le scénario transformationnel au scénario ambitieux.</w:t>
      </w:r>
    </w:p>
    <w:bookmarkEnd w:id="286"/>
    <w:bookmarkEnd w:id="287"/>
    <w:bookmarkStart w:id="294" w:name="indicateurs-de-performance"/>
    <w:p>
      <w:pPr>
        <w:pStyle w:val="Heading1"/>
      </w:pPr>
      <w:r>
        <w:t xml:space="preserve">39. Indicateurs de performance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006"/>
        <w:gridCol w:w="3379"/>
        <w:gridCol w:w="2323"/>
      </w:tblGrid>
      <w:tr>
        <w:trPr>
          <w:tblHeader w:val="true"/>
          <w:tblHeader/>
        </w:trPr>
        <w:tc>
          <w:tcPr>
            <w:shd w:val="clear" w:color="auto" w:fill="1BA996"/>
          </w:tcPr>
          <w:p>
            <w:pPr>
              <w:pStyle w:val="Compact"/>
              <w:spacing w:after="20" w:before="20" w:line="240" w:lineRule="auto"/>
              <w:jc w:val="left"/>
            </w:pPr>
            <w:r>
              <w:rPr>
                <w:b/>
                <w:bCs/>
                <w:color w:val="FFFFFF"/>
                <w:sz w:val="17"/>
              </w:rPr>
              <w:t xml:space="preserve">Indicateur</w:t>
            </w:r>
          </w:p>
        </w:tc>
        <w:tc>
          <w:tcPr>
            <w:shd w:val="clear" w:color="auto" w:fill="1BA996"/>
          </w:tcPr>
          <w:p>
            <w:pPr>
              <w:pStyle w:val="Compact"/>
              <w:spacing w:after="20" w:before="20" w:line="240" w:lineRule="auto"/>
              <w:jc w:val="left"/>
            </w:pPr>
            <w:r>
              <w:rPr>
                <w:b/>
                <w:bCs/>
                <w:color w:val="FFFFFF"/>
                <w:sz w:val="17"/>
              </w:rPr>
              <w:t xml:space="preserve">Définition</w:t>
            </w:r>
          </w:p>
        </w:tc>
        <w:tc>
          <w:tcPr>
            <w:shd w:val="clear" w:color="auto" w:fill="1BA996"/>
          </w:tcPr>
          <w:p>
            <w:pPr>
              <w:pStyle w:val="Compact"/>
              <w:spacing w:after="20" w:before="20" w:line="240" w:lineRule="auto"/>
              <w:jc w:val="left"/>
            </w:pPr>
            <w:r>
              <w:rPr>
                <w:b/>
                <w:bCs/>
                <w:color w:val="FFFFFF"/>
                <w:sz w:val="17"/>
              </w:rPr>
              <w:t xml:space="preserve">Cible à 18 mois</w:t>
            </w:r>
          </w:p>
        </w:tc>
      </w:tr>
      <w:tr>
        <w:tc>
          <w:tcPr/>
          <w:p>
            <w:pPr>
              <w:pStyle w:val="Compact"/>
              <w:spacing w:after="20" w:before="20" w:line="240" w:lineRule="auto"/>
              <w:jc w:val="left"/>
            </w:pPr>
            <w:r>
              <w:rPr>
                <w:sz w:val="17"/>
              </w:rPr>
              <w:t xml:space="preserve">Taux de couverture</w:t>
            </w:r>
            <w:r>
              <w:rPr>
                <w:sz w:val="17"/>
              </w:rPr>
              <w:t xml:space="preserve"> </w:t>
            </w:r>
            <w:r>
              <w:rPr>
                <w:sz w:val="17"/>
              </w:rPr>
              <w:t xml:space="preserve">du recensement</w:t>
            </w:r>
          </w:p>
        </w:tc>
        <w:tc>
          <w:tcPr/>
          <w:p>
            <w:pPr>
              <w:pStyle w:val="Compact"/>
              <w:spacing w:after="20" w:before="20" w:line="240" w:lineRule="auto"/>
              <w:jc w:val="left"/>
            </w:pPr>
            <w:r>
              <w:rPr>
                <w:sz w:val="17"/>
              </w:rPr>
              <w:t xml:space="preserve">Objets enregistrés / objets</w:t>
            </w:r>
            <w:r>
              <w:rPr>
                <w:sz w:val="17"/>
              </w:rPr>
              <w:t xml:space="preserve"> </w:t>
            </w:r>
            <w:r>
              <w:rPr>
                <w:sz w:val="17"/>
              </w:rPr>
              <w:t xml:space="preserve">estimés, par commune et</w:t>
            </w:r>
            <w:r>
              <w:rPr>
                <w:sz w:val="17"/>
              </w:rPr>
              <w:t xml:space="preserve"> </w:t>
            </w:r>
            <w:r>
              <w:rPr>
                <w:sz w:val="17"/>
              </w:rPr>
              <w:t xml:space="preserve">catégorie</w:t>
            </w:r>
          </w:p>
        </w:tc>
        <w:tc>
          <w:tcPr/>
          <w:p>
            <w:pPr>
              <w:pStyle w:val="Compact"/>
              <w:spacing w:after="20" w:before="20" w:line="240" w:lineRule="auto"/>
              <w:jc w:val="left"/>
            </w:pPr>
            <w:r>
              <w:rPr>
                <w:sz w:val="17"/>
              </w:rPr>
              <w:t xml:space="preserve">Communes pilotes :</w:t>
            </w:r>
            <w:r>
              <w:rPr>
                <w:sz w:val="17"/>
              </w:rPr>
              <w:t xml:space="preserve"> </w:t>
            </w:r>
            <w:r>
              <w:rPr>
                <w:sz w:val="17"/>
              </w:rPr>
              <w:t xml:space="preserve">supérieur à 80 %</w:t>
            </w:r>
          </w:p>
        </w:tc>
      </w:tr>
      <w:tr>
        <w:tc>
          <w:tcPr>
            <w:shd w:val="clear" w:color="auto" w:fill="F2F9F8"/>
          </w:tcPr>
          <w:p>
            <w:pPr>
              <w:pStyle w:val="Compact"/>
              <w:spacing w:after="20" w:before="20" w:line="240" w:lineRule="auto"/>
              <w:jc w:val="left"/>
            </w:pPr>
            <w:r>
              <w:rPr>
                <w:sz w:val="17"/>
              </w:rPr>
              <w:t xml:space="preserve">Part électronique</w:t>
            </w:r>
            <w:r>
              <w:rPr>
                <w:sz w:val="17"/>
              </w:rPr>
              <w:t xml:space="preserve"> </w:t>
            </w:r>
            <w:r>
              <w:rPr>
                <w:sz w:val="17"/>
              </w:rPr>
              <w:t xml:space="preserve">des recettes</w:t>
            </w:r>
          </w:p>
        </w:tc>
        <w:tc>
          <w:tcPr>
            <w:shd w:val="clear" w:color="auto" w:fill="F2F9F8"/>
          </w:tcPr>
          <w:p>
            <w:pPr>
              <w:pStyle w:val="Compact"/>
              <w:spacing w:after="20" w:before="20" w:line="240" w:lineRule="auto"/>
              <w:jc w:val="left"/>
            </w:pPr>
            <w:r>
              <w:rPr>
                <w:sz w:val="17"/>
              </w:rPr>
              <w:t xml:space="preserve">Recettes encaissées par voie</w:t>
            </w:r>
            <w:r>
              <w:rPr>
                <w:sz w:val="17"/>
              </w:rPr>
              <w:t xml:space="preserve"> </w:t>
            </w:r>
            <w:r>
              <w:rPr>
                <w:sz w:val="17"/>
              </w:rPr>
              <w:t xml:space="preserve">électronique / total</w:t>
            </w:r>
          </w:p>
        </w:tc>
        <w:tc>
          <w:tcPr>
            <w:shd w:val="clear" w:color="auto" w:fill="F2F9F8"/>
          </w:tcPr>
          <w:p>
            <w:pPr>
              <w:pStyle w:val="Compact"/>
              <w:spacing w:after="20" w:before="20" w:line="240" w:lineRule="auto"/>
              <w:jc w:val="left"/>
            </w:pPr>
            <w:r>
              <w:rPr>
                <w:sz w:val="17"/>
              </w:rPr>
              <w:t xml:space="preserve">Supérieure à 90 % sur</w:t>
            </w:r>
            <w:r>
              <w:rPr>
                <w:sz w:val="17"/>
              </w:rPr>
              <w:t xml:space="preserve"> </w:t>
            </w:r>
            <w:r>
              <w:rPr>
                <w:sz w:val="17"/>
              </w:rPr>
              <w:t xml:space="preserve">le périmètre couvert</w:t>
            </w:r>
          </w:p>
        </w:tc>
      </w:tr>
      <w:tr>
        <w:tc>
          <w:tcPr/>
          <w:p>
            <w:pPr>
              <w:pStyle w:val="Compact"/>
              <w:spacing w:after="20" w:before="20" w:line="240" w:lineRule="auto"/>
              <w:jc w:val="left"/>
            </w:pPr>
            <w:r>
              <w:rPr>
                <w:sz w:val="17"/>
              </w:rPr>
              <w:t xml:space="preserve">Délai paiement →</w:t>
            </w:r>
            <w:r>
              <w:rPr>
                <w:sz w:val="17"/>
              </w:rPr>
              <w:t xml:space="preserve"> </w:t>
            </w:r>
            <w:r>
              <w:rPr>
                <w:sz w:val="17"/>
              </w:rPr>
              <w:t xml:space="preserve">quittance</w:t>
            </w:r>
          </w:p>
        </w:tc>
        <w:tc>
          <w:tcPr/>
          <w:p>
            <w:pPr>
              <w:pStyle w:val="Compact"/>
              <w:spacing w:after="20" w:before="20" w:line="240" w:lineRule="auto"/>
              <w:jc w:val="left"/>
            </w:pPr>
            <w:r>
              <w:rPr>
                <w:sz w:val="17"/>
              </w:rPr>
              <w:t xml:space="preserve">Médiane</w:t>
            </w:r>
          </w:p>
        </w:tc>
        <w:tc>
          <w:tcPr/>
          <w:p>
            <w:pPr>
              <w:pStyle w:val="Compact"/>
              <w:spacing w:after="20" w:before="20" w:line="240" w:lineRule="auto"/>
              <w:jc w:val="left"/>
            </w:pPr>
            <w:r>
              <w:rPr>
                <w:sz w:val="17"/>
              </w:rPr>
              <w:t xml:space="preserve">Inférieur à 60</w:t>
            </w:r>
            <w:r>
              <w:rPr>
                <w:sz w:val="17"/>
              </w:rPr>
              <w:t xml:space="preserve"> </w:t>
            </w:r>
            <w:r>
              <w:rPr>
                <w:sz w:val="17"/>
              </w:rPr>
              <w:t xml:space="preserve">secondes</w:t>
            </w:r>
          </w:p>
        </w:tc>
      </w:tr>
      <w:tr>
        <w:tc>
          <w:tcPr>
            <w:shd w:val="clear" w:color="auto" w:fill="F2F9F8"/>
          </w:tcPr>
          <w:p>
            <w:pPr>
              <w:pStyle w:val="Compact"/>
              <w:spacing w:after="20" w:before="20" w:line="240" w:lineRule="auto"/>
              <w:jc w:val="left"/>
            </w:pPr>
            <w:r>
              <w:rPr>
                <w:sz w:val="17"/>
              </w:rPr>
              <w:t xml:space="preserve">Délai paiement →</w:t>
            </w:r>
            <w:r>
              <w:rPr>
                <w:sz w:val="17"/>
              </w:rPr>
              <w:t xml:space="preserve"> </w:t>
            </w:r>
            <w:r>
              <w:rPr>
                <w:sz w:val="17"/>
              </w:rPr>
              <w:t xml:space="preserve">rapprochement</w:t>
            </w:r>
            <w:r>
              <w:rPr>
                <w:sz w:val="17"/>
              </w:rPr>
              <w:t xml:space="preserve"> </w:t>
            </w:r>
            <w:r>
              <w:rPr>
                <w:sz w:val="17"/>
              </w:rPr>
              <w:t xml:space="preserve">bancaire</w:t>
            </w:r>
          </w:p>
        </w:tc>
        <w:tc>
          <w:tcPr>
            <w:shd w:val="clear" w:color="auto" w:fill="F2F9F8"/>
          </w:tcPr>
          <w:p>
            <w:pPr>
              <w:pStyle w:val="Compact"/>
              <w:spacing w:after="20" w:before="20" w:line="240" w:lineRule="auto"/>
              <w:jc w:val="left"/>
            </w:pPr>
            <w:r>
              <w:rPr>
                <w:sz w:val="17"/>
              </w:rPr>
              <w:t xml:space="preserve">Médiane</w:t>
            </w:r>
          </w:p>
        </w:tc>
        <w:tc>
          <w:tcPr>
            <w:shd w:val="clear" w:color="auto" w:fill="F2F9F8"/>
          </w:tcPr>
          <w:p>
            <w:pPr>
              <w:pStyle w:val="Compact"/>
              <w:spacing w:after="20" w:before="20" w:line="240" w:lineRule="auto"/>
              <w:jc w:val="left"/>
            </w:pPr>
            <w:r>
              <w:rPr>
                <w:sz w:val="17"/>
              </w:rPr>
              <w:t xml:space="preserve">Inférieur à 24 heures</w:t>
            </w:r>
          </w:p>
        </w:tc>
      </w:tr>
      <w:tr>
        <w:tc>
          <w:tcPr/>
          <w:p>
            <w:pPr>
              <w:pStyle w:val="Compact"/>
              <w:spacing w:after="20" w:before="20" w:line="240" w:lineRule="auto"/>
              <w:jc w:val="left"/>
            </w:pPr>
            <w:r>
              <w:rPr>
                <w:sz w:val="17"/>
              </w:rPr>
              <w:t xml:space="preserve">Manipulations</w:t>
            </w:r>
            <w:r>
              <w:rPr>
                <w:sz w:val="17"/>
              </w:rPr>
              <w:t xml:space="preserve"> </w:t>
            </w:r>
            <w:r>
              <w:rPr>
                <w:sz w:val="17"/>
              </w:rPr>
              <w:t xml:space="preserve">d'espèces par les</w:t>
            </w:r>
            <w:r>
              <w:rPr>
                <w:sz w:val="17"/>
              </w:rPr>
              <w:t xml:space="preserve"> </w:t>
            </w:r>
            <w:r>
              <w:rPr>
                <w:sz w:val="17"/>
              </w:rPr>
              <w:t xml:space="preserve">agents</w:t>
            </w:r>
          </w:p>
        </w:tc>
        <w:tc>
          <w:tcPr/>
          <w:p>
            <w:pPr>
              <w:pStyle w:val="Compact"/>
              <w:spacing w:after="20" w:before="20" w:line="240" w:lineRule="auto"/>
              <w:jc w:val="left"/>
            </w:pPr>
            <w:r>
              <w:rPr>
                <w:sz w:val="17"/>
              </w:rPr>
              <w:t xml:space="preserve">Nombre d'encaissements agents</w:t>
            </w:r>
            <w:r>
              <w:rPr>
                <w:sz w:val="17"/>
              </w:rPr>
              <w:t xml:space="preserve"> </w:t>
            </w:r>
            <w:r>
              <w:rPr>
                <w:sz w:val="17"/>
              </w:rPr>
              <w:t xml:space="preserve">sur le périmètre</w:t>
            </w:r>
          </w:p>
        </w:tc>
        <w:tc>
          <w:tcPr/>
          <w:p>
            <w:pPr>
              <w:pStyle w:val="Compact"/>
              <w:spacing w:after="20" w:before="20" w:line="240" w:lineRule="auto"/>
              <w:jc w:val="left"/>
            </w:pPr>
            <w:r>
              <w:rPr>
                <w:sz w:val="17"/>
              </w:rPr>
              <w:t xml:space="preserve">Zéro</w:t>
            </w:r>
          </w:p>
        </w:tc>
      </w:tr>
      <w:tr>
        <w:tc>
          <w:tcPr>
            <w:shd w:val="clear" w:color="auto" w:fill="F2F9F8"/>
          </w:tcPr>
          <w:p>
            <w:pPr>
              <w:pStyle w:val="Compact"/>
              <w:spacing w:after="20" w:before="20" w:line="240" w:lineRule="auto"/>
              <w:jc w:val="left"/>
            </w:pPr>
            <w:r>
              <w:rPr>
                <w:sz w:val="17"/>
              </w:rPr>
              <w:t xml:space="preserve">Taux de</w:t>
            </w:r>
            <w:r>
              <w:rPr>
                <w:sz w:val="17"/>
              </w:rPr>
              <w:t xml:space="preserve"> </w:t>
            </w:r>
            <w:r>
              <w:rPr>
                <w:sz w:val="17"/>
              </w:rPr>
              <w:t xml:space="preserve">régularisation</w:t>
            </w:r>
            <w:r>
              <w:rPr>
                <w:sz w:val="17"/>
              </w:rPr>
              <w:t xml:space="preserve"> </w:t>
            </w:r>
            <w:r>
              <w:rPr>
                <w:sz w:val="17"/>
              </w:rPr>
              <w:t xml:space="preserve">après notification</w:t>
            </w:r>
          </w:p>
        </w:tc>
        <w:tc>
          <w:tcPr>
            <w:shd w:val="clear" w:color="auto" w:fill="F2F9F8"/>
          </w:tcPr>
          <w:p>
            <w:pPr>
              <w:pStyle w:val="Compact"/>
              <w:spacing w:after="20" w:before="20" w:line="240" w:lineRule="auto"/>
              <w:jc w:val="left"/>
            </w:pPr>
            <w:r>
              <w:rPr>
                <w:sz w:val="17"/>
              </w:rPr>
              <w:t xml:space="preserve">Objets notifiés payant dans le</w:t>
            </w:r>
            <w:r>
              <w:rPr>
                <w:sz w:val="17"/>
              </w:rPr>
              <w:t xml:space="preserve"> </w:t>
            </w:r>
            <w:r>
              <w:rPr>
                <w:sz w:val="17"/>
              </w:rPr>
              <w:t xml:space="preserve">délai légal</w:t>
            </w:r>
          </w:p>
        </w:tc>
        <w:tc>
          <w:tcPr>
            <w:shd w:val="clear" w:color="auto" w:fill="F2F9F8"/>
          </w:tcPr>
          <w:p>
            <w:pPr>
              <w:pStyle w:val="Compact"/>
              <w:spacing w:after="20" w:before="20" w:line="240" w:lineRule="auto"/>
              <w:jc w:val="left"/>
            </w:pPr>
            <w:r>
              <w:rPr>
                <w:sz w:val="17"/>
              </w:rPr>
              <w:t xml:space="preserve">Supérieur à 50 %</w:t>
            </w:r>
          </w:p>
        </w:tc>
      </w:tr>
      <w:tr>
        <w:tc>
          <w:tcPr/>
          <w:p>
            <w:pPr>
              <w:pStyle w:val="Compact"/>
              <w:spacing w:after="20" w:before="20" w:line="240" w:lineRule="auto"/>
              <w:jc w:val="left"/>
            </w:pPr>
            <w:r>
              <w:rPr>
                <w:sz w:val="17"/>
              </w:rPr>
              <w:t xml:space="preserve">Écart de</w:t>
            </w:r>
            <w:r>
              <w:rPr>
                <w:sz w:val="17"/>
              </w:rPr>
              <w:t xml:space="preserve"> </w:t>
            </w:r>
            <w:r>
              <w:rPr>
                <w:sz w:val="17"/>
              </w:rPr>
              <w:t xml:space="preserve">rapprochement</w:t>
            </w:r>
          </w:p>
        </w:tc>
        <w:tc>
          <w:tcPr/>
          <w:p>
            <w:pPr>
              <w:pStyle w:val="Compact"/>
              <w:spacing w:after="20" w:before="20" w:line="240" w:lineRule="auto"/>
              <w:jc w:val="left"/>
            </w:pPr>
            <w:r>
              <w:rPr>
                <w:sz w:val="17"/>
              </w:rPr>
              <w:t xml:space="preserve">Paiements sans appariement à</w:t>
            </w:r>
            <w:r>
              <w:rPr>
                <w:sz w:val="17"/>
              </w:rPr>
              <w:t xml:space="preserve"> </w:t>
            </w:r>
            <w:r>
              <w:rPr>
                <w:sz w:val="17"/>
              </w:rPr>
              <w:t xml:space="preserve">J+2</w:t>
            </w:r>
          </w:p>
        </w:tc>
        <w:tc>
          <w:tcPr/>
          <w:p>
            <w:pPr>
              <w:pStyle w:val="Compact"/>
              <w:spacing w:after="20" w:before="20" w:line="240" w:lineRule="auto"/>
              <w:jc w:val="left"/>
            </w:pPr>
            <w:r>
              <w:rPr>
                <w:sz w:val="17"/>
              </w:rPr>
              <w:t xml:space="preserve">Inférieur à 1 %</w:t>
            </w:r>
          </w:p>
        </w:tc>
      </w:tr>
      <w:tr>
        <w:tc>
          <w:tcPr>
            <w:shd w:val="clear" w:color="auto" w:fill="F2F9F8"/>
          </w:tcPr>
          <w:p>
            <w:pPr>
              <w:pStyle w:val="Compact"/>
              <w:spacing w:after="20" w:before="20" w:line="240" w:lineRule="auto"/>
              <w:jc w:val="left"/>
            </w:pPr>
            <w:r>
              <w:rPr>
                <w:sz w:val="17"/>
              </w:rPr>
              <w:t xml:space="preserve">Délai de</w:t>
            </w:r>
            <w:r>
              <w:rPr>
                <w:sz w:val="17"/>
              </w:rPr>
              <w:t xml:space="preserve"> </w:t>
            </w:r>
            <w:r>
              <w:rPr>
                <w:sz w:val="17"/>
              </w:rPr>
              <w:t xml:space="preserve">traitement des</w:t>
            </w:r>
            <w:r>
              <w:rPr>
                <w:sz w:val="17"/>
              </w:rPr>
              <w:t xml:space="preserve"> </w:t>
            </w:r>
            <w:r>
              <w:rPr>
                <w:sz w:val="17"/>
              </w:rPr>
              <w:t xml:space="preserve">recours</w:t>
            </w:r>
          </w:p>
        </w:tc>
        <w:tc>
          <w:tcPr>
            <w:shd w:val="clear" w:color="auto" w:fill="F2F9F8"/>
          </w:tcPr>
          <w:p>
            <w:pPr>
              <w:pStyle w:val="Compact"/>
              <w:spacing w:after="20" w:before="20" w:line="240" w:lineRule="auto"/>
              <w:jc w:val="left"/>
            </w:pPr>
            <w:r>
              <w:rPr>
                <w:sz w:val="17"/>
              </w:rPr>
              <w:t xml:space="preserve">Recours clos dans le délai</w:t>
            </w:r>
            <w:r>
              <w:rPr>
                <w:sz w:val="17"/>
              </w:rPr>
              <w:t xml:space="preserve"> </w:t>
            </w:r>
            <w:r>
              <w:rPr>
                <w:sz w:val="17"/>
              </w:rPr>
              <w:t xml:space="preserve">légal</w:t>
            </w:r>
          </w:p>
        </w:tc>
        <w:tc>
          <w:tcPr>
            <w:shd w:val="clear" w:color="auto" w:fill="F2F9F8"/>
          </w:tcPr>
          <w:p>
            <w:pPr>
              <w:pStyle w:val="Compact"/>
              <w:spacing w:after="20" w:before="20" w:line="240" w:lineRule="auto"/>
              <w:jc w:val="left"/>
            </w:pPr>
            <w:r>
              <w:rPr>
                <w:sz w:val="17"/>
              </w:rPr>
              <w:t xml:space="preserve">Supérieur à 90 %</w:t>
            </w:r>
          </w:p>
        </w:tc>
      </w:tr>
      <w:tr>
        <w:tc>
          <w:tcPr/>
          <w:p>
            <w:pPr>
              <w:pStyle w:val="Compact"/>
              <w:spacing w:after="20" w:before="20" w:line="240" w:lineRule="auto"/>
              <w:jc w:val="left"/>
            </w:pPr>
            <w:r>
              <w:rPr>
                <w:sz w:val="17"/>
              </w:rPr>
              <w:t xml:space="preserve">Baux enregistrés</w:t>
            </w:r>
          </w:p>
        </w:tc>
        <w:tc>
          <w:tcPr/>
          <w:p>
            <w:pPr>
              <w:pStyle w:val="Compact"/>
              <w:spacing w:after="20" w:before="20" w:line="240" w:lineRule="auto"/>
              <w:jc w:val="left"/>
            </w:pPr>
            <w:r>
              <w:rPr>
                <w:sz w:val="17"/>
              </w:rPr>
              <w:t xml:space="preserve">Nombre de baux actifs</w:t>
            </w:r>
            <w:r>
              <w:rPr>
                <w:sz w:val="17"/>
              </w:rPr>
              <w:t xml:space="preserve"> </w:t>
            </w:r>
            <w:r>
              <w:rPr>
                <w:sz w:val="17"/>
              </w:rPr>
              <w:t xml:space="preserve">enregistrés</w:t>
            </w:r>
          </w:p>
        </w:tc>
        <w:tc>
          <w:tcPr/>
          <w:p>
            <w:pPr>
              <w:pStyle w:val="Compact"/>
              <w:spacing w:after="20" w:before="20" w:line="240" w:lineRule="auto"/>
              <w:jc w:val="left"/>
            </w:pPr>
            <w:r>
              <w:rPr>
                <w:sz w:val="17"/>
              </w:rPr>
              <w:t xml:space="preserve">Croissance continue,</w:t>
            </w:r>
            <w:r>
              <w:rPr>
                <w:sz w:val="17"/>
              </w:rPr>
              <w:t xml:space="preserve"> </w:t>
            </w:r>
            <w:r>
              <w:rPr>
                <w:sz w:val="17"/>
              </w:rPr>
              <w:t xml:space="preserve">publiée mensuellement</w:t>
            </w:r>
          </w:p>
        </w:tc>
      </w:tr>
      <w:tr>
        <w:tc>
          <w:tcPr>
            <w:shd w:val="clear" w:color="auto" w:fill="F2F9F8"/>
          </w:tcPr>
          <w:p>
            <w:pPr>
              <w:pStyle w:val="Compact"/>
              <w:spacing w:after="20" w:before="20" w:line="240" w:lineRule="auto"/>
              <w:jc w:val="left"/>
            </w:pPr>
            <w:r>
              <w:rPr>
                <w:sz w:val="17"/>
              </w:rPr>
              <w:t xml:space="preserve">Coût de collecte</w:t>
            </w:r>
          </w:p>
        </w:tc>
        <w:tc>
          <w:tcPr>
            <w:shd w:val="clear" w:color="auto" w:fill="F2F9F8"/>
          </w:tcPr>
          <w:p>
            <w:pPr>
              <w:pStyle w:val="Compact"/>
              <w:spacing w:after="20" w:before="20" w:line="240" w:lineRule="auto"/>
              <w:jc w:val="left"/>
            </w:pPr>
            <w:r>
              <w:rPr>
                <w:sz w:val="17"/>
              </w:rPr>
              <w:t xml:space="preserve">Coût total de recouvrement /</w:t>
            </w:r>
            <w:r>
              <w:rPr>
                <w:sz w:val="17"/>
              </w:rPr>
              <w:t xml:space="preserve"> </w:t>
            </w:r>
            <w:r>
              <w:rPr>
                <w:sz w:val="17"/>
              </w:rPr>
              <w:t xml:space="preserve">recettes encaissées</w:t>
            </w:r>
          </w:p>
        </w:tc>
        <w:tc>
          <w:tcPr>
            <w:shd w:val="clear" w:color="auto" w:fill="F2F9F8"/>
          </w:tcPr>
          <w:p>
            <w:pPr>
              <w:pStyle w:val="Compact"/>
              <w:spacing w:after="20" w:before="20" w:line="240" w:lineRule="auto"/>
              <w:jc w:val="left"/>
            </w:pPr>
            <w:r>
              <w:rPr>
                <w:sz w:val="17"/>
              </w:rPr>
              <w:t xml:space="preserve">En baisse d'exercice</w:t>
            </w:r>
            <w:r>
              <w:rPr>
                <w:sz w:val="17"/>
              </w:rPr>
              <w:t xml:space="preserve"> </w:t>
            </w:r>
            <w:r>
              <w:rPr>
                <w:sz w:val="17"/>
              </w:rPr>
              <w:t xml:space="preserve">en exercice</w:t>
            </w:r>
          </w:p>
        </w:tc>
      </w:tr>
      <w:tr>
        <w:tc>
          <w:tcPr/>
          <w:p>
            <w:pPr>
              <w:pStyle w:val="Compact"/>
              <w:spacing w:after="20" w:before="20" w:line="240" w:lineRule="auto"/>
              <w:jc w:val="left"/>
            </w:pPr>
            <w:r>
              <w:rPr>
                <w:sz w:val="17"/>
              </w:rPr>
              <w:t xml:space="preserve">Satisfaction des</w:t>
            </w:r>
            <w:r>
              <w:rPr>
                <w:sz w:val="17"/>
              </w:rPr>
              <w:t xml:space="preserve"> </w:t>
            </w:r>
            <w:r>
              <w:rPr>
                <w:sz w:val="17"/>
              </w:rPr>
              <w:t xml:space="preserve">contribuables</w:t>
            </w:r>
          </w:p>
        </w:tc>
        <w:tc>
          <w:tcPr/>
          <w:p>
            <w:pPr>
              <w:pStyle w:val="Compact"/>
              <w:spacing w:after="20" w:before="20" w:line="240" w:lineRule="auto"/>
              <w:jc w:val="left"/>
            </w:pPr>
            <w:r>
              <w:rPr>
                <w:sz w:val="17"/>
              </w:rPr>
              <w:t xml:space="preserve">Enquête après paiement et après</w:t>
            </w:r>
            <w:r>
              <w:rPr>
                <w:sz w:val="17"/>
              </w:rPr>
              <w:t xml:space="preserve"> </w:t>
            </w:r>
            <w:r>
              <w:rPr>
                <w:sz w:val="17"/>
              </w:rPr>
              <w:t xml:space="preserve">visite</w:t>
            </w:r>
          </w:p>
        </w:tc>
        <w:tc>
          <w:tcPr/>
          <w:p>
            <w:pPr>
              <w:pStyle w:val="Compact"/>
              <w:spacing w:after="20" w:before="20" w:line="240" w:lineRule="auto"/>
              <w:jc w:val="left"/>
            </w:pPr>
            <w:r>
              <w:rPr>
                <w:sz w:val="17"/>
              </w:rPr>
              <w:t xml:space="preserve">Suivi publié, en</w:t>
            </w:r>
            <w:r>
              <w:rPr>
                <w:sz w:val="17"/>
              </w:rPr>
              <w:t xml:space="preserve"> </w:t>
            </w:r>
            <w:r>
              <w:rPr>
                <w:sz w:val="17"/>
              </w:rPr>
              <w:t xml:space="preserve">progression</w:t>
            </w:r>
          </w:p>
        </w:tc>
      </w:tr>
    </w:tbl>
    <w:bookmarkStart w:id="288" w:name="indicateurs-complémentaires"/>
    <w:p>
      <w:pPr>
        <w:pStyle w:val="Heading3"/>
      </w:pPr>
      <w:r>
        <w:t xml:space="preserve">Indicateurs complémentaires</w:t>
      </w:r>
    </w:p>
    <w:p>
      <w:pPr>
        <w:pStyle w:val="FirstParagraph"/>
      </w:pPr>
      <w:r>
        <w:t xml:space="preserve">Les cibles de ces indicateurs sont fixées après établissement de la base de référence.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Indicateur</w:t>
            </w:r>
          </w:p>
        </w:tc>
        <w:tc>
          <w:tcPr>
            <w:shd w:val="clear" w:color="auto" w:fill="1BA996"/>
          </w:tcPr>
          <w:p>
            <w:pPr>
              <w:pStyle w:val="Compact"/>
              <w:spacing w:after="20" w:before="20" w:line="240" w:lineRule="auto"/>
              <w:jc w:val="left"/>
            </w:pPr>
            <w:r>
              <w:rPr>
                <w:b/>
                <w:color w:val="FFFFFF"/>
                <w:sz w:val="17"/>
              </w:rPr>
              <w:t xml:space="preserve">Définition</w:t>
            </w:r>
          </w:p>
        </w:tc>
      </w:tr>
      <w:tr>
        <w:tc>
          <w:tcPr/>
          <w:p>
            <w:pPr>
              <w:pStyle w:val="Compact"/>
              <w:spacing w:after="20" w:before="20" w:line="240" w:lineRule="auto"/>
              <w:jc w:val="left"/>
            </w:pPr>
            <w:r>
              <w:rPr>
                <w:sz w:val="17"/>
              </w:rPr>
              <w:t xml:space="preserve">Couverture GIS</w:t>
            </w:r>
          </w:p>
        </w:tc>
        <w:tc>
          <w:tcPr/>
          <w:p>
            <w:pPr>
              <w:pStyle w:val="Compact"/>
              <w:spacing w:after="20" w:before="20" w:line="240" w:lineRule="auto"/>
              <w:jc w:val="left"/>
            </w:pPr>
            <w:r>
              <w:rPr>
                <w:sz w:val="17"/>
              </w:rPr>
              <w:t xml:space="preserve">Objets géolocalisés / objets enregistrés</w:t>
            </w:r>
          </w:p>
        </w:tc>
      </w:tr>
      <w:tr>
        <w:tc>
          <w:tcPr>
            <w:shd w:val="clear" w:color="auto" w:fill="F2F9F8"/>
          </w:tcPr>
          <w:p>
            <w:pPr>
              <w:pStyle w:val="Compact"/>
              <w:spacing w:after="20" w:before="20" w:line="240" w:lineRule="auto"/>
              <w:jc w:val="left"/>
            </w:pPr>
            <w:r>
              <w:rPr>
                <w:sz w:val="17"/>
              </w:rPr>
              <w:t xml:space="preserve">Règles juridiquement validées</w:t>
            </w:r>
          </w:p>
        </w:tc>
        <w:tc>
          <w:tcPr>
            <w:shd w:val="clear" w:color="auto" w:fill="F2F9F8"/>
          </w:tcPr>
          <w:p>
            <w:pPr>
              <w:pStyle w:val="Compact"/>
              <w:spacing w:after="20" w:before="20" w:line="240" w:lineRule="auto"/>
              <w:jc w:val="left"/>
            </w:pPr>
            <w:r>
              <w:rPr>
                <w:sz w:val="17"/>
              </w:rPr>
              <w:t xml:space="preserve">Règles actives avec fiche complète approuvée / règles actives</w:t>
            </w:r>
          </w:p>
        </w:tc>
      </w:tr>
      <w:tr>
        <w:tc>
          <w:tcPr/>
          <w:p>
            <w:pPr>
              <w:pStyle w:val="Compact"/>
              <w:spacing w:after="20" w:before="20" w:line="240" w:lineRule="auto"/>
              <w:jc w:val="left"/>
            </w:pPr>
            <w:r>
              <w:rPr>
                <w:sz w:val="17"/>
              </w:rPr>
              <w:t xml:space="preserve">Obligations correctement calculées</w:t>
            </w:r>
          </w:p>
        </w:tc>
        <w:tc>
          <w:tcPr/>
          <w:p>
            <w:pPr>
              <w:pStyle w:val="Compact"/>
              <w:spacing w:after="20" w:before="20" w:line="240" w:lineRule="auto"/>
              <w:jc w:val="left"/>
            </w:pPr>
            <w:r>
              <w:rPr>
                <w:sz w:val="17"/>
              </w:rPr>
              <w:t xml:space="preserve">Obligations sans correction après contrôle / obligations émises</w:t>
            </w:r>
          </w:p>
        </w:tc>
      </w:tr>
      <w:tr>
        <w:tc>
          <w:tcPr>
            <w:shd w:val="clear" w:color="auto" w:fill="F2F9F8"/>
          </w:tcPr>
          <w:p>
            <w:pPr>
              <w:pStyle w:val="Compact"/>
              <w:spacing w:after="20" w:before="20" w:line="240" w:lineRule="auto"/>
              <w:jc w:val="left"/>
            </w:pPr>
            <w:r>
              <w:rPr>
                <w:sz w:val="17"/>
              </w:rPr>
              <w:t xml:space="preserve">Taux de paiement</w:t>
            </w:r>
          </w:p>
        </w:tc>
        <w:tc>
          <w:tcPr>
            <w:shd w:val="clear" w:color="auto" w:fill="F2F9F8"/>
          </w:tcPr>
          <w:p>
            <w:pPr>
              <w:pStyle w:val="Compact"/>
              <w:spacing w:after="20" w:before="20" w:line="240" w:lineRule="auto"/>
              <w:jc w:val="left"/>
            </w:pPr>
            <w:r>
              <w:rPr>
                <w:sz w:val="17"/>
              </w:rPr>
              <w:t xml:space="preserve">Obligations payées / obligations exigibles</w:t>
            </w:r>
          </w:p>
        </w:tc>
      </w:tr>
      <w:tr>
        <w:tc>
          <w:tcPr/>
          <w:p>
            <w:pPr>
              <w:pStyle w:val="Compact"/>
              <w:spacing w:after="20" w:before="20" w:line="240" w:lineRule="auto"/>
              <w:jc w:val="left"/>
            </w:pPr>
            <w:r>
              <w:rPr>
                <w:sz w:val="17"/>
              </w:rPr>
              <w:t xml:space="preserve">Taux de règlement</w:t>
            </w:r>
          </w:p>
        </w:tc>
        <w:tc>
          <w:tcPr/>
          <w:p>
            <w:pPr>
              <w:pStyle w:val="Compact"/>
              <w:spacing w:after="20" w:before="20" w:line="240" w:lineRule="auto"/>
              <w:jc w:val="left"/>
            </w:pPr>
            <w:r>
              <w:rPr>
                <w:sz w:val="17"/>
              </w:rPr>
              <w:t xml:space="preserve">Paiements réglés en compte public / paiements confirmés</w:t>
            </w:r>
          </w:p>
        </w:tc>
      </w:tr>
      <w:tr>
        <w:tc>
          <w:tcPr>
            <w:shd w:val="clear" w:color="auto" w:fill="F2F9F8"/>
          </w:tcPr>
          <w:p>
            <w:pPr>
              <w:pStyle w:val="Compact"/>
              <w:spacing w:after="20" w:before="20" w:line="240" w:lineRule="auto"/>
              <w:jc w:val="left"/>
            </w:pPr>
            <w:r>
              <w:rPr>
                <w:sz w:val="17"/>
              </w:rPr>
              <w:t xml:space="preserve">Rapprochement automatique</w:t>
            </w:r>
          </w:p>
        </w:tc>
        <w:tc>
          <w:tcPr>
            <w:shd w:val="clear" w:color="auto" w:fill="F2F9F8"/>
          </w:tcPr>
          <w:p>
            <w:pPr>
              <w:pStyle w:val="Compact"/>
              <w:spacing w:after="20" w:before="20" w:line="240" w:lineRule="auto"/>
              <w:jc w:val="left"/>
            </w:pPr>
            <w:r>
              <w:rPr>
                <w:sz w:val="17"/>
              </w:rPr>
              <w:t xml:space="preserve">Paiements rapprochés sans intervention / paiements réglés</w:t>
            </w:r>
          </w:p>
        </w:tc>
      </w:tr>
      <w:tr>
        <w:tc>
          <w:tcPr/>
          <w:p>
            <w:pPr>
              <w:pStyle w:val="Compact"/>
              <w:spacing w:after="20" w:before="20" w:line="240" w:lineRule="auto"/>
              <w:jc w:val="left"/>
            </w:pPr>
            <w:r>
              <w:rPr>
                <w:sz w:val="17"/>
              </w:rPr>
              <w:t xml:space="preserve">Délai de rapprochement</w:t>
            </w:r>
          </w:p>
        </w:tc>
        <w:tc>
          <w:tcPr/>
          <w:p>
            <w:pPr>
              <w:pStyle w:val="Compact"/>
              <w:spacing w:after="20" w:before="20" w:line="240" w:lineRule="auto"/>
              <w:jc w:val="left"/>
            </w:pPr>
            <w:r>
              <w:rPr>
                <w:sz w:val="17"/>
              </w:rPr>
              <w:t xml:space="preserve">Médiane entre règlement et rapprochement</w:t>
            </w:r>
          </w:p>
        </w:tc>
      </w:tr>
      <w:tr>
        <w:tc>
          <w:tcPr>
            <w:shd w:val="clear" w:color="auto" w:fill="F2F9F8"/>
          </w:tcPr>
          <w:p>
            <w:pPr>
              <w:pStyle w:val="Compact"/>
              <w:spacing w:after="20" w:before="20" w:line="240" w:lineRule="auto"/>
              <w:jc w:val="left"/>
            </w:pPr>
            <w:r>
              <w:rPr>
                <w:sz w:val="17"/>
              </w:rPr>
              <w:t xml:space="preserve">Arriérés recouvrés</w:t>
            </w:r>
          </w:p>
        </w:tc>
        <w:tc>
          <w:tcPr>
            <w:shd w:val="clear" w:color="auto" w:fill="F2F9F8"/>
          </w:tcPr>
          <w:p>
            <w:pPr>
              <w:pStyle w:val="Compact"/>
              <w:spacing w:after="20" w:before="20" w:line="240" w:lineRule="auto"/>
              <w:jc w:val="left"/>
            </w:pPr>
            <w:r>
              <w:rPr>
                <w:sz w:val="17"/>
              </w:rPr>
              <w:t xml:space="preserve">Montant brut et net des coûts</w:t>
            </w:r>
          </w:p>
        </w:tc>
      </w:tr>
      <w:tr>
        <w:tc>
          <w:tcPr/>
          <w:p>
            <w:pPr>
              <w:pStyle w:val="Compact"/>
              <w:spacing w:after="20" w:before="20" w:line="240" w:lineRule="auto"/>
              <w:jc w:val="left"/>
            </w:pPr>
            <w:r>
              <w:rPr>
                <w:sz w:val="17"/>
              </w:rPr>
              <w:t xml:space="preserve">Anomalies</w:t>
            </w:r>
          </w:p>
        </w:tc>
        <w:tc>
          <w:tcPr/>
          <w:p>
            <w:pPr>
              <w:pStyle w:val="Compact"/>
              <w:spacing w:after="20" w:before="20" w:line="240" w:lineRule="auto"/>
              <w:jc w:val="left"/>
            </w:pPr>
            <w:r>
              <w:rPr>
                <w:sz w:val="17"/>
              </w:rPr>
              <w:t xml:space="preserve">Anomalies détectées et anomalies résolues, par type</w:t>
            </w:r>
          </w:p>
        </w:tc>
      </w:tr>
      <w:tr>
        <w:tc>
          <w:tcPr>
            <w:shd w:val="clear" w:color="auto" w:fill="F2F9F8"/>
          </w:tcPr>
          <w:p>
            <w:pPr>
              <w:pStyle w:val="Compact"/>
              <w:spacing w:after="20" w:before="20" w:line="240" w:lineRule="auto"/>
              <w:jc w:val="left"/>
            </w:pPr>
            <w:r>
              <w:rPr>
                <w:sz w:val="17"/>
              </w:rPr>
              <w:t xml:space="preserve">Taux de recours</w:t>
            </w:r>
          </w:p>
        </w:tc>
        <w:tc>
          <w:tcPr>
            <w:shd w:val="clear" w:color="auto" w:fill="F2F9F8"/>
          </w:tcPr>
          <w:p>
            <w:pPr>
              <w:pStyle w:val="Compact"/>
              <w:spacing w:after="20" w:before="20" w:line="240" w:lineRule="auto"/>
              <w:jc w:val="left"/>
            </w:pPr>
            <w:r>
              <w:rPr>
                <w:sz w:val="17"/>
              </w:rPr>
              <w:t xml:space="preserve">Recours / obligations notifiées</w:t>
            </w:r>
          </w:p>
        </w:tc>
      </w:tr>
      <w:tr>
        <w:tc>
          <w:tcPr/>
          <w:p>
            <w:pPr>
              <w:pStyle w:val="Compact"/>
              <w:spacing w:after="20" w:before="20" w:line="240" w:lineRule="auto"/>
              <w:jc w:val="left"/>
            </w:pPr>
            <w:r>
              <w:rPr>
                <w:sz w:val="17"/>
              </w:rPr>
              <w:t xml:space="preserve">Disponibilité et sécurité</w:t>
            </w:r>
          </w:p>
        </w:tc>
        <w:tc>
          <w:tcPr/>
          <w:p>
            <w:pPr>
              <w:pStyle w:val="Compact"/>
              <w:spacing w:after="20" w:before="20" w:line="240" w:lineRule="auto"/>
              <w:jc w:val="left"/>
            </w:pPr>
            <w:r>
              <w:rPr>
                <w:sz w:val="17"/>
              </w:rPr>
              <w:t xml:space="preserve">Disponibilité du service ; incidents de sécurité par gravité</w:t>
            </w:r>
          </w:p>
        </w:tc>
      </w:tr>
      <w:tr>
        <w:tc>
          <w:tcPr>
            <w:shd w:val="clear" w:color="auto" w:fill="F2F9F8"/>
          </w:tcPr>
          <w:p>
            <w:pPr>
              <w:pStyle w:val="Compact"/>
              <w:spacing w:after="20" w:before="20" w:line="240" w:lineRule="auto"/>
              <w:jc w:val="left"/>
            </w:pPr>
            <w:r>
              <w:rPr>
                <w:sz w:val="17"/>
              </w:rPr>
              <w:t xml:space="preserve">Recettes additionnelles nettes vérifiées</w:t>
            </w:r>
          </w:p>
        </w:tc>
        <w:tc>
          <w:tcPr>
            <w:shd w:val="clear" w:color="auto" w:fill="F2F9F8"/>
          </w:tcPr>
          <w:p>
            <w:pPr>
              <w:pStyle w:val="Compact"/>
              <w:spacing w:after="20" w:before="20" w:line="240" w:lineRule="auto"/>
              <w:jc w:val="left"/>
            </w:pPr>
            <w:r>
              <w:rPr>
                <w:sz w:val="17"/>
              </w:rPr>
              <w:t xml:space="preserve">Formule du § 38</w:t>
            </w:r>
          </w:p>
        </w:tc>
      </w:tr>
    </w:tbl>
    <w:bookmarkEnd w:id="288"/>
    <w:bookmarkStart w:id="289" w:name="Xc81acc33122046be5b5f97c3b46682398bc7343"/>
    <w:p>
      <w:pPr>
        <w:pStyle w:val="Heading3"/>
      </w:pPr>
      <w:r>
        <w:t xml:space="preserve">Indicateurs d’inclusion, de sous-traitance et de paiement assisté</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Indicateur</w:t>
            </w:r>
          </w:p>
        </w:tc>
        <w:tc>
          <w:tcPr>
            <w:shd w:val="clear" w:color="auto" w:fill="1BA996"/>
          </w:tcPr>
          <w:p>
            <w:pPr>
              <w:pStyle w:val="Compact"/>
              <w:spacing w:after="20" w:before="20" w:line="240" w:lineRule="auto"/>
              <w:jc w:val="left"/>
            </w:pPr>
            <w:r>
              <w:rPr>
                <w:b/>
                <w:color w:val="FFFFFF"/>
                <w:sz w:val="17"/>
              </w:rPr>
              <w:t xml:space="preserve">Définition</w:t>
            </w:r>
          </w:p>
        </w:tc>
      </w:tr>
      <w:tr>
        <w:tc>
          <w:tcPr/>
          <w:p>
            <w:pPr>
              <w:pStyle w:val="Compact"/>
              <w:spacing w:after="20" w:before="20" w:line="240" w:lineRule="auto"/>
              <w:jc w:val="left"/>
            </w:pPr>
            <w:r>
              <w:rPr>
                <w:sz w:val="17"/>
              </w:rPr>
              <w:t xml:space="preserve">Part des enrôlements assistés</w:t>
            </w:r>
          </w:p>
        </w:tc>
        <w:tc>
          <w:tcPr/>
          <w:p>
            <w:pPr>
              <w:pStyle w:val="Compact"/>
              <w:spacing w:after="20" w:before="20" w:line="240" w:lineRule="auto"/>
              <w:jc w:val="left"/>
            </w:pPr>
            <w:r>
              <w:rPr>
                <w:sz w:val="17"/>
              </w:rPr>
              <w:t xml:space="preserve">Enrôlements assistés / enrôlements totaux, par commune</w:t>
            </w:r>
          </w:p>
        </w:tc>
      </w:tr>
      <w:tr>
        <w:tc>
          <w:tcPr>
            <w:shd w:val="clear" w:color="auto" w:fill="F2F9F8"/>
          </w:tcPr>
          <w:p>
            <w:pPr>
              <w:pStyle w:val="Compact"/>
              <w:spacing w:after="20" w:before="20" w:line="240" w:lineRule="auto"/>
              <w:jc w:val="left"/>
            </w:pPr>
            <w:r>
              <w:rPr>
                <w:sz w:val="17"/>
              </w:rPr>
              <w:t xml:space="preserve">Enrôlés sans téléphone</w:t>
            </w:r>
          </w:p>
        </w:tc>
        <w:tc>
          <w:tcPr>
            <w:shd w:val="clear" w:color="auto" w:fill="F2F9F8"/>
          </w:tcPr>
          <w:p>
            <w:pPr>
              <w:pStyle w:val="Compact"/>
              <w:spacing w:after="20" w:before="20" w:line="240" w:lineRule="auto"/>
              <w:jc w:val="left"/>
            </w:pPr>
            <w:r>
              <w:rPr>
                <w:sz w:val="17"/>
              </w:rPr>
              <w:t xml:space="preserve">Cartes MOSOLO émises et actives</w:t>
            </w:r>
          </w:p>
        </w:tc>
      </w:tr>
      <w:tr>
        <w:tc>
          <w:tcPr/>
          <w:p>
            <w:pPr>
              <w:pStyle w:val="Compact"/>
              <w:spacing w:after="20" w:before="20" w:line="240" w:lineRule="auto"/>
              <w:jc w:val="left"/>
            </w:pPr>
            <w:r>
              <w:rPr>
                <w:sz w:val="17"/>
              </w:rPr>
              <w:t xml:space="preserve">Usage des canaux non Internet</w:t>
            </w:r>
          </w:p>
        </w:tc>
        <w:tc>
          <w:tcPr/>
          <w:p>
            <w:pPr>
              <w:pStyle w:val="Compact"/>
              <w:spacing w:after="20" w:before="20" w:line="240" w:lineRule="auto"/>
              <w:jc w:val="left"/>
            </w:pPr>
            <w:r>
              <w:rPr>
                <w:sz w:val="17"/>
              </w:rPr>
              <w:t xml:space="preserve">Opérations par USSD, SVI et SMS / opérations totales</w:t>
            </w:r>
          </w:p>
        </w:tc>
      </w:tr>
      <w:tr>
        <w:tc>
          <w:tcPr>
            <w:shd w:val="clear" w:color="auto" w:fill="F2F9F8"/>
          </w:tcPr>
          <w:p>
            <w:pPr>
              <w:pStyle w:val="Compact"/>
              <w:spacing w:after="20" w:before="20" w:line="240" w:lineRule="auto"/>
              <w:jc w:val="left"/>
            </w:pPr>
            <w:r>
              <w:rPr>
                <w:sz w:val="17"/>
              </w:rPr>
              <w:t xml:space="preserve">Accessibilité des points de paiement</w:t>
            </w:r>
          </w:p>
        </w:tc>
        <w:tc>
          <w:tcPr>
            <w:shd w:val="clear" w:color="auto" w:fill="F2F9F8"/>
          </w:tcPr>
          <w:p>
            <w:pPr>
              <w:pStyle w:val="Compact"/>
              <w:spacing w:after="20" w:before="20" w:line="240" w:lineRule="auto"/>
              <w:jc w:val="left"/>
            </w:pPr>
            <w:r>
              <w:rPr>
                <w:sz w:val="17"/>
              </w:rPr>
              <w:t xml:space="preserve">Part de la population à moins de 15 minutes à pied d’un point agréé</w:t>
            </w:r>
          </w:p>
        </w:tc>
      </w:tr>
      <w:tr>
        <w:tc>
          <w:tcPr/>
          <w:p>
            <w:pPr>
              <w:pStyle w:val="Compact"/>
              <w:spacing w:after="20" w:before="20" w:line="240" w:lineRule="auto"/>
              <w:jc w:val="left"/>
            </w:pPr>
            <w:r>
              <w:rPr>
                <w:sz w:val="17"/>
              </w:rPr>
              <w:t xml:space="preserve">Délai de règlement des points de paiement</w:t>
            </w:r>
          </w:p>
        </w:tc>
        <w:tc>
          <w:tcPr/>
          <w:p>
            <w:pPr>
              <w:pStyle w:val="Compact"/>
              <w:spacing w:after="20" w:before="20" w:line="240" w:lineRule="auto"/>
              <w:jc w:val="left"/>
            </w:pPr>
            <w:r>
              <w:rPr>
                <w:sz w:val="17"/>
              </w:rPr>
              <w:t xml:space="preserve">Médiane entre encaissement et règlement au compte public</w:t>
            </w:r>
          </w:p>
        </w:tc>
      </w:tr>
      <w:tr>
        <w:tc>
          <w:tcPr>
            <w:shd w:val="clear" w:color="auto" w:fill="F2F9F8"/>
          </w:tcPr>
          <w:p>
            <w:pPr>
              <w:pStyle w:val="Compact"/>
              <w:spacing w:after="20" w:before="20" w:line="240" w:lineRule="auto"/>
              <w:jc w:val="left"/>
            </w:pPr>
            <w:r>
              <w:rPr>
                <w:sz w:val="17"/>
              </w:rPr>
              <w:t xml:space="preserve">Qualité des sous-traitants</w:t>
            </w:r>
          </w:p>
        </w:tc>
        <w:tc>
          <w:tcPr>
            <w:shd w:val="clear" w:color="auto" w:fill="F2F9F8"/>
          </w:tcPr>
          <w:p>
            <w:pPr>
              <w:pStyle w:val="Compact"/>
              <w:spacing w:after="20" w:before="20" w:line="240" w:lineRule="auto"/>
              <w:jc w:val="left"/>
            </w:pPr>
            <w:r>
              <w:rPr>
                <w:sz w:val="17"/>
              </w:rPr>
              <w:t xml:space="preserve">Taux d’objets confirmés après contrôle, taux de rejet, par sous-traitant</w:t>
            </w:r>
          </w:p>
        </w:tc>
      </w:tr>
      <w:tr>
        <w:tc>
          <w:tcPr/>
          <w:p>
            <w:pPr>
              <w:pStyle w:val="Compact"/>
              <w:spacing w:after="20" w:before="20" w:line="240" w:lineRule="auto"/>
              <w:jc w:val="left"/>
            </w:pPr>
            <w:r>
              <w:rPr>
                <w:sz w:val="17"/>
              </w:rPr>
              <w:t xml:space="preserve">Signalements</w:t>
            </w:r>
          </w:p>
        </w:tc>
        <w:tc>
          <w:tcPr/>
          <w:p>
            <w:pPr>
              <w:pStyle w:val="Compact"/>
              <w:spacing w:after="20" w:before="20" w:line="240" w:lineRule="auto"/>
              <w:jc w:val="left"/>
            </w:pPr>
            <w:r>
              <w:rPr>
                <w:sz w:val="17"/>
              </w:rPr>
              <w:t xml:space="preserve">Nombre reçu, délai de traitement, part confirmée</w:t>
            </w:r>
          </w:p>
        </w:tc>
      </w:tr>
      <w:tr>
        <w:tc>
          <w:tcPr>
            <w:shd w:val="clear" w:color="auto" w:fill="F2F9F8"/>
          </w:tcPr>
          <w:p>
            <w:pPr>
              <w:pStyle w:val="Compact"/>
              <w:spacing w:after="20" w:before="20" w:line="240" w:lineRule="auto"/>
              <w:jc w:val="left"/>
            </w:pPr>
            <w:r>
              <w:rPr>
                <w:sz w:val="17"/>
              </w:rPr>
              <w:t xml:space="preserve">Résultats des contrôles mystère</w:t>
            </w:r>
          </w:p>
        </w:tc>
        <w:tc>
          <w:tcPr>
            <w:shd w:val="clear" w:color="auto" w:fill="F2F9F8"/>
          </w:tcPr>
          <w:p>
            <w:pPr>
              <w:pStyle w:val="Compact"/>
              <w:spacing w:after="20" w:before="20" w:line="240" w:lineRule="auto"/>
              <w:jc w:val="left"/>
            </w:pPr>
            <w:r>
              <w:rPr>
                <w:sz w:val="17"/>
              </w:rPr>
              <w:t xml:space="preserve">Part des contrôles sans irrégularité</w:t>
            </w:r>
          </w:p>
        </w:tc>
      </w:tr>
    </w:tbl>
    <w:bookmarkEnd w:id="289"/>
    <w:bookmarkStart w:id="290" w:name="X493f13924fe9e2e2dfffc12ab6c93d227892a39"/>
    <w:p>
      <w:pPr>
        <w:pStyle w:val="Heading3"/>
      </w:pPr>
      <w:r>
        <w:t xml:space="preserve">Indicateurs des titres et de la coexistence des entités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Indicateur</w:t>
            </w:r>
          </w:p>
        </w:tc>
        <w:tc>
          <w:tcPr>
            <w:shd w:val="clear" w:color="auto" w:fill="1BA996"/>
          </w:tcPr>
          <w:p>
            <w:pPr>
              <w:pStyle w:val="Compact"/>
              <w:spacing w:after="20" w:before="20" w:line="240" w:lineRule="auto"/>
              <w:jc w:val="left"/>
            </w:pPr>
            <w:r>
              <w:rPr>
                <w:b/>
                <w:color w:val="FFFFFF"/>
                <w:sz w:val="17"/>
              </w:rPr>
              <w:t xml:space="preserve">Définition</w:t>
            </w:r>
          </w:p>
        </w:tc>
      </w:tr>
      <w:tr>
        <w:tc>
          <w:tcPr/>
          <w:p>
            <w:pPr>
              <w:pStyle w:val="Compact"/>
              <w:spacing w:after="20" w:before="20" w:line="240" w:lineRule="auto"/>
              <w:jc w:val="left"/>
            </w:pPr>
            <w:r>
              <w:rPr>
                <w:sz w:val="17"/>
              </w:rPr>
              <w:t xml:space="preserve">Titres contrôlés</w:t>
            </w:r>
          </w:p>
        </w:tc>
        <w:tc>
          <w:tcPr/>
          <w:p>
            <w:pPr>
              <w:pStyle w:val="Compact"/>
              <w:spacing w:after="20" w:before="20" w:line="240" w:lineRule="auto"/>
              <w:jc w:val="left"/>
            </w:pPr>
            <w:r>
              <w:rPr>
                <w:sz w:val="17"/>
              </w:rPr>
              <w:t xml:space="preserve">Contrôles réalisés / titres actifs, par module et par zone</w:t>
            </w:r>
          </w:p>
        </w:tc>
      </w:tr>
      <w:tr>
        <w:tc>
          <w:tcPr>
            <w:shd w:val="clear" w:color="auto" w:fill="F2F9F8"/>
          </w:tcPr>
          <w:p>
            <w:pPr>
              <w:pStyle w:val="Compact"/>
              <w:spacing w:after="20" w:before="20" w:line="240" w:lineRule="auto"/>
              <w:jc w:val="left"/>
            </w:pPr>
            <w:r>
              <w:rPr>
                <w:sz w:val="17"/>
              </w:rPr>
              <w:t xml:space="preserve">Titres expirés constatés</w:t>
            </w:r>
          </w:p>
        </w:tc>
        <w:tc>
          <w:tcPr>
            <w:shd w:val="clear" w:color="auto" w:fill="F2F9F8"/>
          </w:tcPr>
          <w:p>
            <w:pPr>
              <w:pStyle w:val="Compact"/>
              <w:spacing w:after="20" w:before="20" w:line="240" w:lineRule="auto"/>
              <w:jc w:val="left"/>
            </w:pPr>
            <w:r>
              <w:rPr>
                <w:sz w:val="17"/>
              </w:rPr>
              <w:t xml:space="preserve">Part des contrôles en rouge, par module</w:t>
            </w:r>
          </w:p>
        </w:tc>
      </w:tr>
      <w:tr>
        <w:tc>
          <w:tcPr/>
          <w:p>
            <w:pPr>
              <w:pStyle w:val="Compact"/>
              <w:spacing w:after="20" w:before="20" w:line="240" w:lineRule="auto"/>
              <w:jc w:val="left"/>
            </w:pPr>
            <w:r>
              <w:rPr>
                <w:sz w:val="17"/>
              </w:rPr>
              <w:t xml:space="preserve">Renouvellement avant expiration</w:t>
            </w:r>
          </w:p>
        </w:tc>
        <w:tc>
          <w:tcPr/>
          <w:p>
            <w:pPr>
              <w:pStyle w:val="Compact"/>
              <w:spacing w:after="20" w:before="20" w:line="240" w:lineRule="auto"/>
              <w:jc w:val="left"/>
            </w:pPr>
            <w:r>
              <w:rPr>
                <w:sz w:val="17"/>
              </w:rPr>
              <w:t xml:space="preserve">Titres renouvelés pendant la phase ambre / titres arrivés à échéance</w:t>
            </w:r>
          </w:p>
        </w:tc>
      </w:tr>
      <w:tr>
        <w:tc>
          <w:tcPr>
            <w:shd w:val="clear" w:color="auto" w:fill="F2F9F8"/>
          </w:tcPr>
          <w:p>
            <w:pPr>
              <w:pStyle w:val="Compact"/>
              <w:spacing w:after="20" w:before="20" w:line="240" w:lineRule="auto"/>
              <w:jc w:val="left"/>
            </w:pPr>
            <w:r>
              <w:rPr>
                <w:sz w:val="17"/>
              </w:rPr>
              <w:t xml:space="preserve">Tentatives de réutilisation</w:t>
            </w:r>
          </w:p>
        </w:tc>
        <w:tc>
          <w:tcPr>
            <w:shd w:val="clear" w:color="auto" w:fill="F2F9F8"/>
          </w:tcPr>
          <w:p>
            <w:pPr>
              <w:pStyle w:val="Compact"/>
              <w:spacing w:after="20" w:before="20" w:line="240" w:lineRule="auto"/>
              <w:jc w:val="left"/>
            </w:pPr>
            <w:r>
              <w:rPr>
                <w:sz w:val="17"/>
              </w:rPr>
              <w:t xml:space="preserve">Titres à usage unique présentés deux fois</w:t>
            </w:r>
          </w:p>
        </w:tc>
      </w:tr>
      <w:tr>
        <w:tc>
          <w:tcPr/>
          <w:p>
            <w:pPr>
              <w:pStyle w:val="Compact"/>
              <w:spacing w:after="20" w:before="20" w:line="240" w:lineRule="auto"/>
              <w:jc w:val="left"/>
            </w:pPr>
            <w:r>
              <w:rPr>
                <w:sz w:val="17"/>
              </w:rPr>
              <w:t xml:space="preserve">Contrôles hors ligne reconfirmés</w:t>
            </w:r>
          </w:p>
        </w:tc>
        <w:tc>
          <w:tcPr/>
          <w:p>
            <w:pPr>
              <w:pStyle w:val="Compact"/>
              <w:spacing w:after="20" w:before="20" w:line="240" w:lineRule="auto"/>
              <w:jc w:val="left"/>
            </w:pPr>
            <w:r>
              <w:rPr>
                <w:sz w:val="17"/>
              </w:rPr>
              <w:t xml:space="preserve">Contrôles hors ligne confirmés à la synchronisation / contrôles hors ligne</w:t>
            </w:r>
          </w:p>
        </w:tc>
      </w:tr>
      <w:tr>
        <w:tc>
          <w:tcPr>
            <w:shd w:val="clear" w:color="auto" w:fill="F2F9F8"/>
          </w:tcPr>
          <w:p>
            <w:pPr>
              <w:pStyle w:val="Compact"/>
              <w:spacing w:after="20" w:before="20" w:line="240" w:lineRule="auto"/>
              <w:jc w:val="left"/>
            </w:pPr>
            <w:r>
              <w:rPr>
                <w:sz w:val="17"/>
              </w:rPr>
              <w:t xml:space="preserve">Arbitrages entre entités</w:t>
            </w:r>
          </w:p>
        </w:tc>
        <w:tc>
          <w:tcPr>
            <w:shd w:val="clear" w:color="auto" w:fill="F2F9F8"/>
          </w:tcPr>
          <w:p>
            <w:pPr>
              <w:pStyle w:val="Compact"/>
              <w:spacing w:after="20" w:before="20" w:line="240" w:lineRule="auto"/>
              <w:jc w:val="left"/>
            </w:pPr>
            <w:r>
              <w:rPr>
                <w:sz w:val="17"/>
              </w:rPr>
              <w:t xml:space="preserve">Nombre ouvert, délai de résolution</w:t>
            </w:r>
          </w:p>
        </w:tc>
      </w:tr>
      <w:tr>
        <w:tc>
          <w:tcPr/>
          <w:p>
            <w:pPr>
              <w:pStyle w:val="Compact"/>
              <w:spacing w:after="20" w:before="20" w:line="240" w:lineRule="auto"/>
              <w:jc w:val="left"/>
            </w:pPr>
            <w:r>
              <w:rPr>
                <w:sz w:val="17"/>
              </w:rPr>
              <w:t xml:space="preserve">Respect des accords de niveau de service entre entités</w:t>
            </w:r>
          </w:p>
        </w:tc>
        <w:tc>
          <w:tcPr/>
          <w:p>
            <w:pPr>
              <w:pStyle w:val="Compact"/>
              <w:spacing w:after="20" w:before="20" w:line="240" w:lineRule="auto"/>
              <w:jc w:val="left"/>
            </w:pPr>
            <w:r>
              <w:rPr>
                <w:sz w:val="17"/>
              </w:rPr>
              <w:t xml:space="preserve">Part des délais respectés</w:t>
            </w:r>
          </w:p>
        </w:tc>
      </w:tr>
    </w:tbl>
    <w:bookmarkEnd w:id="290"/>
    <w:bookmarkStart w:id="291" w:name="indicateurs-de-la-répartition"/>
    <w:p>
      <w:pPr>
        <w:pStyle w:val="Heading3"/>
      </w:pPr>
      <w:r>
        <w:t xml:space="preserve">Indicateurs de la répartition</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Indicateur</w:t>
            </w:r>
          </w:p>
        </w:tc>
        <w:tc>
          <w:tcPr>
            <w:shd w:val="clear" w:color="auto" w:fill="1BA996"/>
          </w:tcPr>
          <w:p>
            <w:pPr>
              <w:pStyle w:val="Compact"/>
              <w:spacing w:after="20" w:before="20" w:line="240" w:lineRule="auto"/>
              <w:jc w:val="left"/>
            </w:pPr>
            <w:r>
              <w:rPr>
                <w:b/>
                <w:color w:val="FFFFFF"/>
                <w:sz w:val="17"/>
              </w:rPr>
              <w:t xml:space="preserve">Définition</w:t>
            </w:r>
          </w:p>
        </w:tc>
      </w:tr>
      <w:tr>
        <w:tc>
          <w:tcPr/>
          <w:p>
            <w:pPr>
              <w:pStyle w:val="Compact"/>
              <w:spacing w:after="20" w:before="20" w:line="240" w:lineRule="auto"/>
              <w:jc w:val="left"/>
            </w:pPr>
            <w:r>
              <w:rPr>
                <w:sz w:val="17"/>
              </w:rPr>
              <w:t xml:space="preserve">Écart de répartition</w:t>
            </w:r>
          </w:p>
        </w:tc>
        <w:tc>
          <w:tcPr/>
          <w:p>
            <w:pPr>
              <w:pStyle w:val="Compact"/>
              <w:spacing w:after="20" w:before="20" w:line="240" w:lineRule="auto"/>
              <w:jc w:val="left"/>
            </w:pPr>
            <w:r>
              <w:rPr>
                <w:sz w:val="17"/>
              </w:rPr>
              <w:t xml:space="preserve">Somme des parts − recettes rapprochées (cible : zéro)</w:t>
            </w:r>
          </w:p>
        </w:tc>
      </w:tr>
      <w:tr>
        <w:tc>
          <w:tcPr>
            <w:shd w:val="clear" w:color="auto" w:fill="F2F9F8"/>
          </w:tcPr>
          <w:p>
            <w:pPr>
              <w:pStyle w:val="Compact"/>
              <w:spacing w:after="20" w:before="20" w:line="240" w:lineRule="auto"/>
              <w:jc w:val="left"/>
            </w:pPr>
            <w:r>
              <w:rPr>
                <w:sz w:val="17"/>
              </w:rPr>
              <w:t xml:space="preserve">Délai de versement</w:t>
            </w:r>
          </w:p>
        </w:tc>
        <w:tc>
          <w:tcPr>
            <w:shd w:val="clear" w:color="auto" w:fill="F2F9F8"/>
          </w:tcPr>
          <w:p>
            <w:pPr>
              <w:pStyle w:val="Compact"/>
              <w:spacing w:after="20" w:before="20" w:line="240" w:lineRule="auto"/>
              <w:jc w:val="left"/>
            </w:pPr>
            <w:r>
              <w:rPr>
                <w:sz w:val="17"/>
              </w:rPr>
              <w:t xml:space="preserve">Délai entre rapprochement et exécution des deux flux</w:t>
            </w:r>
          </w:p>
        </w:tc>
      </w:tr>
      <w:tr>
        <w:tc>
          <w:tcPr/>
          <w:p>
            <w:pPr>
              <w:pStyle w:val="Compact"/>
              <w:spacing w:after="20" w:before="20" w:line="240" w:lineRule="auto"/>
              <w:jc w:val="left"/>
            </w:pPr>
            <w:r>
              <w:rPr>
                <w:sz w:val="17"/>
              </w:rPr>
              <w:t xml:space="preserve">Parts versées par bénéficiaire</w:t>
            </w:r>
          </w:p>
        </w:tc>
        <w:tc>
          <w:tcPr/>
          <w:p>
            <w:pPr>
              <w:pStyle w:val="Compact"/>
              <w:spacing w:after="20" w:before="20" w:line="240" w:lineRule="auto"/>
              <w:jc w:val="left"/>
            </w:pPr>
            <w:r>
              <w:rPr>
                <w:sz w:val="17"/>
              </w:rPr>
              <w:t xml:space="preserve">Montants calculés, rapprochés et versés, par période</w:t>
            </w:r>
          </w:p>
        </w:tc>
      </w:tr>
      <w:tr>
        <w:tc>
          <w:tcPr>
            <w:shd w:val="clear" w:color="auto" w:fill="F2F9F8"/>
          </w:tcPr>
          <w:p>
            <w:pPr>
              <w:pStyle w:val="Compact"/>
              <w:spacing w:after="20" w:before="20" w:line="240" w:lineRule="auto"/>
              <w:jc w:val="left"/>
            </w:pPr>
            <w:r>
              <w:rPr>
                <w:sz w:val="17"/>
              </w:rPr>
              <w:t xml:space="preserve">Régularisations</w:t>
            </w:r>
          </w:p>
        </w:tc>
        <w:tc>
          <w:tcPr>
            <w:shd w:val="clear" w:color="auto" w:fill="F2F9F8"/>
          </w:tcPr>
          <w:p>
            <w:pPr>
              <w:pStyle w:val="Compact"/>
              <w:spacing w:after="20" w:before="20" w:line="240" w:lineRule="auto"/>
              <w:jc w:val="left"/>
            </w:pPr>
            <w:r>
              <w:rPr>
                <w:sz w:val="17"/>
              </w:rPr>
              <w:t xml:space="preserve">Montants régularisés après remboursement ou contrepassement</w:t>
            </w:r>
          </w:p>
        </w:tc>
      </w:tr>
    </w:tbl>
    <w:bookmarkEnd w:id="291"/>
    <w:bookmarkStart w:id="292" w:name="indicateurs-complémentaires-avec-formule"/>
    <w:p>
      <w:pPr>
        <w:pStyle w:val="Heading3"/>
      </w:pPr>
      <w:r>
        <w:t xml:space="preserve">Indicateurs complémentaires avec formule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Domaine</w:t>
            </w:r>
          </w:p>
        </w:tc>
        <w:tc>
          <w:tcPr>
            <w:shd w:val="clear" w:color="auto" w:fill="1BA996"/>
          </w:tcPr>
          <w:p>
            <w:pPr>
              <w:pStyle w:val="Compact"/>
              <w:spacing w:after="20" w:before="20" w:line="240" w:lineRule="auto"/>
              <w:jc w:val="left"/>
            </w:pPr>
            <w:r>
              <w:rPr>
                <w:b/>
                <w:color w:val="FFFFFF"/>
                <w:sz w:val="17"/>
              </w:rPr>
              <w:t xml:space="preserve">Indicateur</w:t>
            </w:r>
          </w:p>
        </w:tc>
        <w:tc>
          <w:tcPr>
            <w:shd w:val="clear" w:color="auto" w:fill="1BA996"/>
          </w:tcPr>
          <w:p>
            <w:pPr>
              <w:pStyle w:val="Compact"/>
              <w:spacing w:after="20" w:before="20" w:line="240" w:lineRule="auto"/>
              <w:jc w:val="left"/>
            </w:pPr>
            <w:r>
              <w:rPr>
                <w:b/>
                <w:color w:val="FFFFFF"/>
                <w:sz w:val="17"/>
              </w:rPr>
              <w:t xml:space="preserve">Formule</w:t>
            </w:r>
          </w:p>
        </w:tc>
      </w:tr>
      <w:tr>
        <w:tc>
          <w:tcPr/>
          <w:p>
            <w:pPr>
              <w:pStyle w:val="Compact"/>
              <w:spacing w:after="20" w:before="20" w:line="240" w:lineRule="auto"/>
              <w:jc w:val="left"/>
            </w:pPr>
            <w:r>
              <w:rPr>
                <w:sz w:val="17"/>
              </w:rPr>
              <w:t xml:space="preserve">Identité</w:t>
            </w:r>
          </w:p>
        </w:tc>
        <w:tc>
          <w:tcPr/>
          <w:p>
            <w:pPr>
              <w:pStyle w:val="Compact"/>
              <w:spacing w:after="20" w:before="20" w:line="240" w:lineRule="auto"/>
              <w:jc w:val="left"/>
            </w:pPr>
            <w:r>
              <w:rPr>
                <w:sz w:val="17"/>
              </w:rPr>
              <w:t xml:space="preserve">Taux de rattachement</w:t>
            </w:r>
          </w:p>
        </w:tc>
        <w:tc>
          <w:tcPr/>
          <w:p>
            <w:pPr>
              <w:pStyle w:val="Compact"/>
              <w:spacing w:after="20" w:before="20" w:line="240" w:lineRule="auto"/>
              <w:jc w:val="left"/>
            </w:pPr>
            <w:r>
              <w:rPr>
                <w:sz w:val="17"/>
              </w:rPr>
              <w:t xml:space="preserve">Objets avec contribuable vérifié / objets recensés</w:t>
            </w:r>
          </w:p>
        </w:tc>
      </w:tr>
      <w:tr>
        <w:tc>
          <w:tcPr>
            <w:shd w:val="clear" w:color="auto" w:fill="F2F9F8"/>
          </w:tcPr>
          <w:p>
            <w:pPr>
              <w:pStyle w:val="Compact"/>
              <w:spacing w:after="20" w:before="20" w:line="240" w:lineRule="auto"/>
              <w:jc w:val="left"/>
            </w:pPr>
            <w:r>
              <w:rPr>
                <w:sz w:val="17"/>
              </w:rPr>
              <w:t xml:space="preserve">Conformité</w:t>
            </w:r>
          </w:p>
        </w:tc>
        <w:tc>
          <w:tcPr>
            <w:shd w:val="clear" w:color="auto" w:fill="F2F9F8"/>
          </w:tcPr>
          <w:p>
            <w:pPr>
              <w:pStyle w:val="Compact"/>
              <w:spacing w:after="20" w:before="20" w:line="240" w:lineRule="auto"/>
              <w:jc w:val="left"/>
            </w:pPr>
            <w:r>
              <w:rPr>
                <w:sz w:val="17"/>
              </w:rPr>
              <w:t xml:space="preserve">Dépôt à temps</w:t>
            </w:r>
          </w:p>
        </w:tc>
        <w:tc>
          <w:tcPr>
            <w:shd w:val="clear" w:color="auto" w:fill="F2F9F8"/>
          </w:tcPr>
          <w:p>
            <w:pPr>
              <w:pStyle w:val="Compact"/>
              <w:spacing w:after="20" w:before="20" w:line="240" w:lineRule="auto"/>
              <w:jc w:val="left"/>
            </w:pPr>
            <w:r>
              <w:rPr>
                <w:sz w:val="17"/>
              </w:rPr>
              <w:t xml:space="preserve">Déclarations à temps / déclarations attendues</w:t>
            </w:r>
          </w:p>
        </w:tc>
      </w:tr>
      <w:tr>
        <w:tc>
          <w:tcPr/>
          <w:p>
            <w:pPr>
              <w:pStyle w:val="Compact"/>
              <w:spacing w:after="20" w:before="20" w:line="240" w:lineRule="auto"/>
              <w:jc w:val="left"/>
            </w:pPr>
            <w:r>
              <w:rPr>
                <w:sz w:val="17"/>
              </w:rPr>
              <w:t xml:space="preserve">Service</w:t>
            </w:r>
          </w:p>
        </w:tc>
        <w:tc>
          <w:tcPr/>
          <w:p>
            <w:pPr>
              <w:pStyle w:val="Compact"/>
              <w:spacing w:after="20" w:before="20" w:line="240" w:lineRule="auto"/>
              <w:jc w:val="left"/>
            </w:pPr>
            <w:r>
              <w:rPr>
                <w:sz w:val="17"/>
              </w:rPr>
              <w:t xml:space="preserve">Délai de quittance</w:t>
            </w:r>
          </w:p>
        </w:tc>
        <w:tc>
          <w:tcPr/>
          <w:p>
            <w:pPr>
              <w:pStyle w:val="Compact"/>
              <w:spacing w:after="20" w:before="20" w:line="240" w:lineRule="auto"/>
              <w:jc w:val="left"/>
            </w:pPr>
            <w:r>
              <w:rPr>
                <w:sz w:val="17"/>
              </w:rPr>
              <w:t xml:space="preserve">Temps entre dénouement et quittance</w:t>
            </w:r>
          </w:p>
        </w:tc>
      </w:tr>
      <w:tr>
        <w:tc>
          <w:tcPr>
            <w:shd w:val="clear" w:color="auto" w:fill="F2F9F8"/>
          </w:tcPr>
          <w:p>
            <w:pPr>
              <w:pStyle w:val="Compact"/>
              <w:spacing w:after="20" w:before="20" w:line="240" w:lineRule="auto"/>
              <w:jc w:val="left"/>
            </w:pPr>
            <w:r>
              <w:rPr>
                <w:sz w:val="17"/>
              </w:rPr>
              <w:t xml:space="preserve">Recours</w:t>
            </w:r>
          </w:p>
        </w:tc>
        <w:tc>
          <w:tcPr>
            <w:shd w:val="clear" w:color="auto" w:fill="F2F9F8"/>
          </w:tcPr>
          <w:p>
            <w:pPr>
              <w:pStyle w:val="Compact"/>
              <w:spacing w:after="20" w:before="20" w:line="240" w:lineRule="auto"/>
              <w:jc w:val="left"/>
            </w:pPr>
            <w:r>
              <w:rPr>
                <w:sz w:val="17"/>
              </w:rPr>
              <w:t xml:space="preserve">Erreurs confirmées</w:t>
            </w:r>
          </w:p>
        </w:tc>
        <w:tc>
          <w:tcPr>
            <w:shd w:val="clear" w:color="auto" w:fill="F2F9F8"/>
          </w:tcPr>
          <w:p>
            <w:pPr>
              <w:pStyle w:val="Compact"/>
              <w:spacing w:after="20" w:before="20" w:line="240" w:lineRule="auto"/>
              <w:jc w:val="left"/>
            </w:pPr>
            <w:r>
              <w:rPr>
                <w:sz w:val="17"/>
              </w:rPr>
              <w:t xml:space="preserve">Recours fondés / décisions contestées</w:t>
            </w:r>
          </w:p>
        </w:tc>
      </w:tr>
      <w:tr>
        <w:tc>
          <w:tcPr/>
          <w:p>
            <w:pPr>
              <w:pStyle w:val="Compact"/>
              <w:spacing w:after="20" w:before="20" w:line="240" w:lineRule="auto"/>
              <w:jc w:val="left"/>
            </w:pPr>
            <w:r>
              <w:rPr>
                <w:sz w:val="17"/>
              </w:rPr>
              <w:t xml:space="preserve">Contrôle</w:t>
            </w:r>
          </w:p>
        </w:tc>
        <w:tc>
          <w:tcPr/>
          <w:p>
            <w:pPr>
              <w:pStyle w:val="Compact"/>
              <w:spacing w:after="20" w:before="20" w:line="240" w:lineRule="auto"/>
              <w:jc w:val="left"/>
            </w:pPr>
            <w:r>
              <w:rPr>
                <w:sz w:val="17"/>
              </w:rPr>
              <w:t xml:space="preserve">Rendement net du contrôle</w:t>
            </w:r>
          </w:p>
        </w:tc>
        <w:tc>
          <w:tcPr/>
          <w:p>
            <w:pPr>
              <w:pStyle w:val="Compact"/>
              <w:spacing w:after="20" w:before="20" w:line="240" w:lineRule="auto"/>
              <w:jc w:val="left"/>
            </w:pPr>
            <w:r>
              <w:rPr>
                <w:sz w:val="17"/>
              </w:rPr>
              <w:t xml:space="preserve">(Recettes récupérées − coût) / coût</w:t>
            </w:r>
          </w:p>
        </w:tc>
      </w:tr>
      <w:tr>
        <w:tc>
          <w:tcPr>
            <w:shd w:val="clear" w:color="auto" w:fill="F2F9F8"/>
          </w:tcPr>
          <w:p>
            <w:pPr>
              <w:pStyle w:val="Compact"/>
              <w:spacing w:after="20" w:before="20" w:line="240" w:lineRule="auto"/>
              <w:jc w:val="left"/>
            </w:pPr>
            <w:r>
              <w:rPr>
                <w:sz w:val="17"/>
              </w:rPr>
              <w:t xml:space="preserve">Sécurité</w:t>
            </w:r>
          </w:p>
        </w:tc>
        <w:tc>
          <w:tcPr>
            <w:shd w:val="clear" w:color="auto" w:fill="F2F9F8"/>
          </w:tcPr>
          <w:p>
            <w:pPr>
              <w:pStyle w:val="Compact"/>
              <w:spacing w:after="20" w:before="20" w:line="240" w:lineRule="auto"/>
              <w:jc w:val="left"/>
            </w:pPr>
            <w:r>
              <w:rPr>
                <w:sz w:val="17"/>
              </w:rPr>
              <w:t xml:space="preserve">Alertes critiques non résolues</w:t>
            </w:r>
          </w:p>
        </w:tc>
        <w:tc>
          <w:tcPr>
            <w:shd w:val="clear" w:color="auto" w:fill="F2F9F8"/>
          </w:tcPr>
          <w:p>
            <w:pPr>
              <w:pStyle w:val="Compact"/>
              <w:spacing w:after="20" w:before="20" w:line="240" w:lineRule="auto"/>
              <w:jc w:val="left"/>
            </w:pPr>
            <w:r>
              <w:rPr>
                <w:sz w:val="17"/>
              </w:rPr>
              <w:t xml:space="preserve">Nombre et ancienneté</w:t>
            </w:r>
          </w:p>
        </w:tc>
      </w:tr>
      <w:tr>
        <w:tc>
          <w:tcPr/>
          <w:p>
            <w:pPr>
              <w:pStyle w:val="Compact"/>
              <w:spacing w:after="20" w:before="20" w:line="240" w:lineRule="auto"/>
              <w:jc w:val="left"/>
            </w:pPr>
            <w:r>
              <w:rPr>
                <w:sz w:val="17"/>
              </w:rPr>
              <w:t xml:space="preserve">Adoption</w:t>
            </w:r>
          </w:p>
        </w:tc>
        <w:tc>
          <w:tcPr/>
          <w:p>
            <w:pPr>
              <w:pStyle w:val="Compact"/>
              <w:spacing w:after="20" w:before="20" w:line="240" w:lineRule="auto"/>
              <w:jc w:val="left"/>
            </w:pPr>
            <w:r>
              <w:rPr>
                <w:sz w:val="17"/>
              </w:rPr>
              <w:t xml:space="preserve">Utilisateurs actifs</w:t>
            </w:r>
          </w:p>
        </w:tc>
        <w:tc>
          <w:tcPr/>
          <w:p>
            <w:pPr>
              <w:pStyle w:val="Compact"/>
              <w:spacing w:after="20" w:before="20" w:line="240" w:lineRule="auto"/>
              <w:jc w:val="left"/>
            </w:pPr>
            <w:r>
              <w:rPr>
                <w:sz w:val="17"/>
              </w:rPr>
              <w:t xml:space="preserve">Comptes ayant réalisé une action utile</w:t>
            </w:r>
          </w:p>
        </w:tc>
      </w:tr>
      <w:tr>
        <w:tc>
          <w:tcPr>
            <w:shd w:val="clear" w:color="auto" w:fill="F2F9F8"/>
          </w:tcPr>
          <w:p>
            <w:pPr>
              <w:pStyle w:val="Compact"/>
              <w:spacing w:after="20" w:before="20" w:line="240" w:lineRule="auto"/>
              <w:jc w:val="left"/>
            </w:pPr>
            <w:r>
              <w:rPr>
                <w:sz w:val="17"/>
              </w:rPr>
              <w:t xml:space="preserve">Parking</w:t>
            </w:r>
          </w:p>
        </w:tc>
        <w:tc>
          <w:tcPr>
            <w:shd w:val="clear" w:color="auto" w:fill="F2F9F8"/>
          </w:tcPr>
          <w:p>
            <w:pPr>
              <w:pStyle w:val="Compact"/>
              <w:spacing w:after="20" w:before="20" w:line="240" w:lineRule="auto"/>
              <w:jc w:val="left"/>
            </w:pPr>
            <w:r>
              <w:rPr>
                <w:sz w:val="17"/>
              </w:rPr>
              <w:t xml:space="preserve">Taux d’occupation et de rotation</w:t>
            </w:r>
          </w:p>
        </w:tc>
        <w:tc>
          <w:tcPr>
            <w:shd w:val="clear" w:color="auto" w:fill="F2F9F8"/>
          </w:tcPr>
          <w:p>
            <w:pPr>
              <w:pStyle w:val="Compact"/>
              <w:spacing w:after="20" w:before="20" w:line="240" w:lineRule="auto"/>
              <w:jc w:val="left"/>
            </w:pPr>
            <w:r>
              <w:rPr>
                <w:sz w:val="17"/>
              </w:rPr>
              <w:t xml:space="preserve">Places occupées / places ; véhicules payants par place et par jour</w:t>
            </w:r>
          </w:p>
        </w:tc>
      </w:tr>
      <w:tr>
        <w:tc>
          <w:tcPr/>
          <w:p>
            <w:pPr>
              <w:pStyle w:val="Compact"/>
              <w:spacing w:after="20" w:before="20" w:line="240" w:lineRule="auto"/>
              <w:jc w:val="left"/>
            </w:pPr>
            <w:r>
              <w:rPr>
                <w:sz w:val="17"/>
              </w:rPr>
              <w:t xml:space="preserve">AVIA</w:t>
            </w:r>
          </w:p>
        </w:tc>
        <w:tc>
          <w:tcPr/>
          <w:p>
            <w:pPr>
              <w:pStyle w:val="Compact"/>
              <w:spacing w:after="20" w:before="20" w:line="240" w:lineRule="auto"/>
              <w:jc w:val="left"/>
            </w:pPr>
            <w:r>
              <w:rPr>
                <w:sz w:val="17"/>
              </w:rPr>
              <w:t xml:space="preserve">Écart de réconciliation aérienne</w:t>
            </w:r>
          </w:p>
        </w:tc>
        <w:tc>
          <w:tcPr/>
          <w:p>
            <w:pPr>
              <w:pStyle w:val="Compact"/>
              <w:spacing w:after="20" w:before="20" w:line="240" w:lineRule="auto"/>
              <w:jc w:val="left"/>
            </w:pPr>
            <w:r>
              <w:rPr>
                <w:sz w:val="17"/>
              </w:rPr>
              <w:t xml:space="preserve">(Taxes dues calculées par le RRH − taxes reversées) / taxes dues</w:t>
            </w:r>
          </w:p>
        </w:tc>
      </w:tr>
      <w:tr>
        <w:tc>
          <w:tcPr>
            <w:shd w:val="clear" w:color="auto" w:fill="F2F9F8"/>
          </w:tcPr>
          <w:p>
            <w:pPr>
              <w:pStyle w:val="Compact"/>
              <w:spacing w:after="20" w:before="20" w:line="240" w:lineRule="auto"/>
              <w:jc w:val="left"/>
            </w:pPr>
            <w:r>
              <w:rPr>
                <w:sz w:val="17"/>
              </w:rPr>
              <w:t xml:space="preserve">CALCU</w:t>
            </w:r>
          </w:p>
        </w:tc>
        <w:tc>
          <w:tcPr>
            <w:shd w:val="clear" w:color="auto" w:fill="F2F9F8"/>
          </w:tcPr>
          <w:p>
            <w:pPr>
              <w:pStyle w:val="Compact"/>
              <w:spacing w:after="20" w:before="20" w:line="240" w:lineRule="auto"/>
              <w:jc w:val="left"/>
            </w:pPr>
            <w:r>
              <w:rPr>
                <w:sz w:val="17"/>
              </w:rPr>
              <w:t xml:space="preserve">Conformité des dépenses</w:t>
            </w:r>
          </w:p>
        </w:tc>
        <w:tc>
          <w:tcPr>
            <w:shd w:val="clear" w:color="auto" w:fill="F2F9F8"/>
          </w:tcPr>
          <w:p>
            <w:pPr>
              <w:pStyle w:val="Compact"/>
              <w:spacing w:after="20" w:before="20" w:line="240" w:lineRule="auto"/>
              <w:jc w:val="left"/>
            </w:pPr>
            <w:r>
              <w:rPr>
                <w:sz w:val="17"/>
              </w:rPr>
              <w:t xml:space="preserve">Transactions vertes / transactions contrôlées</w:t>
            </w:r>
          </w:p>
        </w:tc>
      </w:tr>
    </w:tbl>
    <w:bookmarkEnd w:id="292"/>
    <w:bookmarkStart w:id="293" w:name="indicateurs-moto-taxis-wewa-11d.8"/>
    <w:p>
      <w:pPr>
        <w:pStyle w:val="Heading3"/>
      </w:pPr>
      <w:r>
        <w:t xml:space="preserve">Indicateurs moto-taxis (wewa, § 11D.8)</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Indicateur</w:t>
            </w:r>
          </w:p>
        </w:tc>
        <w:tc>
          <w:tcPr>
            <w:shd w:val="clear" w:color="auto" w:fill="1BA996"/>
          </w:tcPr>
          <w:p>
            <w:pPr>
              <w:pStyle w:val="Compact"/>
              <w:spacing w:after="20" w:before="20" w:line="240" w:lineRule="auto"/>
              <w:jc w:val="left"/>
            </w:pPr>
            <w:r>
              <w:rPr>
                <w:b/>
                <w:color w:val="FFFFFF"/>
                <w:sz w:val="17"/>
              </w:rPr>
              <w:t xml:space="preserve">Définition</w:t>
            </w:r>
          </w:p>
        </w:tc>
      </w:tr>
      <w:tr>
        <w:tc>
          <w:tcPr/>
          <w:p>
            <w:pPr>
              <w:pStyle w:val="Compact"/>
              <w:spacing w:after="20" w:before="20" w:line="240" w:lineRule="auto"/>
              <w:jc w:val="left"/>
            </w:pPr>
            <w:r>
              <w:rPr>
                <w:sz w:val="17"/>
              </w:rPr>
              <w:t xml:space="preserve">Wewa enregistrés</w:t>
            </w:r>
          </w:p>
        </w:tc>
        <w:tc>
          <w:tcPr/>
          <w:p>
            <w:pPr>
              <w:pStyle w:val="Compact"/>
              <w:spacing w:after="20" w:before="20" w:line="240" w:lineRule="auto"/>
              <w:jc w:val="left"/>
            </w:pPr>
            <w:r>
              <w:rPr>
                <w:sz w:val="17"/>
              </w:rPr>
              <w:t xml:space="preserve">Motos et conducteurs enregistrés / motos estimées par station et commune</w:t>
            </w:r>
          </w:p>
        </w:tc>
      </w:tr>
      <w:tr>
        <w:tc>
          <w:tcPr>
            <w:shd w:val="clear" w:color="auto" w:fill="F2F9F8"/>
          </w:tcPr>
          <w:p>
            <w:pPr>
              <w:pStyle w:val="Compact"/>
              <w:spacing w:after="20" w:before="20" w:line="240" w:lineRule="auto"/>
              <w:jc w:val="left"/>
            </w:pPr>
            <w:r>
              <w:rPr>
                <w:sz w:val="17"/>
              </w:rPr>
              <w:t xml:space="preserve">Conformité du pass</w:t>
            </w:r>
          </w:p>
        </w:tc>
        <w:tc>
          <w:tcPr>
            <w:shd w:val="clear" w:color="auto" w:fill="F2F9F8"/>
          </w:tcPr>
          <w:p>
            <w:pPr>
              <w:pStyle w:val="Compact"/>
              <w:spacing w:after="20" w:before="20" w:line="240" w:lineRule="auto"/>
              <w:jc w:val="left"/>
            </w:pPr>
            <w:r>
              <w:rPr>
                <w:sz w:val="17"/>
              </w:rPr>
              <w:t xml:space="preserve">Motos en vert lors des contrôles / motos contrôlées</w:t>
            </w:r>
          </w:p>
        </w:tc>
      </w:tr>
      <w:tr>
        <w:tc>
          <w:tcPr/>
          <w:p>
            <w:pPr>
              <w:pStyle w:val="Compact"/>
              <w:spacing w:after="20" w:before="20" w:line="240" w:lineRule="auto"/>
              <w:jc w:val="left"/>
            </w:pPr>
            <w:r>
              <w:rPr>
                <w:sz w:val="17"/>
              </w:rPr>
              <w:t xml:space="preserve">Paiement numérique</w:t>
            </w:r>
          </w:p>
        </w:tc>
        <w:tc>
          <w:tcPr/>
          <w:p>
            <w:pPr>
              <w:pStyle w:val="Compact"/>
              <w:spacing w:after="20" w:before="20" w:line="240" w:lineRule="auto"/>
              <w:jc w:val="left"/>
            </w:pPr>
            <w:r>
              <w:rPr>
                <w:sz w:val="17"/>
              </w:rPr>
              <w:t xml:space="preserve">Pass payés par téléphone, coopérative ou point agréé / pass délivrés (cible : 100 %)</w:t>
            </w:r>
          </w:p>
        </w:tc>
      </w:tr>
      <w:tr>
        <w:tc>
          <w:tcPr>
            <w:shd w:val="clear" w:color="auto" w:fill="F2F9F8"/>
          </w:tcPr>
          <w:p>
            <w:pPr>
              <w:pStyle w:val="Compact"/>
              <w:spacing w:after="20" w:before="20" w:line="240" w:lineRule="auto"/>
              <w:jc w:val="left"/>
            </w:pPr>
            <w:r>
              <w:rPr>
                <w:sz w:val="17"/>
              </w:rPr>
              <w:t xml:space="preserve">Plaintes de prélèvements irréguliers</w:t>
            </w:r>
          </w:p>
        </w:tc>
        <w:tc>
          <w:tcPr>
            <w:shd w:val="clear" w:color="auto" w:fill="F2F9F8"/>
          </w:tcPr>
          <w:p>
            <w:pPr>
              <w:pStyle w:val="Compact"/>
              <w:spacing w:after="20" w:before="20" w:line="240" w:lineRule="auto"/>
              <w:jc w:val="left"/>
            </w:pPr>
            <w:r>
              <w:rPr>
                <w:sz w:val="17"/>
              </w:rPr>
              <w:t xml:space="preserve">Nombre, délai de traitement, part confirmée</w:t>
            </w:r>
          </w:p>
        </w:tc>
      </w:tr>
    </w:tbl>
    <w:bookmarkEnd w:id="293"/>
    <w:bookmarkEnd w:id="294"/>
    <w:bookmarkStart w:id="296" w:name="registre-des-risques"/>
    <w:p>
      <w:pPr>
        <w:pStyle w:val="Heading1"/>
      </w:pPr>
      <w:r>
        <w:t xml:space="preserve">40. Registre des risques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848"/>
        <w:gridCol w:w="1584"/>
        <w:gridCol w:w="1144"/>
        <w:gridCol w:w="3168"/>
      </w:tblGrid>
      <w:tr>
        <w:trPr>
          <w:tblHeader w:val="true"/>
          <w:tblHeader/>
        </w:trPr>
        <w:tc>
          <w:tcPr>
            <w:shd w:val="clear" w:color="auto" w:fill="1BA996"/>
          </w:tcPr>
          <w:p>
            <w:pPr>
              <w:pStyle w:val="Compact"/>
              <w:spacing w:after="20" w:before="20" w:line="240" w:lineRule="auto"/>
              <w:jc w:val="left"/>
            </w:pPr>
            <w:r>
              <w:rPr>
                <w:b/>
                <w:bCs/>
                <w:color w:val="FFFFFF"/>
                <w:sz w:val="17"/>
              </w:rPr>
              <w:t xml:space="preserve">Risque</w:t>
            </w:r>
          </w:p>
        </w:tc>
        <w:tc>
          <w:tcPr>
            <w:shd w:val="clear" w:color="auto" w:fill="1BA996"/>
          </w:tcPr>
          <w:p>
            <w:pPr>
              <w:pStyle w:val="Compact"/>
              <w:spacing w:after="20" w:before="20" w:line="240" w:lineRule="auto"/>
              <w:jc w:val="left"/>
            </w:pPr>
            <w:r>
              <w:rPr>
                <w:b/>
                <w:bCs/>
                <w:color w:val="FFFFFF"/>
                <w:sz w:val="17"/>
              </w:rPr>
              <w:t xml:space="preserve">Probabilité</w:t>
            </w:r>
          </w:p>
        </w:tc>
        <w:tc>
          <w:tcPr>
            <w:shd w:val="clear" w:color="auto" w:fill="1BA996"/>
          </w:tcPr>
          <w:p>
            <w:pPr>
              <w:pStyle w:val="Compact"/>
              <w:spacing w:after="20" w:before="20" w:line="240" w:lineRule="auto"/>
              <w:jc w:val="left"/>
            </w:pPr>
            <w:r>
              <w:rPr>
                <w:b/>
                <w:bCs/>
                <w:color w:val="FFFFFF"/>
                <w:sz w:val="17"/>
              </w:rPr>
              <w:t xml:space="preserve">Impact</w:t>
            </w:r>
          </w:p>
        </w:tc>
        <w:tc>
          <w:tcPr>
            <w:shd w:val="clear" w:color="auto" w:fill="1BA996"/>
          </w:tcPr>
          <w:p>
            <w:pPr>
              <w:pStyle w:val="Compact"/>
              <w:spacing w:after="20" w:before="20" w:line="240" w:lineRule="auto"/>
              <w:jc w:val="left"/>
            </w:pPr>
            <w:r>
              <w:rPr>
                <w:b/>
                <w:bCs/>
                <w:color w:val="FFFFFF"/>
                <w:sz w:val="17"/>
              </w:rPr>
              <w:t xml:space="preserve">Traitement</w:t>
            </w:r>
          </w:p>
        </w:tc>
      </w:tr>
      <w:tr>
        <w:tc>
          <w:tcPr/>
          <w:p>
            <w:pPr>
              <w:pStyle w:val="Compact"/>
              <w:spacing w:after="20" w:before="20" w:line="240" w:lineRule="auto"/>
              <w:jc w:val="left"/>
            </w:pPr>
            <w:r>
              <w:rPr>
                <w:sz w:val="17"/>
              </w:rPr>
              <w:t xml:space="preserve">Référentiel appuyé</w:t>
            </w:r>
            <w:r>
              <w:rPr>
                <w:sz w:val="17"/>
              </w:rPr>
              <w:t xml:space="preserve"> </w:t>
            </w:r>
            <w:r>
              <w:rPr>
                <w:sz w:val="17"/>
              </w:rPr>
              <w:t xml:space="preserve">sur un texte abrogé</w:t>
            </w:r>
          </w:p>
        </w:tc>
        <w:tc>
          <w:tcPr/>
          <w:p>
            <w:pPr>
              <w:pStyle w:val="Compact"/>
              <w:spacing w:after="20" w:before="20" w:line="240" w:lineRule="auto"/>
              <w:jc w:val="left"/>
            </w:pPr>
            <w:r>
              <w:rPr>
                <w:sz w:val="17"/>
              </w:rPr>
              <w:t xml:space="preserve">Moyenne</w:t>
            </w:r>
          </w:p>
        </w:tc>
        <w:tc>
          <w:tcPr/>
          <w:p>
            <w:pPr>
              <w:pStyle w:val="Compact"/>
              <w:spacing w:after="20" w:before="20" w:line="240" w:lineRule="auto"/>
              <w:jc w:val="left"/>
            </w:pPr>
            <w:r>
              <w:rPr>
                <w:sz w:val="17"/>
              </w:rPr>
              <w:t xml:space="preserve">Très élevé</w:t>
            </w:r>
          </w:p>
        </w:tc>
        <w:tc>
          <w:tcPr/>
          <w:p>
            <w:pPr>
              <w:pStyle w:val="Compact"/>
              <w:spacing w:after="20" w:before="20" w:line="240" w:lineRule="auto"/>
              <w:jc w:val="left"/>
            </w:pPr>
            <w:r>
              <w:rPr>
                <w:sz w:val="17"/>
              </w:rPr>
              <w:t xml:space="preserve">Relevé juridique certifié avant</w:t>
            </w:r>
            <w:r>
              <w:rPr>
                <w:sz w:val="17"/>
              </w:rPr>
              <w:t xml:space="preserve"> </w:t>
            </w:r>
            <w:r>
              <w:rPr>
                <w:sz w:val="17"/>
              </w:rPr>
              <w:t xml:space="preserve">paramétrage, blocage technique sans</w:t>
            </w:r>
            <w:r>
              <w:rPr>
                <w:sz w:val="17"/>
              </w:rPr>
              <w:t xml:space="preserve"> </w:t>
            </w:r>
            <w:r>
              <w:rPr>
                <w:sz w:val="17"/>
              </w:rPr>
              <w:t xml:space="preserve">référence légale valide</w:t>
            </w:r>
          </w:p>
        </w:tc>
      </w:tr>
      <w:tr>
        <w:tc>
          <w:tcPr>
            <w:shd w:val="clear" w:color="auto" w:fill="F2F9F8"/>
          </w:tcPr>
          <w:p>
            <w:pPr>
              <w:pStyle w:val="Compact"/>
              <w:spacing w:after="20" w:before="20" w:line="240" w:lineRule="auto"/>
              <w:jc w:val="left"/>
            </w:pPr>
            <w:r>
              <w:rPr>
                <w:sz w:val="17"/>
              </w:rPr>
              <w:t xml:space="preserve">Résistance des</w:t>
            </w:r>
            <w:r>
              <w:rPr>
                <w:sz w:val="17"/>
              </w:rPr>
              <w:t xml:space="preserve"> </w:t>
            </w:r>
            <w:r>
              <w:rPr>
                <w:sz w:val="17"/>
              </w:rPr>
              <w:t xml:space="preserve">agents perdant des</w:t>
            </w:r>
            <w:r>
              <w:rPr>
                <w:sz w:val="17"/>
              </w:rPr>
              <w:t xml:space="preserve"> </w:t>
            </w:r>
            <w:r>
              <w:rPr>
                <w:sz w:val="17"/>
              </w:rPr>
              <w:t xml:space="preserve">revenus informels</w:t>
            </w:r>
          </w:p>
        </w:tc>
        <w:tc>
          <w:tcPr>
            <w:shd w:val="clear" w:color="auto" w:fill="F2F9F8"/>
          </w:tcPr>
          <w:p>
            <w:pPr>
              <w:pStyle w:val="Compact"/>
              <w:spacing w:after="20" w:before="20" w:line="240" w:lineRule="auto"/>
              <w:jc w:val="left"/>
            </w:pPr>
            <w:r>
              <w:rPr>
                <w:sz w:val="17"/>
              </w:rPr>
              <w:t xml:space="preserve">Élevée</w:t>
            </w:r>
          </w:p>
        </w:tc>
        <w:tc>
          <w:tcPr>
            <w:shd w:val="clear" w:color="auto" w:fill="F2F9F8"/>
          </w:tcPr>
          <w:p>
            <w:pPr>
              <w:pStyle w:val="Compact"/>
              <w:spacing w:after="20" w:before="20" w:line="240" w:lineRule="auto"/>
              <w:jc w:val="left"/>
            </w:pPr>
            <w:r>
              <w:rPr>
                <w:sz w:val="17"/>
              </w:rPr>
              <w:t xml:space="preserve">Élevé</w:t>
            </w:r>
          </w:p>
        </w:tc>
        <w:tc>
          <w:tcPr>
            <w:shd w:val="clear" w:color="auto" w:fill="F2F9F8"/>
          </w:tcPr>
          <w:p>
            <w:pPr>
              <w:pStyle w:val="Compact"/>
              <w:spacing w:after="20" w:before="20" w:line="240" w:lineRule="auto"/>
              <w:jc w:val="left"/>
            </w:pPr>
            <w:r>
              <w:rPr>
                <w:sz w:val="17"/>
              </w:rPr>
              <w:t xml:space="preserve">Primes sur résultats vérifiés,</w:t>
            </w:r>
            <w:r>
              <w:rPr>
                <w:sz w:val="17"/>
              </w:rPr>
              <w:t xml:space="preserve"> </w:t>
            </w:r>
            <w:r>
              <w:rPr>
                <w:sz w:val="17"/>
              </w:rPr>
              <w:t xml:space="preserve">dialogue social préalable,</w:t>
            </w:r>
            <w:r>
              <w:rPr>
                <w:sz w:val="17"/>
              </w:rPr>
              <w:t xml:space="preserve"> </w:t>
            </w:r>
            <w:r>
              <w:rPr>
                <w:sz w:val="17"/>
              </w:rPr>
              <w:t xml:space="preserve">déploiement progressif, rotation</w:t>
            </w:r>
            <w:r>
              <w:rPr>
                <w:sz w:val="17"/>
              </w:rPr>
              <w:t xml:space="preserve"> </w:t>
            </w:r>
            <w:r>
              <w:rPr>
                <w:sz w:val="17"/>
              </w:rPr>
              <w:t xml:space="preserve">des zones</w:t>
            </w:r>
          </w:p>
        </w:tc>
      </w:tr>
      <w:tr>
        <w:tc>
          <w:tcPr/>
          <w:p>
            <w:pPr>
              <w:pStyle w:val="Compact"/>
              <w:spacing w:after="20" w:before="20" w:line="240" w:lineRule="auto"/>
              <w:jc w:val="left"/>
            </w:pPr>
            <w:r>
              <w:rPr>
                <w:sz w:val="17"/>
              </w:rPr>
              <w:t xml:space="preserve">Rejet politique ou</w:t>
            </w:r>
            <w:r>
              <w:rPr>
                <w:sz w:val="17"/>
              </w:rPr>
              <w:t xml:space="preserve"> </w:t>
            </w:r>
            <w:r>
              <w:rPr>
                <w:sz w:val="17"/>
              </w:rPr>
              <w:t xml:space="preserve">social de la</w:t>
            </w:r>
            <w:r>
              <w:rPr>
                <w:sz w:val="17"/>
              </w:rPr>
              <w:t xml:space="preserve"> </w:t>
            </w:r>
            <w:r>
              <w:rPr>
                <w:sz w:val="17"/>
              </w:rPr>
              <w:t xml:space="preserve">pression fiscale</w:t>
            </w:r>
          </w:p>
        </w:tc>
        <w:tc>
          <w:tcPr/>
          <w:p>
            <w:pPr>
              <w:pStyle w:val="Compact"/>
              <w:spacing w:after="20" w:before="20" w:line="240" w:lineRule="auto"/>
              <w:jc w:val="left"/>
            </w:pPr>
            <w:r>
              <w:rPr>
                <w:sz w:val="17"/>
              </w:rPr>
              <w:t xml:space="preserve">Moyenne</w:t>
            </w:r>
          </w:p>
        </w:tc>
        <w:tc>
          <w:tcPr/>
          <w:p>
            <w:pPr>
              <w:pStyle w:val="Compact"/>
              <w:spacing w:after="20" w:before="20" w:line="240" w:lineRule="auto"/>
              <w:jc w:val="left"/>
            </w:pPr>
            <w:r>
              <w:rPr>
                <w:sz w:val="17"/>
              </w:rPr>
              <w:t xml:space="preserve">Élevé</w:t>
            </w:r>
          </w:p>
        </w:tc>
        <w:tc>
          <w:tcPr/>
          <w:p>
            <w:pPr>
              <w:pStyle w:val="Compact"/>
              <w:spacing w:after="20" w:before="20" w:line="240" w:lineRule="auto"/>
              <w:jc w:val="left"/>
            </w:pPr>
            <w:r>
              <w:rPr>
                <w:sz w:val="17"/>
              </w:rPr>
              <w:t xml:space="preserve">Valeur d'abord (attestation de</w:t>
            </w:r>
            <w:r>
              <w:rPr>
                <w:sz w:val="17"/>
              </w:rPr>
              <w:t xml:space="preserve"> </w:t>
            </w:r>
            <w:r>
              <w:rPr>
                <w:sz w:val="17"/>
              </w:rPr>
              <w:t xml:space="preserve">bail, échéancier, quittance</w:t>
            </w:r>
            <w:r>
              <w:rPr>
                <w:sz w:val="17"/>
              </w:rPr>
              <w:t xml:space="preserve"> </w:t>
            </w:r>
            <w:r>
              <w:rPr>
                <w:sz w:val="17"/>
              </w:rPr>
              <w:t xml:space="preserve">unique), publication des</w:t>
            </w:r>
            <w:r>
              <w:rPr>
                <w:sz w:val="17"/>
              </w:rPr>
              <w:t xml:space="preserve"> </w:t>
            </w:r>
            <w:r>
              <w:rPr>
                <w:sz w:val="17"/>
              </w:rPr>
              <w:t xml:space="preserve">réalisations financées</w:t>
            </w:r>
          </w:p>
        </w:tc>
      </w:tr>
      <w:tr>
        <w:tc>
          <w:tcPr>
            <w:shd w:val="clear" w:color="auto" w:fill="F2F9F8"/>
          </w:tcPr>
          <w:p>
            <w:pPr>
              <w:pStyle w:val="Compact"/>
              <w:spacing w:after="20" w:before="20" w:line="240" w:lineRule="auto"/>
              <w:jc w:val="left"/>
            </w:pPr>
            <w:r>
              <w:rPr>
                <w:sz w:val="17"/>
              </w:rPr>
              <w:t xml:space="preserve">Refus ou retard des</w:t>
            </w:r>
            <w:r>
              <w:rPr>
                <w:sz w:val="17"/>
              </w:rPr>
              <w:t xml:space="preserve"> </w:t>
            </w:r>
            <w:r>
              <w:rPr>
                <w:sz w:val="17"/>
              </w:rPr>
              <w:t xml:space="preserve">protocoles de</w:t>
            </w:r>
            <w:r>
              <w:rPr>
                <w:sz w:val="17"/>
              </w:rPr>
              <w:t xml:space="preserve"> </w:t>
            </w:r>
            <w:r>
              <w:rPr>
                <w:sz w:val="17"/>
              </w:rPr>
              <w:t xml:space="preserve">données</w:t>
            </w:r>
          </w:p>
        </w:tc>
        <w:tc>
          <w:tcPr>
            <w:shd w:val="clear" w:color="auto" w:fill="F2F9F8"/>
          </w:tcPr>
          <w:p>
            <w:pPr>
              <w:pStyle w:val="Compact"/>
              <w:spacing w:after="20" w:before="20" w:line="240" w:lineRule="auto"/>
              <w:jc w:val="left"/>
            </w:pPr>
            <w:r>
              <w:rPr>
                <w:sz w:val="17"/>
              </w:rPr>
              <w:t xml:space="preserve">Élevée</w:t>
            </w:r>
          </w:p>
        </w:tc>
        <w:tc>
          <w:tcPr>
            <w:shd w:val="clear" w:color="auto" w:fill="F2F9F8"/>
          </w:tcPr>
          <w:p>
            <w:pPr>
              <w:pStyle w:val="Compact"/>
              <w:spacing w:after="20" w:before="20" w:line="240" w:lineRule="auto"/>
              <w:jc w:val="left"/>
            </w:pPr>
            <w:r>
              <w:rPr>
                <w:sz w:val="17"/>
              </w:rPr>
              <w:t xml:space="preserve">Élevé</w:t>
            </w:r>
          </w:p>
        </w:tc>
        <w:tc>
          <w:tcPr>
            <w:shd w:val="clear" w:color="auto" w:fill="F2F9F8"/>
          </w:tcPr>
          <w:p>
            <w:pPr>
              <w:pStyle w:val="Compact"/>
              <w:spacing w:after="20" w:before="20" w:line="240" w:lineRule="auto"/>
              <w:jc w:val="left"/>
            </w:pPr>
            <w:r>
              <w:rPr>
                <w:sz w:val="17"/>
              </w:rPr>
              <w:t xml:space="preserve">Recensement terrain en parallèle,</w:t>
            </w:r>
            <w:r>
              <w:rPr>
                <w:sz w:val="17"/>
              </w:rPr>
              <w:t xml:space="preserve"> </w:t>
            </w:r>
            <w:r>
              <w:rPr>
                <w:sz w:val="17"/>
              </w:rPr>
              <w:t xml:space="preserve">négociation au niveau du</w:t>
            </w:r>
            <w:r>
              <w:rPr>
                <w:sz w:val="17"/>
              </w:rPr>
              <w:t xml:space="preserve"> </w:t>
            </w:r>
            <w:r>
              <w:rPr>
                <w:sz w:val="17"/>
              </w:rPr>
              <w:t xml:space="preserve">Gouvernement provincial,</w:t>
            </w:r>
            <w:r>
              <w:rPr>
                <w:sz w:val="17"/>
              </w:rPr>
              <w:t xml:space="preserve"> </w:t>
            </w:r>
            <w:r>
              <w:rPr>
                <w:sz w:val="17"/>
              </w:rPr>
              <w:t xml:space="preserve">séquencement par source</w:t>
            </w:r>
          </w:p>
        </w:tc>
      </w:tr>
      <w:tr>
        <w:tc>
          <w:tcPr/>
          <w:p>
            <w:pPr>
              <w:pStyle w:val="Compact"/>
              <w:spacing w:after="20" w:before="20" w:line="240" w:lineRule="auto"/>
              <w:jc w:val="left"/>
            </w:pPr>
            <w:r>
              <w:rPr>
                <w:sz w:val="17"/>
              </w:rPr>
              <w:t xml:space="preserve">Double imposition</w:t>
            </w:r>
            <w:r>
              <w:rPr>
                <w:sz w:val="17"/>
              </w:rPr>
              <w:t xml:space="preserve"> </w:t>
            </w:r>
            <w:r>
              <w:rPr>
                <w:sz w:val="17"/>
              </w:rPr>
              <w:t xml:space="preserve">province / commune /</w:t>
            </w:r>
            <w:r>
              <w:rPr>
                <w:sz w:val="17"/>
              </w:rPr>
              <w:t xml:space="preserve"> </w:t>
            </w:r>
            <w:r>
              <w:rPr>
                <w:sz w:val="17"/>
              </w:rPr>
              <w:t xml:space="preserve">pouvoir central</w:t>
            </w:r>
          </w:p>
        </w:tc>
        <w:tc>
          <w:tcPr/>
          <w:p>
            <w:pPr>
              <w:pStyle w:val="Compact"/>
              <w:spacing w:after="20" w:before="20" w:line="240" w:lineRule="auto"/>
              <w:jc w:val="left"/>
            </w:pPr>
            <w:r>
              <w:rPr>
                <w:sz w:val="17"/>
              </w:rPr>
              <w:t xml:space="preserve">Moyenne</w:t>
            </w:r>
          </w:p>
        </w:tc>
        <w:tc>
          <w:tcPr/>
          <w:p>
            <w:pPr>
              <w:pStyle w:val="Compact"/>
              <w:spacing w:after="20" w:before="20" w:line="240" w:lineRule="auto"/>
              <w:jc w:val="left"/>
            </w:pPr>
            <w:r>
              <w:rPr>
                <w:sz w:val="17"/>
              </w:rPr>
              <w:t xml:space="preserve">Élevé</w:t>
            </w:r>
          </w:p>
        </w:tc>
        <w:tc>
          <w:tcPr/>
          <w:p>
            <w:pPr>
              <w:pStyle w:val="Compact"/>
              <w:spacing w:after="20" w:before="20" w:line="240" w:lineRule="auto"/>
              <w:jc w:val="left"/>
            </w:pPr>
            <w:r>
              <w:rPr>
                <w:sz w:val="17"/>
              </w:rPr>
              <w:t xml:space="preserve">Référentiel unique avec autorité</w:t>
            </w:r>
            <w:r>
              <w:rPr>
                <w:sz w:val="17"/>
              </w:rPr>
              <w:t xml:space="preserve"> </w:t>
            </w:r>
            <w:r>
              <w:rPr>
                <w:sz w:val="17"/>
              </w:rPr>
              <w:t xml:space="preserve">compétente, refus des doublons sur</w:t>
            </w:r>
            <w:r>
              <w:rPr>
                <w:sz w:val="17"/>
              </w:rPr>
              <w:t xml:space="preserve"> </w:t>
            </w:r>
            <w:r>
              <w:rPr>
                <w:sz w:val="17"/>
              </w:rPr>
              <w:t xml:space="preserve">un même fait générateur</w:t>
            </w:r>
          </w:p>
        </w:tc>
      </w:tr>
      <w:tr>
        <w:tc>
          <w:tcPr>
            <w:shd w:val="clear" w:color="auto" w:fill="F2F9F8"/>
          </w:tcPr>
          <w:p>
            <w:pPr>
              <w:pStyle w:val="Compact"/>
              <w:spacing w:after="20" w:before="20" w:line="240" w:lineRule="auto"/>
              <w:jc w:val="left"/>
            </w:pPr>
            <w:r>
              <w:rPr>
                <w:sz w:val="17"/>
              </w:rPr>
              <w:t xml:space="preserve">Changement</w:t>
            </w:r>
            <w:r>
              <w:rPr>
                <w:sz w:val="17"/>
              </w:rPr>
              <w:t xml:space="preserve"> </w:t>
            </w:r>
            <w:r>
              <w:rPr>
                <w:sz w:val="17"/>
              </w:rPr>
              <w:t xml:space="preserve">institutionnel</w:t>
            </w:r>
            <w:r>
              <w:rPr>
                <w:sz w:val="17"/>
              </w:rPr>
              <w:t xml:space="preserve"> </w:t>
            </w:r>
            <w:r>
              <w:rPr>
                <w:sz w:val="17"/>
              </w:rPr>
              <w:t xml:space="preserve">(nouvelles régies)</w:t>
            </w:r>
          </w:p>
        </w:tc>
        <w:tc>
          <w:tcPr>
            <w:shd w:val="clear" w:color="auto" w:fill="F2F9F8"/>
          </w:tcPr>
          <w:p>
            <w:pPr>
              <w:pStyle w:val="Compact"/>
              <w:spacing w:after="20" w:before="20" w:line="240" w:lineRule="auto"/>
              <w:jc w:val="left"/>
            </w:pPr>
            <w:r>
              <w:rPr>
                <w:sz w:val="17"/>
              </w:rPr>
              <w:t xml:space="preserve">Élevée</w:t>
            </w:r>
          </w:p>
        </w:tc>
        <w:tc>
          <w:tcPr>
            <w:shd w:val="clear" w:color="auto" w:fill="F2F9F8"/>
          </w:tcPr>
          <w:p>
            <w:pPr>
              <w:pStyle w:val="Compact"/>
              <w:spacing w:after="20" w:before="20" w:line="240" w:lineRule="auto"/>
              <w:jc w:val="left"/>
            </w:pPr>
            <w:r>
              <w:rPr>
                <w:sz w:val="17"/>
              </w:rPr>
              <w:t xml:space="preserve">Moyen</w:t>
            </w:r>
          </w:p>
        </w:tc>
        <w:tc>
          <w:tcPr>
            <w:shd w:val="clear" w:color="auto" w:fill="F2F9F8"/>
          </w:tcPr>
          <w:p>
            <w:pPr>
              <w:pStyle w:val="Compact"/>
              <w:spacing w:after="20" w:before="20" w:line="240" w:lineRule="auto"/>
              <w:jc w:val="left"/>
            </w:pPr>
            <w:r>
              <w:rPr>
                <w:sz w:val="17"/>
              </w:rPr>
              <w:t xml:space="preserve">Régie paramétrable, rôles</w:t>
            </w:r>
            <w:r>
              <w:rPr>
                <w:sz w:val="17"/>
              </w:rPr>
              <w:t xml:space="preserve"> </w:t>
            </w:r>
            <w:r>
              <w:rPr>
                <w:sz w:val="17"/>
              </w:rPr>
              <w:t xml:space="preserve">reconfigurables sans</w:t>
            </w:r>
            <w:r>
              <w:rPr>
                <w:sz w:val="17"/>
              </w:rPr>
              <w:t xml:space="preserve"> </w:t>
            </w:r>
            <w:r>
              <w:rPr>
                <w:sz w:val="17"/>
              </w:rPr>
              <w:t xml:space="preserve">redéveloppement</w:t>
            </w:r>
          </w:p>
        </w:tc>
      </w:tr>
      <w:tr>
        <w:tc>
          <w:tcPr/>
          <w:p>
            <w:pPr>
              <w:pStyle w:val="Compact"/>
              <w:spacing w:after="20" w:before="20" w:line="240" w:lineRule="auto"/>
              <w:jc w:val="left"/>
            </w:pPr>
            <w:r>
              <w:rPr>
                <w:sz w:val="17"/>
              </w:rPr>
              <w:t xml:space="preserve">Dépendance au</w:t>
            </w:r>
            <w:r>
              <w:rPr>
                <w:sz w:val="17"/>
              </w:rPr>
              <w:t xml:space="preserve"> </w:t>
            </w:r>
            <w:r>
              <w:rPr>
                <w:sz w:val="17"/>
              </w:rPr>
              <w:t xml:space="preserve">prestataire</w:t>
            </w:r>
          </w:p>
        </w:tc>
        <w:tc>
          <w:tcPr/>
          <w:p>
            <w:pPr>
              <w:pStyle w:val="Compact"/>
              <w:spacing w:after="20" w:before="20" w:line="240" w:lineRule="auto"/>
              <w:jc w:val="left"/>
            </w:pPr>
            <w:r>
              <w:rPr>
                <w:sz w:val="17"/>
              </w:rPr>
              <w:t xml:space="preserve">Moyenne</w:t>
            </w:r>
          </w:p>
        </w:tc>
        <w:tc>
          <w:tcPr/>
          <w:p>
            <w:pPr>
              <w:pStyle w:val="Compact"/>
              <w:spacing w:after="20" w:before="20" w:line="240" w:lineRule="auto"/>
              <w:jc w:val="left"/>
            </w:pPr>
            <w:r>
              <w:rPr>
                <w:sz w:val="17"/>
              </w:rPr>
              <w:t xml:space="preserve">Élevé</w:t>
            </w:r>
          </w:p>
        </w:tc>
        <w:tc>
          <w:tcPr/>
          <w:p>
            <w:pPr>
              <w:pStyle w:val="Compact"/>
              <w:spacing w:after="20" w:before="20" w:line="240" w:lineRule="auto"/>
              <w:jc w:val="left"/>
            </w:pPr>
            <w:r>
              <w:rPr>
                <w:sz w:val="17"/>
              </w:rPr>
              <w:t xml:space="preserve">Séquestre du code, formats ouverts,</w:t>
            </w:r>
            <w:r>
              <w:rPr>
                <w:sz w:val="17"/>
              </w:rPr>
              <w:t xml:space="preserve"> </w:t>
            </w:r>
            <w:r>
              <w:rPr>
                <w:sz w:val="17"/>
              </w:rPr>
              <w:t xml:space="preserve">transfert de compétences</w:t>
            </w:r>
            <w:r>
              <w:rPr>
                <w:sz w:val="17"/>
              </w:rPr>
              <w:t xml:space="preserve"> </w:t>
            </w:r>
            <w:r>
              <w:rPr>
                <w:sz w:val="17"/>
              </w:rPr>
              <w:t xml:space="preserve">contractuel, test annuel de</w:t>
            </w:r>
            <w:r>
              <w:rPr>
                <w:sz w:val="17"/>
              </w:rPr>
              <w:t xml:space="preserve"> </w:t>
            </w:r>
            <w:r>
              <w:rPr>
                <w:sz w:val="17"/>
              </w:rPr>
              <w:t xml:space="preserve">réversibilité</w:t>
            </w:r>
          </w:p>
        </w:tc>
      </w:tr>
      <w:tr>
        <w:tc>
          <w:tcPr>
            <w:shd w:val="clear" w:color="auto" w:fill="F2F9F8"/>
          </w:tcPr>
          <w:p>
            <w:pPr>
              <w:pStyle w:val="Compact"/>
              <w:spacing w:after="20" w:before="20" w:line="240" w:lineRule="auto"/>
              <w:jc w:val="left"/>
            </w:pPr>
            <w:r>
              <w:rPr>
                <w:sz w:val="17"/>
              </w:rPr>
              <w:t xml:space="preserve">Incident de sécurité</w:t>
            </w:r>
            <w:r>
              <w:rPr>
                <w:sz w:val="17"/>
              </w:rPr>
              <w:t xml:space="preserve"> </w:t>
            </w:r>
            <w:r>
              <w:rPr>
                <w:sz w:val="17"/>
              </w:rPr>
              <w:t xml:space="preserve">ou fuite de données</w:t>
            </w:r>
          </w:p>
        </w:tc>
        <w:tc>
          <w:tcPr>
            <w:shd w:val="clear" w:color="auto" w:fill="F2F9F8"/>
          </w:tcPr>
          <w:p>
            <w:pPr>
              <w:pStyle w:val="Compact"/>
              <w:spacing w:after="20" w:before="20" w:line="240" w:lineRule="auto"/>
              <w:jc w:val="left"/>
            </w:pPr>
            <w:r>
              <w:rPr>
                <w:sz w:val="17"/>
              </w:rPr>
              <w:t xml:space="preserve">Moyenne</w:t>
            </w:r>
          </w:p>
        </w:tc>
        <w:tc>
          <w:tcPr>
            <w:shd w:val="clear" w:color="auto" w:fill="F2F9F8"/>
          </w:tcPr>
          <w:p>
            <w:pPr>
              <w:pStyle w:val="Compact"/>
              <w:spacing w:after="20" w:before="20" w:line="240" w:lineRule="auto"/>
              <w:jc w:val="left"/>
            </w:pPr>
            <w:r>
              <w:rPr>
                <w:sz w:val="17"/>
              </w:rPr>
              <w:t xml:space="preserve">Très élevé</w:t>
            </w:r>
          </w:p>
        </w:tc>
        <w:tc>
          <w:tcPr>
            <w:shd w:val="clear" w:color="auto" w:fill="F2F9F8"/>
          </w:tcPr>
          <w:p>
            <w:pPr>
              <w:pStyle w:val="Compact"/>
              <w:spacing w:after="20" w:before="20" w:line="240" w:lineRule="auto"/>
              <w:jc w:val="left"/>
            </w:pPr>
            <w:r>
              <w:rPr>
                <w:sz w:val="17"/>
              </w:rPr>
              <w:t xml:space="preserve">Zéro confiance, chiffrement, tests</w:t>
            </w:r>
            <w:r>
              <w:rPr>
                <w:sz w:val="17"/>
              </w:rPr>
              <w:t xml:space="preserve"> </w:t>
            </w:r>
            <w:r>
              <w:rPr>
                <w:sz w:val="17"/>
              </w:rPr>
              <w:t xml:space="preserve">d'intrusion, plan d'incident,</w:t>
            </w:r>
            <w:r>
              <w:rPr>
                <w:sz w:val="17"/>
              </w:rPr>
              <w:t xml:space="preserve"> </w:t>
            </w:r>
            <w:r>
              <w:rPr>
                <w:sz w:val="17"/>
              </w:rPr>
              <w:t xml:space="preserve">sauvegarde immuable</w:t>
            </w:r>
          </w:p>
        </w:tc>
      </w:tr>
      <w:tr>
        <w:tc>
          <w:tcPr/>
          <w:p>
            <w:pPr>
              <w:pStyle w:val="Compact"/>
              <w:spacing w:after="20" w:before="20" w:line="240" w:lineRule="auto"/>
              <w:jc w:val="left"/>
            </w:pPr>
            <w:r>
              <w:rPr>
                <w:sz w:val="17"/>
              </w:rPr>
              <w:t xml:space="preserve">Fraude interne aux</w:t>
            </w:r>
            <w:r>
              <w:rPr>
                <w:sz w:val="17"/>
              </w:rPr>
              <w:t xml:space="preserve"> </w:t>
            </w:r>
            <w:r>
              <w:rPr>
                <w:sz w:val="17"/>
              </w:rPr>
              <w:t xml:space="preserve">postes sensibles</w:t>
            </w:r>
          </w:p>
        </w:tc>
        <w:tc>
          <w:tcPr/>
          <w:p>
            <w:pPr>
              <w:pStyle w:val="Compact"/>
              <w:spacing w:after="20" w:before="20" w:line="240" w:lineRule="auto"/>
              <w:jc w:val="left"/>
            </w:pPr>
            <w:r>
              <w:rPr>
                <w:sz w:val="17"/>
              </w:rPr>
              <w:t xml:space="preserve">Moyenne</w:t>
            </w:r>
          </w:p>
        </w:tc>
        <w:tc>
          <w:tcPr/>
          <w:p>
            <w:pPr>
              <w:pStyle w:val="Compact"/>
              <w:spacing w:after="20" w:before="20" w:line="240" w:lineRule="auto"/>
              <w:jc w:val="left"/>
            </w:pPr>
            <w:r>
              <w:rPr>
                <w:sz w:val="17"/>
              </w:rPr>
              <w:t xml:space="preserve">Très élevé</w:t>
            </w:r>
          </w:p>
        </w:tc>
        <w:tc>
          <w:tcPr/>
          <w:p>
            <w:pPr>
              <w:pStyle w:val="Compact"/>
              <w:spacing w:after="20" w:before="20" w:line="240" w:lineRule="auto"/>
              <w:jc w:val="left"/>
            </w:pPr>
            <w:r>
              <w:rPr>
                <w:sz w:val="17"/>
              </w:rPr>
              <w:t xml:space="preserve">Séparation des fonctions, quatre</w:t>
            </w:r>
            <w:r>
              <w:rPr>
                <w:sz w:val="17"/>
              </w:rPr>
              <w:t xml:space="preserve"> </w:t>
            </w:r>
            <w:r>
              <w:rPr>
                <w:sz w:val="17"/>
              </w:rPr>
              <w:t xml:space="preserve">yeux, accès temporaire, audit</w:t>
            </w:r>
            <w:r>
              <w:rPr>
                <w:sz w:val="17"/>
              </w:rPr>
              <w:t xml:space="preserve"> </w:t>
            </w:r>
            <w:r>
              <w:rPr>
                <w:sz w:val="17"/>
              </w:rPr>
              <w:t xml:space="preserve">indépendant</w:t>
            </w:r>
          </w:p>
        </w:tc>
      </w:tr>
      <w:tr>
        <w:tc>
          <w:tcPr>
            <w:shd w:val="clear" w:color="auto" w:fill="F2F9F8"/>
          </w:tcPr>
          <w:p>
            <w:pPr>
              <w:pStyle w:val="Compact"/>
              <w:spacing w:after="20" w:before="20" w:line="240" w:lineRule="auto"/>
              <w:jc w:val="left"/>
            </w:pPr>
            <w:r>
              <w:rPr>
                <w:sz w:val="17"/>
              </w:rPr>
              <w:t xml:space="preserve">Imprécision GPS et</w:t>
            </w:r>
            <w:r>
              <w:rPr>
                <w:sz w:val="17"/>
              </w:rPr>
              <w:t xml:space="preserve"> </w:t>
            </w:r>
            <w:r>
              <w:rPr>
                <w:sz w:val="17"/>
              </w:rPr>
              <w:t xml:space="preserve">contestations de</w:t>
            </w:r>
            <w:r>
              <w:rPr>
                <w:sz w:val="17"/>
              </w:rPr>
              <w:t xml:space="preserve"> </w:t>
            </w:r>
            <w:r>
              <w:rPr>
                <w:sz w:val="17"/>
              </w:rPr>
              <w:t xml:space="preserve">localisation</w:t>
            </w:r>
          </w:p>
        </w:tc>
        <w:tc>
          <w:tcPr>
            <w:shd w:val="clear" w:color="auto" w:fill="F2F9F8"/>
          </w:tcPr>
          <w:p>
            <w:pPr>
              <w:pStyle w:val="Compact"/>
              <w:spacing w:after="20" w:before="20" w:line="240" w:lineRule="auto"/>
              <w:jc w:val="left"/>
            </w:pPr>
            <w:r>
              <w:rPr>
                <w:sz w:val="17"/>
              </w:rPr>
              <w:t xml:space="preserve">Élevée</w:t>
            </w:r>
          </w:p>
        </w:tc>
        <w:tc>
          <w:tcPr>
            <w:shd w:val="clear" w:color="auto" w:fill="F2F9F8"/>
          </w:tcPr>
          <w:p>
            <w:pPr>
              <w:pStyle w:val="Compact"/>
              <w:spacing w:after="20" w:before="20" w:line="240" w:lineRule="auto"/>
              <w:jc w:val="left"/>
            </w:pPr>
            <w:r>
              <w:rPr>
                <w:sz w:val="17"/>
              </w:rPr>
              <w:t xml:space="preserve">Moyen</w:t>
            </w:r>
          </w:p>
        </w:tc>
        <w:tc>
          <w:tcPr>
            <w:shd w:val="clear" w:color="auto" w:fill="F2F9F8"/>
          </w:tcPr>
          <w:p>
            <w:pPr>
              <w:pStyle w:val="Compact"/>
              <w:spacing w:after="20" w:before="20" w:line="240" w:lineRule="auto"/>
              <w:jc w:val="left"/>
            </w:pPr>
            <w:r>
              <w:rPr>
                <w:sz w:val="17"/>
              </w:rPr>
              <w:t xml:space="preserve">Tolérance paramétrée, preuve</w:t>
            </w:r>
            <w:r>
              <w:rPr>
                <w:sz w:val="17"/>
              </w:rPr>
              <w:t xml:space="preserve"> </w:t>
            </w:r>
            <w:r>
              <w:rPr>
                <w:sz w:val="17"/>
              </w:rPr>
              <w:t xml:space="preserve">photographique, validation</w:t>
            </w:r>
            <w:r>
              <w:rPr>
                <w:sz w:val="17"/>
              </w:rPr>
              <w:t xml:space="preserve"> </w:t>
            </w:r>
            <w:r>
              <w:rPr>
                <w:sz w:val="17"/>
              </w:rPr>
              <w:t xml:space="preserve">hiérarchique</w:t>
            </w:r>
          </w:p>
        </w:tc>
      </w:tr>
      <w:tr>
        <w:tc>
          <w:tcPr/>
          <w:p>
            <w:pPr>
              <w:pStyle w:val="Compact"/>
              <w:spacing w:after="20" w:before="20" w:line="240" w:lineRule="auto"/>
              <w:jc w:val="left"/>
            </w:pPr>
            <w:r>
              <w:rPr>
                <w:sz w:val="17"/>
              </w:rPr>
              <w:t xml:space="preserve">Connectivité</w:t>
            </w:r>
            <w:r>
              <w:rPr>
                <w:sz w:val="17"/>
              </w:rPr>
              <w:t xml:space="preserve"> </w:t>
            </w:r>
            <w:r>
              <w:rPr>
                <w:sz w:val="17"/>
              </w:rPr>
              <w:t xml:space="preserve">insuffisante sur le</w:t>
            </w:r>
            <w:r>
              <w:rPr>
                <w:sz w:val="17"/>
              </w:rPr>
              <w:t xml:space="preserve"> </w:t>
            </w:r>
            <w:r>
              <w:rPr>
                <w:sz w:val="17"/>
              </w:rPr>
              <w:t xml:space="preserve">terrain</w:t>
            </w:r>
          </w:p>
        </w:tc>
        <w:tc>
          <w:tcPr/>
          <w:p>
            <w:pPr>
              <w:pStyle w:val="Compact"/>
              <w:spacing w:after="20" w:before="20" w:line="240" w:lineRule="auto"/>
              <w:jc w:val="left"/>
            </w:pPr>
            <w:r>
              <w:rPr>
                <w:sz w:val="17"/>
              </w:rPr>
              <w:t xml:space="preserve">Élevée</w:t>
            </w:r>
          </w:p>
        </w:tc>
        <w:tc>
          <w:tcPr/>
          <w:p>
            <w:pPr>
              <w:pStyle w:val="Compact"/>
              <w:spacing w:after="20" w:before="20" w:line="240" w:lineRule="auto"/>
              <w:jc w:val="left"/>
            </w:pPr>
            <w:r>
              <w:rPr>
                <w:sz w:val="17"/>
              </w:rPr>
              <w:t xml:space="preserve">Moyen</w:t>
            </w:r>
          </w:p>
        </w:tc>
        <w:tc>
          <w:tcPr/>
          <w:p>
            <w:pPr>
              <w:pStyle w:val="Compact"/>
              <w:spacing w:after="20" w:before="20" w:line="240" w:lineRule="auto"/>
              <w:jc w:val="left"/>
            </w:pPr>
            <w:r>
              <w:rPr>
                <w:sz w:val="17"/>
              </w:rPr>
              <w:t xml:space="preserve">Hors ligne d'abord,</w:t>
            </w:r>
            <w:r>
              <w:rPr>
                <w:sz w:val="17"/>
              </w:rPr>
              <w:t xml:space="preserve"> </w:t>
            </w:r>
            <w:r>
              <w:rPr>
                <w:sz w:val="17"/>
              </w:rPr>
              <w:t xml:space="preserve">synchronisation différée, files</w:t>
            </w:r>
            <w:r>
              <w:rPr>
                <w:sz w:val="17"/>
              </w:rPr>
              <w:t xml:space="preserve"> </w:t>
            </w:r>
            <w:r>
              <w:rPr>
                <w:sz w:val="17"/>
              </w:rPr>
              <w:t xml:space="preserve">locales</w:t>
            </w:r>
          </w:p>
        </w:tc>
      </w:tr>
      <w:tr>
        <w:tc>
          <w:tcPr>
            <w:shd w:val="clear" w:color="auto" w:fill="F2F9F8"/>
          </w:tcPr>
          <w:p>
            <w:pPr>
              <w:pStyle w:val="Compact"/>
              <w:spacing w:after="20" w:before="20" w:line="240" w:lineRule="auto"/>
              <w:jc w:val="left"/>
            </w:pPr>
            <w:r>
              <w:rPr>
                <w:sz w:val="17"/>
              </w:rPr>
              <w:t xml:space="preserve">Surdimensionnement</w:t>
            </w:r>
            <w:r>
              <w:rPr>
                <w:sz w:val="17"/>
              </w:rPr>
              <w:t xml:space="preserve"> </w:t>
            </w:r>
            <w:r>
              <w:rPr>
                <w:sz w:val="17"/>
              </w:rPr>
              <w:t xml:space="preserve">technique</w:t>
            </w:r>
          </w:p>
        </w:tc>
        <w:tc>
          <w:tcPr>
            <w:shd w:val="clear" w:color="auto" w:fill="F2F9F8"/>
          </w:tcPr>
          <w:p>
            <w:pPr>
              <w:pStyle w:val="Compact"/>
              <w:spacing w:after="20" w:before="20" w:line="240" w:lineRule="auto"/>
              <w:jc w:val="left"/>
            </w:pPr>
            <w:r>
              <w:rPr>
                <w:sz w:val="17"/>
              </w:rPr>
              <w:t xml:space="preserve">Moyenne</w:t>
            </w:r>
          </w:p>
        </w:tc>
        <w:tc>
          <w:tcPr>
            <w:shd w:val="clear" w:color="auto" w:fill="F2F9F8"/>
          </w:tcPr>
          <w:p>
            <w:pPr>
              <w:pStyle w:val="Compact"/>
              <w:spacing w:after="20" w:before="20" w:line="240" w:lineRule="auto"/>
              <w:jc w:val="left"/>
            </w:pPr>
            <w:r>
              <w:rPr>
                <w:sz w:val="17"/>
              </w:rPr>
              <w:t xml:space="preserve">Élevé</w:t>
            </w:r>
          </w:p>
        </w:tc>
        <w:tc>
          <w:tcPr>
            <w:shd w:val="clear" w:color="auto" w:fill="F2F9F8"/>
          </w:tcPr>
          <w:p>
            <w:pPr>
              <w:pStyle w:val="Compact"/>
              <w:spacing w:after="20" w:before="20" w:line="240" w:lineRule="auto"/>
              <w:jc w:val="left"/>
            </w:pPr>
            <w:r>
              <w:rPr>
                <w:sz w:val="17"/>
              </w:rPr>
              <w:t xml:space="preserve">Monolithe modulaire, périmètre</w:t>
            </w:r>
            <w:r>
              <w:rPr>
                <w:sz w:val="17"/>
              </w:rPr>
              <w:t xml:space="preserve"> </w:t>
            </w:r>
            <w:r>
              <w:rPr>
                <w:sz w:val="17"/>
              </w:rPr>
              <w:t xml:space="preserve">pilote restreint, portes de phase</w:t>
            </w:r>
          </w:p>
        </w:tc>
      </w:tr>
      <w:tr>
        <w:tc>
          <w:tcPr/>
          <w:p>
            <w:pPr>
              <w:pStyle w:val="Compact"/>
              <w:spacing w:after="20" w:before="20" w:line="240" w:lineRule="auto"/>
              <w:jc w:val="left"/>
            </w:pPr>
            <w:r>
              <w:rPr>
                <w:sz w:val="17"/>
              </w:rPr>
              <w:t xml:space="preserve">Promesses de</w:t>
            </w:r>
            <w:r>
              <w:rPr>
                <w:sz w:val="17"/>
              </w:rPr>
              <w:t xml:space="preserve"> </w:t>
            </w:r>
            <w:r>
              <w:rPr>
                <w:sz w:val="17"/>
              </w:rPr>
              <w:t xml:space="preserve">recettes non tenues</w:t>
            </w:r>
          </w:p>
        </w:tc>
        <w:tc>
          <w:tcPr/>
          <w:p>
            <w:pPr>
              <w:pStyle w:val="Compact"/>
              <w:spacing w:after="20" w:before="20" w:line="240" w:lineRule="auto"/>
              <w:jc w:val="left"/>
            </w:pPr>
            <w:r>
              <w:rPr>
                <w:sz w:val="17"/>
              </w:rPr>
              <w:t xml:space="preserve">Moyenne</w:t>
            </w:r>
          </w:p>
        </w:tc>
        <w:tc>
          <w:tcPr/>
          <w:p>
            <w:pPr>
              <w:pStyle w:val="Compact"/>
              <w:spacing w:after="20" w:before="20" w:line="240" w:lineRule="auto"/>
              <w:jc w:val="left"/>
            </w:pPr>
            <w:r>
              <w:rPr>
                <w:sz w:val="17"/>
              </w:rPr>
              <w:t xml:space="preserve">Élevé</w:t>
            </w:r>
          </w:p>
        </w:tc>
        <w:tc>
          <w:tcPr/>
          <w:p>
            <w:pPr>
              <w:pStyle w:val="Compact"/>
              <w:spacing w:after="20" w:before="20" w:line="240" w:lineRule="auto"/>
              <w:jc w:val="left"/>
            </w:pPr>
            <w:r>
              <w:rPr>
                <w:sz w:val="17"/>
              </w:rPr>
              <w:t xml:space="preserve">Base de référence mesurée,</w:t>
            </w:r>
            <w:r>
              <w:rPr>
                <w:sz w:val="17"/>
              </w:rPr>
              <w:t xml:space="preserve"> </w:t>
            </w:r>
            <w:r>
              <w:rPr>
                <w:sz w:val="17"/>
              </w:rPr>
              <w:t xml:space="preserve">scénarios, communication prudente</w:t>
            </w:r>
          </w:p>
        </w:tc>
      </w:tr>
    </w:tbl>
    <w:bookmarkStart w:id="295" w:name="risques-complémentaires"/>
    <w:p>
      <w:pPr>
        <w:pStyle w:val="Heading3"/>
      </w:pPr>
      <w:r>
        <w:t xml:space="preserve">Risques complémentaires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blHeader/>
        </w:trPr>
        <w:tc>
          <w:tcPr>
            <w:shd w:val="clear" w:color="auto" w:fill="1BA996"/>
          </w:tcPr>
          <w:p>
            <w:pPr>
              <w:pStyle w:val="Compact"/>
              <w:spacing w:after="20" w:before="20" w:line="240" w:lineRule="auto"/>
              <w:jc w:val="left"/>
            </w:pPr>
            <w:r>
              <w:rPr>
                <w:b/>
                <w:color w:val="FFFFFF"/>
                <w:sz w:val="17"/>
              </w:rPr>
              <w:t xml:space="preserve">Risque</w:t>
            </w:r>
          </w:p>
        </w:tc>
        <w:tc>
          <w:tcPr>
            <w:shd w:val="clear" w:color="auto" w:fill="1BA996"/>
          </w:tcPr>
          <w:p>
            <w:pPr>
              <w:pStyle w:val="Compact"/>
              <w:spacing w:after="20" w:before="20" w:line="240" w:lineRule="auto"/>
              <w:jc w:val="left"/>
            </w:pPr>
            <w:r>
              <w:rPr>
                <w:b/>
                <w:color w:val="FFFFFF"/>
                <w:sz w:val="17"/>
              </w:rPr>
              <w:t xml:space="preserve">Probabilité</w:t>
            </w:r>
          </w:p>
        </w:tc>
        <w:tc>
          <w:tcPr>
            <w:shd w:val="clear" w:color="auto" w:fill="1BA996"/>
          </w:tcPr>
          <w:p>
            <w:pPr>
              <w:pStyle w:val="Compact"/>
              <w:spacing w:after="20" w:before="20" w:line="240" w:lineRule="auto"/>
              <w:jc w:val="left"/>
            </w:pPr>
            <w:r>
              <w:rPr>
                <w:b/>
                <w:color w:val="FFFFFF"/>
                <w:sz w:val="17"/>
              </w:rPr>
              <w:t xml:space="preserve">Impact</w:t>
            </w:r>
          </w:p>
        </w:tc>
        <w:tc>
          <w:tcPr>
            <w:shd w:val="clear" w:color="auto" w:fill="1BA996"/>
          </w:tcPr>
          <w:p>
            <w:pPr>
              <w:pStyle w:val="Compact"/>
              <w:spacing w:after="20" w:before="20" w:line="240" w:lineRule="auto"/>
              <w:jc w:val="left"/>
            </w:pPr>
            <w:r>
              <w:rPr>
                <w:b/>
                <w:color w:val="FFFFFF"/>
                <w:sz w:val="17"/>
              </w:rPr>
              <w:t xml:space="preserve">Traitement</w:t>
            </w:r>
          </w:p>
        </w:tc>
      </w:tr>
      <w:tr>
        <w:tc>
          <w:tcPr/>
          <w:p>
            <w:pPr>
              <w:pStyle w:val="Compact"/>
              <w:spacing w:after="20" w:before="20" w:line="240" w:lineRule="auto"/>
              <w:jc w:val="left"/>
            </w:pPr>
            <w:r>
              <w:rPr>
                <w:sz w:val="17"/>
              </w:rPr>
              <w:t xml:space="preserve">Dérive ou biais des modèles d’IA</w:t>
            </w:r>
          </w:p>
        </w:tc>
        <w:tc>
          <w:tcPr/>
          <w:p>
            <w:pPr>
              <w:pStyle w:val="Compact"/>
              <w:spacing w:after="20" w:before="20" w:line="240" w:lineRule="auto"/>
              <w:jc w:val="left"/>
            </w:pPr>
            <w:r>
              <w:rPr>
                <w:sz w:val="17"/>
              </w:rPr>
              <w:t xml:space="preserve">Moyenne</w:t>
            </w:r>
          </w:p>
        </w:tc>
        <w:tc>
          <w:tcPr/>
          <w:p>
            <w:pPr>
              <w:pStyle w:val="Compact"/>
              <w:spacing w:after="20" w:before="20" w:line="240" w:lineRule="auto"/>
              <w:jc w:val="left"/>
            </w:pPr>
            <w:r>
              <w:rPr>
                <w:sz w:val="17"/>
              </w:rPr>
              <w:t xml:space="preserve">Élevé</w:t>
            </w:r>
          </w:p>
        </w:tc>
        <w:tc>
          <w:tcPr/>
          <w:p>
            <w:pPr>
              <w:pStyle w:val="Compact"/>
              <w:spacing w:after="20" w:before="20" w:line="240" w:lineRule="auto"/>
              <w:jc w:val="left"/>
            </w:pPr>
            <w:r>
              <w:rPr>
                <w:sz w:val="17"/>
              </w:rPr>
              <w:t xml:space="preserve">Registre des modèles, tests de biais, suivi de dérive, validation humaine, coupe-circuit</w:t>
            </w:r>
          </w:p>
        </w:tc>
      </w:tr>
      <w:tr>
        <w:tc>
          <w:tcPr>
            <w:shd w:val="clear" w:color="auto" w:fill="F2F9F8"/>
          </w:tcPr>
          <w:p>
            <w:pPr>
              <w:pStyle w:val="Compact"/>
              <w:spacing w:after="20" w:before="20" w:line="240" w:lineRule="auto"/>
              <w:jc w:val="left"/>
            </w:pPr>
            <w:r>
              <w:rPr>
                <w:sz w:val="17"/>
              </w:rPr>
              <w:t xml:space="preserve">Perte de crédibilité par promesse de « zéro fraude »</w:t>
            </w:r>
          </w:p>
        </w:tc>
        <w:tc>
          <w:tcPr>
            <w:shd w:val="clear" w:color="auto" w:fill="F2F9F8"/>
          </w:tcPr>
          <w:p>
            <w:pPr>
              <w:pStyle w:val="Compact"/>
              <w:spacing w:after="20" w:before="20" w:line="240" w:lineRule="auto"/>
              <w:jc w:val="left"/>
            </w:pPr>
            <w:r>
              <w:rPr>
                <w:sz w:val="17"/>
              </w:rPr>
              <w:t xml:space="preserve">Moyenne</w:t>
            </w:r>
          </w:p>
        </w:tc>
        <w:tc>
          <w:tcPr>
            <w:shd w:val="clear" w:color="auto" w:fill="F2F9F8"/>
          </w:tcPr>
          <w:p>
            <w:pPr>
              <w:pStyle w:val="Compact"/>
              <w:spacing w:after="20" w:before="20" w:line="240" w:lineRule="auto"/>
              <w:jc w:val="left"/>
            </w:pPr>
            <w:r>
              <w:rPr>
                <w:sz w:val="17"/>
              </w:rPr>
              <w:t xml:space="preserve">Élevé</w:t>
            </w:r>
          </w:p>
        </w:tc>
        <w:tc>
          <w:tcPr>
            <w:shd w:val="clear" w:color="auto" w:fill="F2F9F8"/>
          </w:tcPr>
          <w:p>
            <w:pPr>
              <w:pStyle w:val="Compact"/>
              <w:spacing w:after="20" w:before="20" w:line="240" w:lineRule="auto"/>
              <w:jc w:val="left"/>
            </w:pPr>
            <w:r>
              <w:rPr>
                <w:sz w:val="17"/>
              </w:rPr>
              <w:t xml:space="preserve">Communication sur la prévention, la détection et la preuve, jamais sur l’élimination</w:t>
            </w:r>
          </w:p>
        </w:tc>
      </w:tr>
      <w:tr>
        <w:tc>
          <w:tcPr/>
          <w:p>
            <w:pPr>
              <w:pStyle w:val="Compact"/>
              <w:spacing w:after="20" w:before="20" w:line="240" w:lineRule="auto"/>
              <w:jc w:val="left"/>
            </w:pPr>
            <w:r>
              <w:rPr>
                <w:sz w:val="17"/>
              </w:rPr>
              <w:t xml:space="preserve">Incohérence entre quittance provisoire et règlement</w:t>
            </w:r>
          </w:p>
        </w:tc>
        <w:tc>
          <w:tcPr/>
          <w:p>
            <w:pPr>
              <w:pStyle w:val="Compact"/>
              <w:spacing w:after="20" w:before="20" w:line="240" w:lineRule="auto"/>
              <w:jc w:val="left"/>
            </w:pPr>
            <w:r>
              <w:rPr>
                <w:sz w:val="17"/>
              </w:rPr>
              <w:t xml:space="preserve">Moyenne</w:t>
            </w:r>
          </w:p>
        </w:tc>
        <w:tc>
          <w:tcPr/>
          <w:p>
            <w:pPr>
              <w:pStyle w:val="Compact"/>
              <w:spacing w:after="20" w:before="20" w:line="240" w:lineRule="auto"/>
              <w:jc w:val="left"/>
            </w:pPr>
            <w:r>
              <w:rPr>
                <w:sz w:val="17"/>
              </w:rPr>
              <w:t xml:space="preserve">Moyen</w:t>
            </w:r>
          </w:p>
        </w:tc>
        <w:tc>
          <w:tcPr/>
          <w:p>
            <w:pPr>
              <w:pStyle w:val="Compact"/>
              <w:spacing w:after="20" w:before="20" w:line="240" w:lineRule="auto"/>
              <w:jc w:val="left"/>
            </w:pPr>
            <w:r>
              <w:rPr>
                <w:sz w:val="17"/>
              </w:rPr>
              <w:t xml:space="preserve">Politique du § 18.6, délai maximal de bascule, notification automatique</w:t>
            </w:r>
          </w:p>
        </w:tc>
      </w:tr>
      <w:tr>
        <w:tc>
          <w:tcPr>
            <w:shd w:val="clear" w:color="auto" w:fill="F2F9F8"/>
          </w:tcPr>
          <w:p>
            <w:pPr>
              <w:pStyle w:val="Compact"/>
              <w:spacing w:after="20" w:before="20" w:line="240" w:lineRule="auto"/>
              <w:jc w:val="left"/>
            </w:pPr>
            <w:r>
              <w:rPr>
                <w:sz w:val="17"/>
              </w:rPr>
              <w:t xml:space="preserve">Ouverture prématurée de verticales complexes (ports, AVIA)</w:t>
            </w:r>
          </w:p>
        </w:tc>
        <w:tc>
          <w:tcPr>
            <w:shd w:val="clear" w:color="auto" w:fill="F2F9F8"/>
          </w:tcPr>
          <w:p>
            <w:pPr>
              <w:pStyle w:val="Compact"/>
              <w:spacing w:after="20" w:before="20" w:line="240" w:lineRule="auto"/>
              <w:jc w:val="left"/>
            </w:pPr>
            <w:r>
              <w:rPr>
                <w:sz w:val="17"/>
              </w:rPr>
              <w:t xml:space="preserve">Moyenne</w:t>
            </w:r>
          </w:p>
        </w:tc>
        <w:tc>
          <w:tcPr>
            <w:shd w:val="clear" w:color="auto" w:fill="F2F9F8"/>
          </w:tcPr>
          <w:p>
            <w:pPr>
              <w:pStyle w:val="Compact"/>
              <w:spacing w:after="20" w:before="20" w:line="240" w:lineRule="auto"/>
              <w:jc w:val="left"/>
            </w:pPr>
            <w:r>
              <w:rPr>
                <w:sz w:val="17"/>
              </w:rPr>
              <w:t xml:space="preserve">Moyen</w:t>
            </w:r>
          </w:p>
        </w:tc>
        <w:tc>
          <w:tcPr>
            <w:shd w:val="clear" w:color="auto" w:fill="F2F9F8"/>
          </w:tcPr>
          <w:p>
            <w:pPr>
              <w:pStyle w:val="Compact"/>
              <w:spacing w:after="20" w:before="20" w:line="240" w:lineRule="auto"/>
              <w:jc w:val="left"/>
            </w:pPr>
            <w:r>
              <w:rPr>
                <w:sz w:val="17"/>
              </w:rPr>
              <w:t xml:space="preserve">Pilote seulement après cadrage sectoriel et validation juridique</w:t>
            </w:r>
          </w:p>
        </w:tc>
      </w:tr>
    </w:tbl>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blHeader/>
        </w:trPr>
        <w:tc>
          <w:tcPr>
            <w:shd w:val="clear" w:color="auto" w:fill="1BA996"/>
          </w:tcPr>
          <w:p>
            <w:pPr>
              <w:pStyle w:val="Compact"/>
              <w:spacing w:after="20" w:before="20" w:line="240" w:lineRule="auto"/>
              <w:jc w:val="left"/>
            </w:pPr>
            <w:r>
              <w:rPr>
                <w:b/>
                <w:color w:val="FFFFFF"/>
                <w:sz w:val="17"/>
              </w:rPr>
              <w:t xml:space="preserve">Risque</w:t>
            </w:r>
          </w:p>
        </w:tc>
        <w:tc>
          <w:tcPr>
            <w:shd w:val="clear" w:color="auto" w:fill="1BA996"/>
          </w:tcPr>
          <w:p>
            <w:pPr>
              <w:pStyle w:val="Compact"/>
              <w:spacing w:after="20" w:before="20" w:line="240" w:lineRule="auto"/>
              <w:jc w:val="left"/>
            </w:pPr>
            <w:r>
              <w:rPr>
                <w:b/>
                <w:color w:val="FFFFFF"/>
                <w:sz w:val="17"/>
              </w:rPr>
              <w:t xml:space="preserve">Probabilité</w:t>
            </w:r>
          </w:p>
        </w:tc>
        <w:tc>
          <w:tcPr>
            <w:shd w:val="clear" w:color="auto" w:fill="1BA996"/>
          </w:tcPr>
          <w:p>
            <w:pPr>
              <w:pStyle w:val="Compact"/>
              <w:spacing w:after="20" w:before="20" w:line="240" w:lineRule="auto"/>
              <w:jc w:val="left"/>
            </w:pPr>
            <w:r>
              <w:rPr>
                <w:b/>
                <w:color w:val="FFFFFF"/>
                <w:sz w:val="17"/>
              </w:rPr>
              <w:t xml:space="preserve">Impact</w:t>
            </w:r>
          </w:p>
        </w:tc>
        <w:tc>
          <w:tcPr>
            <w:shd w:val="clear" w:color="auto" w:fill="1BA996"/>
          </w:tcPr>
          <w:p>
            <w:pPr>
              <w:pStyle w:val="Compact"/>
              <w:spacing w:after="20" w:before="20" w:line="240" w:lineRule="auto"/>
              <w:jc w:val="left"/>
            </w:pPr>
            <w:r>
              <w:rPr>
                <w:b/>
                <w:color w:val="FFFFFF"/>
                <w:sz w:val="17"/>
              </w:rPr>
              <w:t xml:space="preserve">Traitement</w:t>
            </w:r>
          </w:p>
        </w:tc>
      </w:tr>
      <w:tr>
        <w:tc>
          <w:tcPr/>
          <w:p>
            <w:pPr>
              <w:pStyle w:val="Compact"/>
              <w:spacing w:after="20" w:before="20" w:line="240" w:lineRule="auto"/>
              <w:jc w:val="left"/>
            </w:pPr>
            <w:r>
              <w:rPr>
                <w:sz w:val="17"/>
              </w:rPr>
              <w:t xml:space="preserve">Exclusion des personnes sans téléphone ou non alphabétisées</w:t>
            </w:r>
          </w:p>
        </w:tc>
        <w:tc>
          <w:tcPr/>
          <w:p>
            <w:pPr>
              <w:pStyle w:val="Compact"/>
              <w:spacing w:after="20" w:before="20" w:line="240" w:lineRule="auto"/>
              <w:jc w:val="left"/>
            </w:pPr>
            <w:r>
              <w:rPr>
                <w:sz w:val="17"/>
              </w:rPr>
              <w:t xml:space="preserve">Élevée</w:t>
            </w:r>
          </w:p>
        </w:tc>
        <w:tc>
          <w:tcPr/>
          <w:p>
            <w:pPr>
              <w:pStyle w:val="Compact"/>
              <w:spacing w:after="20" w:before="20" w:line="240" w:lineRule="auto"/>
              <w:jc w:val="left"/>
            </w:pPr>
            <w:r>
              <w:rPr>
                <w:sz w:val="17"/>
              </w:rPr>
              <w:t xml:space="preserve">Élevé</w:t>
            </w:r>
          </w:p>
        </w:tc>
        <w:tc>
          <w:tcPr/>
          <w:p>
            <w:pPr>
              <w:pStyle w:val="Compact"/>
              <w:spacing w:after="20" w:before="20" w:line="240" w:lineRule="auto"/>
              <w:jc w:val="left"/>
            </w:pPr>
            <w:r>
              <w:rPr>
                <w:sz w:val="17"/>
              </w:rPr>
              <w:t xml:space="preserve">Chapitre 13A : enrôlement assisté, carte MOSOLO, SVI, guichets, gratuité</w:t>
            </w:r>
          </w:p>
        </w:tc>
      </w:tr>
      <w:tr>
        <w:tc>
          <w:tcPr>
            <w:shd w:val="clear" w:color="auto" w:fill="F2F9F8"/>
          </w:tcPr>
          <w:p>
            <w:pPr>
              <w:pStyle w:val="Compact"/>
              <w:spacing w:after="20" w:before="20" w:line="240" w:lineRule="auto"/>
              <w:jc w:val="left"/>
            </w:pPr>
            <w:r>
              <w:rPr>
                <w:sz w:val="17"/>
              </w:rPr>
              <w:t xml:space="preserve">Sous-traitant créant des objets fictifs ou encaissant</w:t>
            </w:r>
          </w:p>
        </w:tc>
        <w:tc>
          <w:tcPr>
            <w:shd w:val="clear" w:color="auto" w:fill="F2F9F8"/>
          </w:tcPr>
          <w:p>
            <w:pPr>
              <w:pStyle w:val="Compact"/>
              <w:spacing w:after="20" w:before="20" w:line="240" w:lineRule="auto"/>
              <w:jc w:val="left"/>
            </w:pPr>
            <w:r>
              <w:rPr>
                <w:sz w:val="17"/>
              </w:rPr>
              <w:t xml:space="preserve">Moyenne</w:t>
            </w:r>
          </w:p>
        </w:tc>
        <w:tc>
          <w:tcPr>
            <w:shd w:val="clear" w:color="auto" w:fill="F2F9F8"/>
          </w:tcPr>
          <w:p>
            <w:pPr>
              <w:pStyle w:val="Compact"/>
              <w:spacing w:after="20" w:before="20" w:line="240" w:lineRule="auto"/>
              <w:jc w:val="left"/>
            </w:pPr>
            <w:r>
              <w:rPr>
                <w:sz w:val="17"/>
              </w:rPr>
              <w:t xml:space="preserve">Très élevé</w:t>
            </w:r>
          </w:p>
        </w:tc>
        <w:tc>
          <w:tcPr>
            <w:shd w:val="clear" w:color="auto" w:fill="F2F9F8"/>
          </w:tcPr>
          <w:p>
            <w:pPr>
              <w:pStyle w:val="Compact"/>
              <w:spacing w:after="20" w:before="20" w:line="240" w:lineRule="auto"/>
              <w:jc w:val="left"/>
            </w:pPr>
            <w:r>
              <w:rPr>
                <w:sz w:val="17"/>
              </w:rPr>
              <w:t xml:space="preserve">Accréditation, contrôle qualité indépendant, interdiction d’encaisser, récupération des sommes, rotation</w:t>
            </w:r>
          </w:p>
        </w:tc>
      </w:tr>
      <w:tr>
        <w:tc>
          <w:tcPr/>
          <w:p>
            <w:pPr>
              <w:pStyle w:val="Compact"/>
              <w:spacing w:after="20" w:before="20" w:line="240" w:lineRule="auto"/>
              <w:jc w:val="left"/>
            </w:pPr>
            <w:r>
              <w:rPr>
                <w:sz w:val="17"/>
              </w:rPr>
              <w:t xml:space="preserve">Point de paiement retenant les fonds</w:t>
            </w:r>
          </w:p>
        </w:tc>
        <w:tc>
          <w:tcPr/>
          <w:p>
            <w:pPr>
              <w:pStyle w:val="Compact"/>
              <w:spacing w:after="20" w:before="20" w:line="240" w:lineRule="auto"/>
              <w:jc w:val="left"/>
            </w:pPr>
            <w:r>
              <w:rPr>
                <w:sz w:val="17"/>
              </w:rPr>
              <w:t xml:space="preserve">Moyenne</w:t>
            </w:r>
          </w:p>
        </w:tc>
        <w:tc>
          <w:tcPr/>
          <w:p>
            <w:pPr>
              <w:pStyle w:val="Compact"/>
              <w:spacing w:after="20" w:before="20" w:line="240" w:lineRule="auto"/>
              <w:jc w:val="left"/>
            </w:pPr>
            <w:r>
              <w:rPr>
                <w:sz w:val="17"/>
              </w:rPr>
              <w:t xml:space="preserve">Élevé</w:t>
            </w:r>
          </w:p>
        </w:tc>
        <w:tc>
          <w:tcPr/>
          <w:p>
            <w:pPr>
              <w:pStyle w:val="Compact"/>
              <w:spacing w:after="20" w:before="20" w:line="240" w:lineRule="auto"/>
              <w:jc w:val="left"/>
            </w:pPr>
            <w:r>
              <w:rPr>
                <w:sz w:val="17"/>
              </w:rPr>
              <w:t xml:space="preserve">Délai contractuel, rapprochement quotidien, suspension automatique</w:t>
            </w:r>
          </w:p>
        </w:tc>
      </w:tr>
      <w:tr>
        <w:tc>
          <w:tcPr>
            <w:shd w:val="clear" w:color="auto" w:fill="F2F9F8"/>
          </w:tcPr>
          <w:p>
            <w:pPr>
              <w:pStyle w:val="Compact"/>
              <w:spacing w:after="20" w:before="20" w:line="240" w:lineRule="auto"/>
              <w:jc w:val="left"/>
            </w:pPr>
            <w:r>
              <w:rPr>
                <w:sz w:val="17"/>
              </w:rPr>
              <w:t xml:space="preserve">Faux agents sollicitant des espèces</w:t>
            </w:r>
          </w:p>
        </w:tc>
        <w:tc>
          <w:tcPr>
            <w:shd w:val="clear" w:color="auto" w:fill="F2F9F8"/>
          </w:tcPr>
          <w:p>
            <w:pPr>
              <w:pStyle w:val="Compact"/>
              <w:spacing w:after="20" w:before="20" w:line="240" w:lineRule="auto"/>
              <w:jc w:val="left"/>
            </w:pPr>
            <w:r>
              <w:rPr>
                <w:sz w:val="17"/>
              </w:rPr>
              <w:t xml:space="preserve">Élevée</w:t>
            </w:r>
          </w:p>
        </w:tc>
        <w:tc>
          <w:tcPr>
            <w:shd w:val="clear" w:color="auto" w:fill="F2F9F8"/>
          </w:tcPr>
          <w:p>
            <w:pPr>
              <w:pStyle w:val="Compact"/>
              <w:spacing w:after="20" w:before="20" w:line="240" w:lineRule="auto"/>
              <w:jc w:val="left"/>
            </w:pPr>
            <w:r>
              <w:rPr>
                <w:sz w:val="17"/>
              </w:rPr>
              <w:t xml:space="preserve">Élevé</w:t>
            </w:r>
          </w:p>
        </w:tc>
        <w:tc>
          <w:tcPr>
            <w:shd w:val="clear" w:color="auto" w:fill="F2F9F8"/>
          </w:tcPr>
          <w:p>
            <w:pPr>
              <w:pStyle w:val="Compact"/>
              <w:spacing w:after="20" w:before="20" w:line="240" w:lineRule="auto"/>
              <w:jc w:val="left"/>
            </w:pPr>
            <w:r>
              <w:rPr>
                <w:sz w:val="17"/>
              </w:rPr>
              <w:t xml:space="preserve">Badge vérifiable, campagne d’information, ligne de signalement</w:t>
            </w:r>
          </w:p>
        </w:tc>
      </w:tr>
      <w:tr>
        <w:tc>
          <w:tcPr/>
          <w:p>
            <w:pPr>
              <w:pStyle w:val="Compact"/>
              <w:spacing w:after="20" w:before="20" w:line="240" w:lineRule="auto"/>
              <w:jc w:val="left"/>
            </w:pPr>
            <w:r>
              <w:rPr>
                <w:sz w:val="17"/>
              </w:rPr>
              <w:t xml:space="preserve">Consentement contesté lors d’un enrôlement assisté</w:t>
            </w:r>
          </w:p>
        </w:tc>
        <w:tc>
          <w:tcPr/>
          <w:p>
            <w:pPr>
              <w:pStyle w:val="Compact"/>
              <w:spacing w:after="20" w:before="20" w:line="240" w:lineRule="auto"/>
              <w:jc w:val="left"/>
            </w:pPr>
            <w:r>
              <w:rPr>
                <w:sz w:val="17"/>
              </w:rPr>
              <w:t xml:space="preserve">Moyenne</w:t>
            </w:r>
          </w:p>
        </w:tc>
        <w:tc>
          <w:tcPr/>
          <w:p>
            <w:pPr>
              <w:pStyle w:val="Compact"/>
              <w:spacing w:after="20" w:before="20" w:line="240" w:lineRule="auto"/>
              <w:jc w:val="left"/>
            </w:pPr>
            <w:r>
              <w:rPr>
                <w:sz w:val="17"/>
              </w:rPr>
              <w:t xml:space="preserve">Moyen</w:t>
            </w:r>
          </w:p>
        </w:tc>
        <w:tc>
          <w:tcPr/>
          <w:p>
            <w:pPr>
              <w:pStyle w:val="Compact"/>
              <w:spacing w:after="20" w:before="20" w:line="240" w:lineRule="auto"/>
              <w:jc w:val="left"/>
            </w:pPr>
            <w:r>
              <w:rPr>
                <w:sz w:val="17"/>
              </w:rPr>
              <w:t xml:space="preserve">Lecture audio, empreinte, témoin, journalisation, droit de contestation sans écrit</w:t>
            </w:r>
          </w:p>
        </w:tc>
      </w:tr>
    </w:tbl>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blHeader/>
        </w:trPr>
        <w:tc>
          <w:tcPr>
            <w:shd w:val="clear" w:color="auto" w:fill="1BA996"/>
          </w:tcPr>
          <w:p>
            <w:pPr>
              <w:pStyle w:val="Compact"/>
              <w:spacing w:after="20" w:before="20" w:line="240" w:lineRule="auto"/>
              <w:jc w:val="left"/>
            </w:pPr>
            <w:r>
              <w:rPr>
                <w:b/>
                <w:color w:val="FFFFFF"/>
                <w:sz w:val="17"/>
              </w:rPr>
              <w:t xml:space="preserve">Risque</w:t>
            </w:r>
          </w:p>
        </w:tc>
        <w:tc>
          <w:tcPr>
            <w:shd w:val="clear" w:color="auto" w:fill="1BA996"/>
          </w:tcPr>
          <w:p>
            <w:pPr>
              <w:pStyle w:val="Compact"/>
              <w:spacing w:after="20" w:before="20" w:line="240" w:lineRule="auto"/>
              <w:jc w:val="left"/>
            </w:pPr>
            <w:r>
              <w:rPr>
                <w:b/>
                <w:color w:val="FFFFFF"/>
                <w:sz w:val="17"/>
              </w:rPr>
              <w:t xml:space="preserve">Probabilité</w:t>
            </w:r>
          </w:p>
        </w:tc>
        <w:tc>
          <w:tcPr>
            <w:shd w:val="clear" w:color="auto" w:fill="1BA996"/>
          </w:tcPr>
          <w:p>
            <w:pPr>
              <w:pStyle w:val="Compact"/>
              <w:spacing w:after="20" w:before="20" w:line="240" w:lineRule="auto"/>
              <w:jc w:val="left"/>
            </w:pPr>
            <w:r>
              <w:rPr>
                <w:b/>
                <w:color w:val="FFFFFF"/>
                <w:sz w:val="17"/>
              </w:rPr>
              <w:t xml:space="preserve">Impact</w:t>
            </w:r>
          </w:p>
        </w:tc>
        <w:tc>
          <w:tcPr>
            <w:shd w:val="clear" w:color="auto" w:fill="1BA996"/>
          </w:tcPr>
          <w:p>
            <w:pPr>
              <w:pStyle w:val="Compact"/>
              <w:spacing w:after="20" w:before="20" w:line="240" w:lineRule="auto"/>
              <w:jc w:val="left"/>
            </w:pPr>
            <w:r>
              <w:rPr>
                <w:b/>
                <w:color w:val="FFFFFF"/>
                <w:sz w:val="17"/>
              </w:rPr>
              <w:t xml:space="preserve">Traitement</w:t>
            </w:r>
          </w:p>
        </w:tc>
      </w:tr>
      <w:tr>
        <w:tc>
          <w:tcPr/>
          <w:p>
            <w:pPr>
              <w:pStyle w:val="Compact"/>
              <w:spacing w:after="20" w:before="20" w:line="240" w:lineRule="auto"/>
              <w:jc w:val="left"/>
            </w:pPr>
            <w:r>
              <w:rPr>
                <w:sz w:val="17"/>
              </w:rPr>
              <w:t xml:space="preserve">Capture d’écran ou copie de titre</w:t>
            </w:r>
          </w:p>
        </w:tc>
        <w:tc>
          <w:tcPr/>
          <w:p>
            <w:pPr>
              <w:pStyle w:val="Compact"/>
              <w:spacing w:after="20" w:before="20" w:line="240" w:lineRule="auto"/>
              <w:jc w:val="left"/>
            </w:pPr>
            <w:r>
              <w:rPr>
                <w:sz w:val="17"/>
              </w:rPr>
              <w:t xml:space="preserve">Élevée</w:t>
            </w:r>
          </w:p>
        </w:tc>
        <w:tc>
          <w:tcPr/>
          <w:p>
            <w:pPr>
              <w:pStyle w:val="Compact"/>
              <w:spacing w:after="20" w:before="20" w:line="240" w:lineRule="auto"/>
              <w:jc w:val="left"/>
            </w:pPr>
            <w:r>
              <w:rPr>
                <w:sz w:val="17"/>
              </w:rPr>
              <w:t xml:space="preserve">Moyen</w:t>
            </w:r>
          </w:p>
        </w:tc>
        <w:tc>
          <w:tcPr/>
          <w:p>
            <w:pPr>
              <w:pStyle w:val="Compact"/>
              <w:spacing w:after="20" w:before="20" w:line="240" w:lineRule="auto"/>
              <w:jc w:val="left"/>
            </w:pPr>
            <w:r>
              <w:rPr>
                <w:sz w:val="17"/>
              </w:rPr>
              <w:t xml:space="preserve">QR dynamique à rotation, compte à rebours animé, vérification serveur</w:t>
            </w:r>
          </w:p>
        </w:tc>
      </w:tr>
      <w:tr>
        <w:tc>
          <w:tcPr>
            <w:shd w:val="clear" w:color="auto" w:fill="F2F9F8"/>
          </w:tcPr>
          <w:p>
            <w:pPr>
              <w:pStyle w:val="Compact"/>
              <w:spacing w:after="20" w:before="20" w:line="240" w:lineRule="auto"/>
              <w:jc w:val="left"/>
            </w:pPr>
            <w:r>
              <w:rPr>
                <w:sz w:val="17"/>
              </w:rPr>
              <w:t xml:space="preserve">Heure falsifiée sur un téléphone ou un terminal</w:t>
            </w:r>
          </w:p>
        </w:tc>
        <w:tc>
          <w:tcPr>
            <w:shd w:val="clear" w:color="auto" w:fill="F2F9F8"/>
          </w:tcPr>
          <w:p>
            <w:pPr>
              <w:pStyle w:val="Compact"/>
              <w:spacing w:after="20" w:before="20" w:line="240" w:lineRule="auto"/>
              <w:jc w:val="left"/>
            </w:pPr>
            <w:r>
              <w:rPr>
                <w:sz w:val="17"/>
              </w:rPr>
              <w:t xml:space="preserve">Moyenne</w:t>
            </w:r>
          </w:p>
        </w:tc>
        <w:tc>
          <w:tcPr>
            <w:shd w:val="clear" w:color="auto" w:fill="F2F9F8"/>
          </w:tcPr>
          <w:p>
            <w:pPr>
              <w:pStyle w:val="Compact"/>
              <w:spacing w:after="20" w:before="20" w:line="240" w:lineRule="auto"/>
              <w:jc w:val="left"/>
            </w:pPr>
            <w:r>
              <w:rPr>
                <w:sz w:val="17"/>
              </w:rPr>
              <w:t xml:space="preserve">Élevé</w:t>
            </w:r>
          </w:p>
        </w:tc>
        <w:tc>
          <w:tcPr>
            <w:shd w:val="clear" w:color="auto" w:fill="F2F9F8"/>
          </w:tcPr>
          <w:p>
            <w:pPr>
              <w:pStyle w:val="Compact"/>
              <w:spacing w:after="20" w:before="20" w:line="240" w:lineRule="auto"/>
              <w:jc w:val="left"/>
            </w:pPr>
            <w:r>
              <w:rPr>
                <w:sz w:val="17"/>
              </w:rPr>
              <w:t xml:space="preserve">Heure du serveur seule de référence, horloge des terminaux synchronisée</w:t>
            </w:r>
          </w:p>
        </w:tc>
      </w:tr>
      <w:tr>
        <w:tc>
          <w:tcPr/>
          <w:p>
            <w:pPr>
              <w:pStyle w:val="Compact"/>
              <w:spacing w:after="20" w:before="20" w:line="240" w:lineRule="auto"/>
              <w:jc w:val="left"/>
            </w:pPr>
            <w:r>
              <w:rPr>
                <w:sz w:val="17"/>
              </w:rPr>
              <w:t xml:space="preserve">Conflit entre entités sur un même objet</w:t>
            </w:r>
          </w:p>
        </w:tc>
        <w:tc>
          <w:tcPr/>
          <w:p>
            <w:pPr>
              <w:pStyle w:val="Compact"/>
              <w:spacing w:after="20" w:before="20" w:line="240" w:lineRule="auto"/>
              <w:jc w:val="left"/>
            </w:pPr>
            <w:r>
              <w:rPr>
                <w:sz w:val="17"/>
              </w:rPr>
              <w:t xml:space="preserve">Élevée</w:t>
            </w:r>
          </w:p>
        </w:tc>
        <w:tc>
          <w:tcPr/>
          <w:p>
            <w:pPr>
              <w:pStyle w:val="Compact"/>
              <w:spacing w:after="20" w:before="20" w:line="240" w:lineRule="auto"/>
              <w:jc w:val="left"/>
            </w:pPr>
            <w:r>
              <w:rPr>
                <w:sz w:val="17"/>
              </w:rPr>
              <w:t xml:space="preserve">Élevé</w:t>
            </w:r>
          </w:p>
        </w:tc>
        <w:tc>
          <w:tcPr/>
          <w:p>
            <w:pPr>
              <w:pStyle w:val="Compact"/>
              <w:spacing w:after="20" w:before="20" w:line="240" w:lineRule="auto"/>
              <w:jc w:val="left"/>
            </w:pPr>
            <w:r>
              <w:rPr>
                <w:sz w:val="17"/>
              </w:rPr>
              <w:t xml:space="preserve">Blocage du doublon, arbitrage, espaces cloisonnés (§ 10A.3)</w:t>
            </w:r>
          </w:p>
        </w:tc>
      </w:tr>
      <w:tr>
        <w:tc>
          <w:tcPr>
            <w:shd w:val="clear" w:color="auto" w:fill="F2F9F8"/>
          </w:tcPr>
          <w:p>
            <w:pPr>
              <w:pStyle w:val="Compact"/>
              <w:spacing w:after="20" w:before="20" w:line="240" w:lineRule="auto"/>
              <w:jc w:val="left"/>
            </w:pPr>
            <w:r>
              <w:rPr>
                <w:sz w:val="17"/>
              </w:rPr>
              <w:t xml:space="preserve">Complexité de configuration des modules</w:t>
            </w:r>
          </w:p>
        </w:tc>
        <w:tc>
          <w:tcPr>
            <w:shd w:val="clear" w:color="auto" w:fill="F2F9F8"/>
          </w:tcPr>
          <w:p>
            <w:pPr>
              <w:pStyle w:val="Compact"/>
              <w:spacing w:after="20" w:before="20" w:line="240" w:lineRule="auto"/>
              <w:jc w:val="left"/>
            </w:pPr>
            <w:r>
              <w:rPr>
                <w:sz w:val="17"/>
              </w:rPr>
              <w:t xml:space="preserve">Moyenne</w:t>
            </w:r>
          </w:p>
        </w:tc>
        <w:tc>
          <w:tcPr>
            <w:shd w:val="clear" w:color="auto" w:fill="F2F9F8"/>
          </w:tcPr>
          <w:p>
            <w:pPr>
              <w:pStyle w:val="Compact"/>
              <w:spacing w:after="20" w:before="20" w:line="240" w:lineRule="auto"/>
              <w:jc w:val="left"/>
            </w:pPr>
            <w:r>
              <w:rPr>
                <w:sz w:val="17"/>
              </w:rPr>
              <w:t xml:space="preserve">Moyen</w:t>
            </w:r>
          </w:p>
        </w:tc>
        <w:tc>
          <w:tcPr>
            <w:shd w:val="clear" w:color="auto" w:fill="F2F9F8"/>
          </w:tcPr>
          <w:p>
            <w:pPr>
              <w:pStyle w:val="Compact"/>
              <w:spacing w:after="20" w:before="20" w:line="240" w:lineRule="auto"/>
              <w:jc w:val="left"/>
            </w:pPr>
            <w:r>
              <w:rPr>
                <w:sz w:val="17"/>
              </w:rPr>
              <w:t xml:space="preserve">Fiches de configuration normalisées, recette obligatoire avant activation</w:t>
            </w:r>
          </w:p>
        </w:tc>
      </w:tr>
      <w:tr>
        <w:tc>
          <w:tcPr/>
          <w:p>
            <w:pPr>
              <w:pStyle w:val="Compact"/>
              <w:spacing w:after="20" w:before="20" w:line="240" w:lineRule="auto"/>
              <w:jc w:val="left"/>
            </w:pPr>
            <w:r>
              <w:rPr>
                <w:sz w:val="17"/>
              </w:rPr>
              <w:t xml:space="preserve">Opérateur délégué collectant hors plateforme</w:t>
            </w:r>
          </w:p>
        </w:tc>
        <w:tc>
          <w:tcPr/>
          <w:p>
            <w:pPr>
              <w:pStyle w:val="Compact"/>
              <w:spacing w:after="20" w:before="20" w:line="240" w:lineRule="auto"/>
              <w:jc w:val="left"/>
            </w:pPr>
            <w:r>
              <w:rPr>
                <w:sz w:val="17"/>
              </w:rPr>
              <w:t xml:space="preserve">Moyenne</w:t>
            </w:r>
          </w:p>
        </w:tc>
        <w:tc>
          <w:tcPr/>
          <w:p>
            <w:pPr>
              <w:pStyle w:val="Compact"/>
              <w:spacing w:after="20" w:before="20" w:line="240" w:lineRule="auto"/>
              <w:jc w:val="left"/>
            </w:pPr>
            <w:r>
              <w:rPr>
                <w:sz w:val="17"/>
              </w:rPr>
              <w:t xml:space="preserve">Élevé</w:t>
            </w:r>
          </w:p>
        </w:tc>
        <w:tc>
          <w:tcPr/>
          <w:p>
            <w:pPr>
              <w:pStyle w:val="Compact"/>
              <w:spacing w:after="20" w:before="20" w:line="240" w:lineRule="auto"/>
              <w:jc w:val="left"/>
            </w:pPr>
            <w:r>
              <w:rPr>
                <w:sz w:val="17"/>
              </w:rPr>
              <w:t xml:space="preserve">Titre valable uniquement s’il est émis par MOSOLO ; contrôle sur plaque ou QR</w:t>
            </w:r>
          </w:p>
        </w:tc>
      </w:tr>
    </w:tbl>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blHeader/>
        </w:trPr>
        <w:tc>
          <w:tcPr>
            <w:shd w:val="clear" w:color="auto" w:fill="1BA996"/>
          </w:tcPr>
          <w:p>
            <w:pPr>
              <w:pStyle w:val="Compact"/>
              <w:spacing w:after="20" w:before="20" w:line="240" w:lineRule="auto"/>
              <w:jc w:val="left"/>
            </w:pPr>
            <w:r>
              <w:rPr>
                <w:b/>
                <w:color w:val="FFFFFF"/>
                <w:sz w:val="17"/>
              </w:rPr>
              <w:t xml:space="preserve">Risque</w:t>
            </w:r>
          </w:p>
        </w:tc>
        <w:tc>
          <w:tcPr>
            <w:shd w:val="clear" w:color="auto" w:fill="1BA996"/>
          </w:tcPr>
          <w:p>
            <w:pPr>
              <w:pStyle w:val="Compact"/>
              <w:spacing w:after="20" w:before="20" w:line="240" w:lineRule="auto"/>
              <w:jc w:val="left"/>
            </w:pPr>
            <w:r>
              <w:rPr>
                <w:b/>
                <w:color w:val="FFFFFF"/>
                <w:sz w:val="17"/>
              </w:rPr>
              <w:t xml:space="preserve">Probabilité</w:t>
            </w:r>
          </w:p>
        </w:tc>
        <w:tc>
          <w:tcPr>
            <w:shd w:val="clear" w:color="auto" w:fill="1BA996"/>
          </w:tcPr>
          <w:p>
            <w:pPr>
              <w:pStyle w:val="Compact"/>
              <w:spacing w:after="20" w:before="20" w:line="240" w:lineRule="auto"/>
              <w:jc w:val="left"/>
            </w:pPr>
            <w:r>
              <w:rPr>
                <w:b/>
                <w:color w:val="FFFFFF"/>
                <w:sz w:val="17"/>
              </w:rPr>
              <w:t xml:space="preserve">Impact</w:t>
            </w:r>
          </w:p>
        </w:tc>
        <w:tc>
          <w:tcPr>
            <w:shd w:val="clear" w:color="auto" w:fill="1BA996"/>
          </w:tcPr>
          <w:p>
            <w:pPr>
              <w:pStyle w:val="Compact"/>
              <w:spacing w:after="20" w:before="20" w:line="240" w:lineRule="auto"/>
              <w:jc w:val="left"/>
            </w:pPr>
            <w:r>
              <w:rPr>
                <w:b/>
                <w:color w:val="FFFFFF"/>
                <w:sz w:val="17"/>
              </w:rPr>
              <w:t xml:space="preserve">Traitement</w:t>
            </w:r>
          </w:p>
        </w:tc>
      </w:tr>
      <w:tr>
        <w:tc>
          <w:tcPr/>
          <w:p>
            <w:pPr>
              <w:pStyle w:val="Compact"/>
              <w:spacing w:after="20" w:before="20" w:line="240" w:lineRule="auto"/>
              <w:jc w:val="left"/>
            </w:pPr>
            <w:r>
              <w:rPr>
                <w:sz w:val="17"/>
              </w:rPr>
              <w:t xml:space="preserve">Contestation juridique de la répartition à la source ou de la durée de 30 ans</w:t>
            </w:r>
          </w:p>
        </w:tc>
        <w:tc>
          <w:tcPr/>
          <w:p>
            <w:pPr>
              <w:pStyle w:val="Compact"/>
              <w:spacing w:after="20" w:before="20" w:line="240" w:lineRule="auto"/>
              <w:jc w:val="left"/>
            </w:pPr>
            <w:r>
              <w:rPr>
                <w:sz w:val="17"/>
              </w:rPr>
              <w:t xml:space="preserve">Moyenne</w:t>
            </w:r>
          </w:p>
        </w:tc>
        <w:tc>
          <w:tcPr/>
          <w:p>
            <w:pPr>
              <w:pStyle w:val="Compact"/>
              <w:spacing w:after="20" w:before="20" w:line="240" w:lineRule="auto"/>
              <w:jc w:val="left"/>
            </w:pPr>
            <w:r>
              <w:rPr>
                <w:sz w:val="17"/>
              </w:rPr>
              <w:t xml:space="preserve">Très élevé</w:t>
            </w:r>
          </w:p>
        </w:tc>
        <w:tc>
          <w:tcPr/>
          <w:p>
            <w:pPr>
              <w:pStyle w:val="Compact"/>
              <w:spacing w:after="20" w:before="20" w:line="240" w:lineRule="auto"/>
              <w:jc w:val="left"/>
            </w:pPr>
            <w:r>
              <w:rPr>
                <w:sz w:val="17"/>
              </w:rPr>
              <w:t xml:space="preserve">Acte juridique préalable, contrat PPP conforme, avis juridique, convention tripartite approuvée (§ 37A.8)</w:t>
            </w:r>
          </w:p>
        </w:tc>
      </w:tr>
      <w:tr>
        <w:tc>
          <w:tcPr>
            <w:shd w:val="clear" w:color="auto" w:fill="F2F9F8"/>
          </w:tcPr>
          <w:p>
            <w:pPr>
              <w:pStyle w:val="Compact"/>
              <w:spacing w:after="20" w:before="20" w:line="240" w:lineRule="auto"/>
              <w:jc w:val="left"/>
            </w:pPr>
            <w:r>
              <w:rPr>
                <w:sz w:val="17"/>
              </w:rPr>
              <w:t xml:space="preserve">Perception de « fermage fiscal » par les partenaires et l’opinion, notamment parce que la part de 10 % porte aussi sur les recettes déjà collectées avant MOSOLO</w:t>
            </w:r>
          </w:p>
        </w:tc>
        <w:tc>
          <w:tcPr>
            <w:shd w:val="clear" w:color="auto" w:fill="F2F9F8"/>
          </w:tcPr>
          <w:p>
            <w:pPr>
              <w:pStyle w:val="Compact"/>
              <w:spacing w:after="20" w:before="20" w:line="240" w:lineRule="auto"/>
              <w:jc w:val="left"/>
            </w:pPr>
            <w:r>
              <w:rPr>
                <w:sz w:val="17"/>
              </w:rPr>
              <w:t xml:space="preserve">Élevée</w:t>
            </w:r>
          </w:p>
        </w:tc>
        <w:tc>
          <w:tcPr>
            <w:shd w:val="clear" w:color="auto" w:fill="F2F9F8"/>
          </w:tcPr>
          <w:p>
            <w:pPr>
              <w:pStyle w:val="Compact"/>
              <w:spacing w:after="20" w:before="20" w:line="240" w:lineRule="auto"/>
              <w:jc w:val="left"/>
            </w:pPr>
            <w:r>
              <w:rPr>
                <w:sz w:val="17"/>
              </w:rPr>
              <w:t xml:space="preserve">Élevé</w:t>
            </w:r>
          </w:p>
        </w:tc>
        <w:tc>
          <w:tcPr>
            <w:shd w:val="clear" w:color="auto" w:fill="F2F9F8"/>
          </w:tcPr>
          <w:p>
            <w:pPr>
              <w:pStyle w:val="Compact"/>
              <w:spacing w:after="20" w:before="20" w:line="240" w:lineRule="auto"/>
              <w:jc w:val="left"/>
            </w:pPr>
            <w:r>
              <w:rPr>
                <w:sz w:val="17"/>
              </w:rPr>
              <w:t xml:space="preserve">Transparence du tableau de répartition, publication agrégée, audit indépendant, démonstration de l’investissement et des gains</w:t>
            </w:r>
          </w:p>
        </w:tc>
      </w:tr>
      <w:tr>
        <w:tc>
          <w:tcPr/>
          <w:p>
            <w:pPr>
              <w:pStyle w:val="Compact"/>
              <w:spacing w:after="20" w:before="20" w:line="240" w:lineRule="auto"/>
              <w:jc w:val="left"/>
            </w:pPr>
            <w:r>
              <w:rPr>
                <w:sz w:val="17"/>
              </w:rPr>
              <w:t xml:space="preserve">Surtaxation ou pression sur les contribuables pour augmenter la réserve des agents</w:t>
            </w:r>
          </w:p>
        </w:tc>
        <w:tc>
          <w:tcPr/>
          <w:p>
            <w:pPr>
              <w:pStyle w:val="Compact"/>
              <w:spacing w:after="20" w:before="20" w:line="240" w:lineRule="auto"/>
              <w:jc w:val="left"/>
            </w:pPr>
            <w:r>
              <w:rPr>
                <w:sz w:val="17"/>
              </w:rPr>
              <w:t xml:space="preserve">Moyenne</w:t>
            </w:r>
          </w:p>
        </w:tc>
        <w:tc>
          <w:tcPr/>
          <w:p>
            <w:pPr>
              <w:pStyle w:val="Compact"/>
              <w:spacing w:after="20" w:before="20" w:line="240" w:lineRule="auto"/>
              <w:jc w:val="left"/>
            </w:pPr>
            <w:r>
              <w:rPr>
                <w:sz w:val="17"/>
              </w:rPr>
              <w:t xml:space="preserve">Élevé</w:t>
            </w:r>
          </w:p>
        </w:tc>
        <w:tc>
          <w:tcPr/>
          <w:p>
            <w:pPr>
              <w:pStyle w:val="Compact"/>
              <w:spacing w:after="20" w:before="20" w:line="240" w:lineRule="auto"/>
              <w:jc w:val="left"/>
            </w:pPr>
            <w:r>
              <w:rPr>
                <w:sz w:val="17"/>
              </w:rPr>
              <w:t xml:space="preserve">Points fondés sur des résultats vérifiés et la qualité, jamais sur les montants liquidés ; ligne de signalement ; récupération des sommes</w:t>
            </w:r>
          </w:p>
        </w:tc>
      </w:tr>
      <w:tr>
        <w:tc>
          <w:tcPr>
            <w:shd w:val="clear" w:color="auto" w:fill="F2F9F8"/>
          </w:tcPr>
          <w:p>
            <w:pPr>
              <w:pStyle w:val="Compact"/>
              <w:spacing w:after="20" w:before="20" w:line="240" w:lineRule="auto"/>
              <w:jc w:val="left"/>
            </w:pPr>
            <w:r>
              <w:rPr>
                <w:sz w:val="17"/>
              </w:rPr>
              <w:t xml:space="preserve">Concurrence entre ministères pour rattacher des recettes à leur module</w:t>
            </w:r>
          </w:p>
        </w:tc>
        <w:tc>
          <w:tcPr>
            <w:shd w:val="clear" w:color="auto" w:fill="F2F9F8"/>
          </w:tcPr>
          <w:p>
            <w:pPr>
              <w:pStyle w:val="Compact"/>
              <w:spacing w:after="20" w:before="20" w:line="240" w:lineRule="auto"/>
              <w:jc w:val="left"/>
            </w:pPr>
            <w:r>
              <w:rPr>
                <w:sz w:val="17"/>
              </w:rPr>
              <w:t xml:space="preserve">Moyenne</w:t>
            </w:r>
          </w:p>
        </w:tc>
        <w:tc>
          <w:tcPr>
            <w:shd w:val="clear" w:color="auto" w:fill="F2F9F8"/>
          </w:tcPr>
          <w:p>
            <w:pPr>
              <w:pStyle w:val="Compact"/>
              <w:spacing w:after="20" w:before="20" w:line="240" w:lineRule="auto"/>
              <w:jc w:val="left"/>
            </w:pPr>
            <w:r>
              <w:rPr>
                <w:sz w:val="17"/>
              </w:rPr>
              <w:t xml:space="preserve">Moyen</w:t>
            </w:r>
          </w:p>
        </w:tc>
        <w:tc>
          <w:tcPr>
            <w:shd w:val="clear" w:color="auto" w:fill="F2F9F8"/>
          </w:tcPr>
          <w:p>
            <w:pPr>
              <w:pStyle w:val="Compact"/>
              <w:spacing w:after="20" w:before="20" w:line="240" w:lineRule="auto"/>
              <w:jc w:val="left"/>
            </w:pPr>
            <w:r>
              <w:rPr>
                <w:sz w:val="17"/>
              </w:rPr>
              <w:t xml:space="preserve">Table de rattachement fixée par arrêté ; blocage des doublons et arbitrage (§ 10A.3)</w:t>
            </w:r>
          </w:p>
        </w:tc>
      </w:tr>
      <w:tr>
        <w:tc>
          <w:tcPr/>
          <w:p>
            <w:pPr>
              <w:pStyle w:val="Compact"/>
              <w:spacing w:after="20" w:before="20" w:line="240" w:lineRule="auto"/>
              <w:jc w:val="left"/>
            </w:pPr>
            <w:r>
              <w:rPr>
                <w:sz w:val="17"/>
              </w:rPr>
              <w:t xml:space="preserve">Moyens physiques non financés (terminaux, guichets, plaques QR, cartes) : plateforme prête mais inutilisable sur le terrain</w:t>
            </w:r>
          </w:p>
        </w:tc>
        <w:tc>
          <w:tcPr/>
          <w:p>
            <w:pPr>
              <w:pStyle w:val="Compact"/>
              <w:spacing w:after="20" w:before="20" w:line="240" w:lineRule="auto"/>
              <w:jc w:val="left"/>
            </w:pPr>
            <w:r>
              <w:rPr>
                <w:sz w:val="17"/>
              </w:rPr>
              <w:t xml:space="preserve">Moyenne</w:t>
            </w:r>
          </w:p>
        </w:tc>
        <w:tc>
          <w:tcPr/>
          <w:p>
            <w:pPr>
              <w:pStyle w:val="Compact"/>
              <w:spacing w:after="20" w:before="20" w:line="240" w:lineRule="auto"/>
              <w:jc w:val="left"/>
            </w:pPr>
            <w:r>
              <w:rPr>
                <w:sz w:val="17"/>
              </w:rPr>
              <w:t xml:space="preserve">Très élevé</w:t>
            </w:r>
          </w:p>
        </w:tc>
        <w:tc>
          <w:tcPr/>
          <w:p>
            <w:pPr>
              <w:pStyle w:val="Compact"/>
              <w:spacing w:after="20" w:before="20" w:line="240" w:lineRule="auto"/>
              <w:jc w:val="left"/>
            </w:pPr>
            <w:r>
              <w:rPr>
                <w:sz w:val="17"/>
              </w:rPr>
              <w:t xml:space="preserve">Plan de financement des moyens physiques arrêté avant le pilote (§ 37A.1) ; options combinées : budget, partenaires, sous-traitants, opérateurs</w:t>
            </w:r>
          </w:p>
        </w:tc>
      </w:tr>
      <w:tr>
        <w:tc>
          <w:tcPr>
            <w:shd w:val="clear" w:color="auto" w:fill="F2F9F8"/>
          </w:tcPr>
          <w:p>
            <w:pPr>
              <w:pStyle w:val="Compact"/>
              <w:spacing w:after="20" w:before="20" w:line="240" w:lineRule="auto"/>
              <w:jc w:val="left"/>
            </w:pPr>
            <w:r>
              <w:rPr>
                <w:sz w:val="17"/>
              </w:rPr>
              <w:t xml:space="preserve">Dépendance de long terme envers l’opérateur sur 30 ans</w:t>
            </w:r>
          </w:p>
        </w:tc>
        <w:tc>
          <w:tcPr>
            <w:shd w:val="clear" w:color="auto" w:fill="F2F9F8"/>
          </w:tcPr>
          <w:p>
            <w:pPr>
              <w:pStyle w:val="Compact"/>
              <w:spacing w:after="20" w:before="20" w:line="240" w:lineRule="auto"/>
              <w:jc w:val="left"/>
            </w:pPr>
            <w:r>
              <w:rPr>
                <w:sz w:val="17"/>
              </w:rPr>
              <w:t xml:space="preserve">Moyenne</w:t>
            </w:r>
          </w:p>
        </w:tc>
        <w:tc>
          <w:tcPr>
            <w:shd w:val="clear" w:color="auto" w:fill="F2F9F8"/>
          </w:tcPr>
          <w:p>
            <w:pPr>
              <w:pStyle w:val="Compact"/>
              <w:spacing w:after="20" w:before="20" w:line="240" w:lineRule="auto"/>
              <w:jc w:val="left"/>
            </w:pPr>
            <w:r>
              <w:rPr>
                <w:sz w:val="17"/>
              </w:rPr>
              <w:t xml:space="preserve">Élevé</w:t>
            </w:r>
          </w:p>
        </w:tc>
        <w:tc>
          <w:tcPr>
            <w:shd w:val="clear" w:color="auto" w:fill="F2F9F8"/>
          </w:tcPr>
          <w:p>
            <w:pPr>
              <w:pStyle w:val="Compact"/>
              <w:spacing w:after="20" w:before="20" w:line="240" w:lineRule="auto"/>
              <w:jc w:val="left"/>
            </w:pPr>
            <w:r>
              <w:rPr>
                <w:sz w:val="17"/>
              </w:rPr>
              <w:t xml:space="preserve">Séquestre du code, propriété des données, transfert de compétences, clauses de sortie et de transfert</w:t>
            </w:r>
          </w:p>
        </w:tc>
      </w:tr>
    </w:tbl>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blHeader/>
        </w:trPr>
        <w:tc>
          <w:tcPr>
            <w:shd w:val="clear" w:color="auto" w:fill="1BA996"/>
          </w:tcPr>
          <w:p>
            <w:pPr>
              <w:pStyle w:val="Compact"/>
              <w:spacing w:after="20" w:before="20" w:line="240" w:lineRule="auto"/>
              <w:jc w:val="left"/>
            </w:pPr>
            <w:r>
              <w:rPr>
                <w:b/>
                <w:color w:val="FFFFFF"/>
                <w:sz w:val="17"/>
              </w:rPr>
              <w:t xml:space="preserve">Risque</w:t>
            </w:r>
          </w:p>
        </w:tc>
        <w:tc>
          <w:tcPr>
            <w:shd w:val="clear" w:color="auto" w:fill="1BA996"/>
          </w:tcPr>
          <w:p>
            <w:pPr>
              <w:pStyle w:val="Compact"/>
              <w:spacing w:after="20" w:before="20" w:line="240" w:lineRule="auto"/>
              <w:jc w:val="left"/>
            </w:pPr>
            <w:r>
              <w:rPr>
                <w:b/>
                <w:color w:val="FFFFFF"/>
                <w:sz w:val="17"/>
              </w:rPr>
              <w:t xml:space="preserve">Probabilité</w:t>
            </w:r>
          </w:p>
        </w:tc>
        <w:tc>
          <w:tcPr>
            <w:shd w:val="clear" w:color="auto" w:fill="1BA996"/>
          </w:tcPr>
          <w:p>
            <w:pPr>
              <w:pStyle w:val="Compact"/>
              <w:spacing w:after="20" w:before="20" w:line="240" w:lineRule="auto"/>
              <w:jc w:val="left"/>
            </w:pPr>
            <w:r>
              <w:rPr>
                <w:b/>
                <w:color w:val="FFFFFF"/>
                <w:sz w:val="17"/>
              </w:rPr>
              <w:t xml:space="preserve">Impact</w:t>
            </w:r>
          </w:p>
        </w:tc>
        <w:tc>
          <w:tcPr>
            <w:shd w:val="clear" w:color="auto" w:fill="1BA996"/>
          </w:tcPr>
          <w:p>
            <w:pPr>
              <w:pStyle w:val="Compact"/>
              <w:spacing w:after="20" w:before="20" w:line="240" w:lineRule="auto"/>
              <w:jc w:val="left"/>
            </w:pPr>
            <w:r>
              <w:rPr>
                <w:b/>
                <w:color w:val="FFFFFF"/>
                <w:sz w:val="17"/>
              </w:rPr>
              <w:t xml:space="preserve">Traitement</w:t>
            </w:r>
          </w:p>
        </w:tc>
      </w:tr>
      <w:tr>
        <w:tc>
          <w:tcPr/>
          <w:p>
            <w:pPr>
              <w:pStyle w:val="Compact"/>
              <w:spacing w:after="20" w:before="20" w:line="240" w:lineRule="auto"/>
              <w:jc w:val="left"/>
            </w:pPr>
            <w:r>
              <w:rPr>
                <w:sz w:val="17"/>
              </w:rPr>
              <w:t xml:space="preserve">Invitations abusives ou prolifération de comptes</w:t>
            </w:r>
          </w:p>
        </w:tc>
        <w:tc>
          <w:tcPr/>
          <w:p>
            <w:pPr>
              <w:pStyle w:val="Compact"/>
              <w:spacing w:after="20" w:before="20" w:line="240" w:lineRule="auto"/>
              <w:jc w:val="left"/>
            </w:pPr>
            <w:r>
              <w:rPr>
                <w:sz w:val="17"/>
              </w:rPr>
              <w:t xml:space="preserve">Moyenne</w:t>
            </w:r>
          </w:p>
        </w:tc>
        <w:tc>
          <w:tcPr/>
          <w:p>
            <w:pPr>
              <w:pStyle w:val="Compact"/>
              <w:spacing w:after="20" w:before="20" w:line="240" w:lineRule="auto"/>
              <w:jc w:val="left"/>
            </w:pPr>
            <w:r>
              <w:rPr>
                <w:sz w:val="17"/>
              </w:rPr>
              <w:t xml:space="preserve">Élevé</w:t>
            </w:r>
          </w:p>
        </w:tc>
        <w:tc>
          <w:tcPr/>
          <w:p>
            <w:pPr>
              <w:pStyle w:val="Compact"/>
              <w:spacing w:after="20" w:before="20" w:line="240" w:lineRule="auto"/>
              <w:jc w:val="left"/>
            </w:pPr>
            <w:r>
              <w:rPr>
                <w:sz w:val="17"/>
              </w:rPr>
              <w:t xml:space="preserve">Pas d’élévation, droit d’inviter explicite, seconde validation des rôles sensibles, revue trimestrielle</w:t>
            </w:r>
          </w:p>
        </w:tc>
      </w:tr>
      <w:tr>
        <w:tc>
          <w:tcPr>
            <w:shd w:val="clear" w:color="auto" w:fill="F2F9F8"/>
          </w:tcPr>
          <w:p>
            <w:pPr>
              <w:pStyle w:val="Compact"/>
              <w:spacing w:after="20" w:before="20" w:line="240" w:lineRule="auto"/>
              <w:jc w:val="left"/>
            </w:pPr>
            <w:r>
              <w:rPr>
                <w:sz w:val="17"/>
              </w:rPr>
              <w:t xml:space="preserve">Hameçonnage par faux liens d’invitation</w:t>
            </w:r>
          </w:p>
        </w:tc>
        <w:tc>
          <w:tcPr>
            <w:shd w:val="clear" w:color="auto" w:fill="F2F9F8"/>
          </w:tcPr>
          <w:p>
            <w:pPr>
              <w:pStyle w:val="Compact"/>
              <w:spacing w:after="20" w:before="20" w:line="240" w:lineRule="auto"/>
              <w:jc w:val="left"/>
            </w:pPr>
            <w:r>
              <w:rPr>
                <w:sz w:val="17"/>
              </w:rPr>
              <w:t xml:space="preserve">Moyenne</w:t>
            </w:r>
          </w:p>
        </w:tc>
        <w:tc>
          <w:tcPr>
            <w:shd w:val="clear" w:color="auto" w:fill="F2F9F8"/>
          </w:tcPr>
          <w:p>
            <w:pPr>
              <w:pStyle w:val="Compact"/>
              <w:spacing w:after="20" w:before="20" w:line="240" w:lineRule="auto"/>
              <w:jc w:val="left"/>
            </w:pPr>
            <w:r>
              <w:rPr>
                <w:sz w:val="17"/>
              </w:rPr>
              <w:t xml:space="preserve">Élevé</w:t>
            </w:r>
          </w:p>
        </w:tc>
        <w:tc>
          <w:tcPr>
            <w:shd w:val="clear" w:color="auto" w:fill="F2F9F8"/>
          </w:tcPr>
          <w:p>
            <w:pPr>
              <w:pStyle w:val="Compact"/>
              <w:spacing w:after="20" w:before="20" w:line="240" w:lineRule="auto"/>
              <w:jc w:val="left"/>
            </w:pPr>
            <w:r>
              <w:rPr>
                <w:sz w:val="17"/>
              </w:rPr>
              <w:t xml:space="preserve">Code à usage unique lié au numéro invité, durée limitée, vérification d’identité, campagne d’information</w:t>
            </w:r>
          </w:p>
        </w:tc>
      </w:tr>
      <w:tr>
        <w:tc>
          <w:tcPr/>
          <w:p>
            <w:pPr>
              <w:pStyle w:val="Compact"/>
              <w:spacing w:after="20" w:before="20" w:line="240" w:lineRule="auto"/>
              <w:jc w:val="left"/>
            </w:pPr>
            <w:r>
              <w:rPr>
                <w:sz w:val="17"/>
              </w:rPr>
              <w:t xml:space="preserve">Opérateur d’accès inscrivant des personnes fictives ou se connectant à leur place</w:t>
            </w:r>
          </w:p>
        </w:tc>
        <w:tc>
          <w:tcPr/>
          <w:p>
            <w:pPr>
              <w:pStyle w:val="Compact"/>
              <w:spacing w:after="20" w:before="20" w:line="240" w:lineRule="auto"/>
              <w:jc w:val="left"/>
            </w:pPr>
            <w:r>
              <w:rPr>
                <w:sz w:val="17"/>
              </w:rPr>
              <w:t xml:space="preserve">Faible</w:t>
            </w:r>
          </w:p>
        </w:tc>
        <w:tc>
          <w:tcPr/>
          <w:p>
            <w:pPr>
              <w:pStyle w:val="Compact"/>
              <w:spacing w:after="20" w:before="20" w:line="240" w:lineRule="auto"/>
              <w:jc w:val="left"/>
            </w:pPr>
            <w:r>
              <w:rPr>
                <w:sz w:val="17"/>
              </w:rPr>
              <w:t xml:space="preserve">Élevé</w:t>
            </w:r>
          </w:p>
        </w:tc>
        <w:tc>
          <w:tcPr/>
          <w:p>
            <w:pPr>
              <w:pStyle w:val="Compact"/>
              <w:spacing w:after="20" w:before="20" w:line="240" w:lineRule="auto"/>
              <w:jc w:val="left"/>
            </w:pPr>
            <w:r>
              <w:rPr>
                <w:sz w:val="17"/>
              </w:rPr>
              <w:t xml:space="preserve">Invitation préalable obligatoire, présence et identité vérifiées, secrets définis par la personne, journalisation géolocalisée, audit</w:t>
            </w:r>
          </w:p>
        </w:tc>
      </w:tr>
      <w:tr>
        <w:tc>
          <w:tcPr>
            <w:shd w:val="clear" w:color="auto" w:fill="F2F9F8"/>
          </w:tcPr>
          <w:p>
            <w:pPr>
              <w:pStyle w:val="Compact"/>
              <w:spacing w:after="20" w:before="20" w:line="240" w:lineRule="auto"/>
              <w:jc w:val="left"/>
            </w:pPr>
            <w:r>
              <w:rPr>
                <w:sz w:val="17"/>
              </w:rPr>
              <w:t xml:space="preserve">Administrateur de la plateforme trop puissant</w:t>
            </w:r>
          </w:p>
        </w:tc>
        <w:tc>
          <w:tcPr>
            <w:shd w:val="clear" w:color="auto" w:fill="F2F9F8"/>
          </w:tcPr>
          <w:p>
            <w:pPr>
              <w:pStyle w:val="Compact"/>
              <w:spacing w:after="20" w:before="20" w:line="240" w:lineRule="auto"/>
              <w:jc w:val="left"/>
            </w:pPr>
            <w:r>
              <w:rPr>
                <w:sz w:val="17"/>
              </w:rPr>
              <w:t xml:space="preserve">Faible</w:t>
            </w:r>
          </w:p>
        </w:tc>
        <w:tc>
          <w:tcPr>
            <w:shd w:val="clear" w:color="auto" w:fill="F2F9F8"/>
          </w:tcPr>
          <w:p>
            <w:pPr>
              <w:pStyle w:val="Compact"/>
              <w:spacing w:after="20" w:before="20" w:line="240" w:lineRule="auto"/>
              <w:jc w:val="left"/>
            </w:pPr>
            <w:r>
              <w:rPr>
                <w:sz w:val="17"/>
              </w:rPr>
              <w:t xml:space="preserve">Très élevé</w:t>
            </w:r>
          </w:p>
        </w:tc>
        <w:tc>
          <w:tcPr>
            <w:shd w:val="clear" w:color="auto" w:fill="F2F9F8"/>
          </w:tcPr>
          <w:p>
            <w:pPr>
              <w:pStyle w:val="Compact"/>
              <w:spacing w:after="20" w:before="20" w:line="240" w:lineRule="auto"/>
              <w:jc w:val="left"/>
            </w:pPr>
            <w:r>
              <w:rPr>
                <w:sz w:val="17"/>
              </w:rPr>
              <w:t xml:space="preserve">Aucun rôle métier, aucune activation sensible seule, journalisation visible par les entités et l’audit (§ 12A.6)</w:t>
            </w:r>
          </w:p>
        </w:tc>
      </w:tr>
    </w:tbl>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blHeader/>
        </w:trPr>
        <w:tc>
          <w:tcPr>
            <w:shd w:val="clear" w:color="auto" w:fill="1BA996"/>
          </w:tcPr>
          <w:p>
            <w:pPr>
              <w:pStyle w:val="Compact"/>
              <w:spacing w:after="20" w:before="20" w:line="240" w:lineRule="auto"/>
              <w:jc w:val="left"/>
            </w:pPr>
            <w:r>
              <w:rPr>
                <w:b/>
                <w:color w:val="FFFFFF"/>
                <w:sz w:val="17"/>
              </w:rPr>
              <w:t xml:space="preserve">Risque</w:t>
            </w:r>
          </w:p>
        </w:tc>
        <w:tc>
          <w:tcPr>
            <w:shd w:val="clear" w:color="auto" w:fill="1BA996"/>
          </w:tcPr>
          <w:p>
            <w:pPr>
              <w:pStyle w:val="Compact"/>
              <w:spacing w:after="20" w:before="20" w:line="240" w:lineRule="auto"/>
              <w:jc w:val="left"/>
            </w:pPr>
            <w:r>
              <w:rPr>
                <w:b/>
                <w:color w:val="FFFFFF"/>
                <w:sz w:val="17"/>
              </w:rPr>
              <w:t xml:space="preserve">Probabilité</w:t>
            </w:r>
          </w:p>
        </w:tc>
        <w:tc>
          <w:tcPr>
            <w:shd w:val="clear" w:color="auto" w:fill="1BA996"/>
          </w:tcPr>
          <w:p>
            <w:pPr>
              <w:pStyle w:val="Compact"/>
              <w:spacing w:after="20" w:before="20" w:line="240" w:lineRule="auto"/>
              <w:jc w:val="left"/>
            </w:pPr>
            <w:r>
              <w:rPr>
                <w:b/>
                <w:color w:val="FFFFFF"/>
                <w:sz w:val="17"/>
              </w:rPr>
              <w:t xml:space="preserve">Impact</w:t>
            </w:r>
          </w:p>
        </w:tc>
        <w:tc>
          <w:tcPr>
            <w:shd w:val="clear" w:color="auto" w:fill="1BA996"/>
          </w:tcPr>
          <w:p>
            <w:pPr>
              <w:pStyle w:val="Compact"/>
              <w:spacing w:after="20" w:before="20" w:line="240" w:lineRule="auto"/>
              <w:jc w:val="left"/>
            </w:pPr>
            <w:r>
              <w:rPr>
                <w:b/>
                <w:color w:val="FFFFFF"/>
                <w:sz w:val="17"/>
              </w:rPr>
              <w:t xml:space="preserve">Traitement</w:t>
            </w:r>
          </w:p>
        </w:tc>
      </w:tr>
      <w:tr>
        <w:tc>
          <w:tcPr/>
          <w:p>
            <w:pPr>
              <w:pStyle w:val="Compact"/>
              <w:spacing w:after="20" w:before="20" w:line="240" w:lineRule="auto"/>
              <w:jc w:val="left"/>
            </w:pPr>
            <w:r>
              <w:rPr>
                <w:sz w:val="17"/>
              </w:rPr>
              <w:t xml:space="preserve">Commission non plafonnée contraire aux recommandations des sources et des partenaires</w:t>
            </w:r>
          </w:p>
        </w:tc>
        <w:tc>
          <w:tcPr/>
          <w:p>
            <w:pPr>
              <w:pStyle w:val="Compact"/>
              <w:spacing w:after="20" w:before="20" w:line="240" w:lineRule="auto"/>
              <w:jc w:val="left"/>
            </w:pPr>
            <w:r>
              <w:rPr>
                <w:sz w:val="17"/>
              </w:rPr>
              <w:t xml:space="preserve">Élevée</w:t>
            </w:r>
          </w:p>
        </w:tc>
        <w:tc>
          <w:tcPr/>
          <w:p>
            <w:pPr>
              <w:pStyle w:val="Compact"/>
              <w:spacing w:after="20" w:before="20" w:line="240" w:lineRule="auto"/>
              <w:jc w:val="left"/>
            </w:pPr>
            <w:r>
              <w:rPr>
                <w:sz w:val="17"/>
              </w:rPr>
              <w:t xml:space="preserve">Élevé</w:t>
            </w:r>
          </w:p>
        </w:tc>
        <w:tc>
          <w:tcPr/>
          <w:p>
            <w:pPr>
              <w:pStyle w:val="Compact"/>
              <w:spacing w:after="20" w:before="20" w:line="240" w:lineRule="auto"/>
              <w:jc w:val="left"/>
            </w:pPr>
            <w:r>
              <w:rPr>
                <w:sz w:val="17"/>
              </w:rPr>
              <w:t xml:space="preserve">Acte juridique, transparence, audit, revue périodique prévue au contrat (§ 37A.7)</w:t>
            </w:r>
          </w:p>
        </w:tc>
      </w:tr>
      <w:tr>
        <w:tc>
          <w:tcPr>
            <w:shd w:val="clear" w:color="auto" w:fill="F2F9F8"/>
          </w:tcPr>
          <w:p>
            <w:pPr>
              <w:pStyle w:val="Compact"/>
              <w:spacing w:after="20" w:before="20" w:line="240" w:lineRule="auto"/>
              <w:jc w:val="left"/>
            </w:pPr>
            <w:r>
              <w:rPr>
                <w:sz w:val="17"/>
              </w:rPr>
              <w:t xml:space="preserve">Vente en espèces par des vendeurs d’opérateurs (socle RakaPay)</w:t>
            </w:r>
          </w:p>
        </w:tc>
        <w:tc>
          <w:tcPr>
            <w:shd w:val="clear" w:color="auto" w:fill="F2F9F8"/>
          </w:tcPr>
          <w:p>
            <w:pPr>
              <w:pStyle w:val="Compact"/>
              <w:spacing w:after="20" w:before="20" w:line="240" w:lineRule="auto"/>
              <w:jc w:val="left"/>
            </w:pPr>
            <w:r>
              <w:rPr>
                <w:sz w:val="17"/>
              </w:rPr>
              <w:t xml:space="preserve">Moyenne</w:t>
            </w:r>
          </w:p>
        </w:tc>
        <w:tc>
          <w:tcPr>
            <w:shd w:val="clear" w:color="auto" w:fill="F2F9F8"/>
          </w:tcPr>
          <w:p>
            <w:pPr>
              <w:pStyle w:val="Compact"/>
              <w:spacing w:after="20" w:before="20" w:line="240" w:lineRule="auto"/>
              <w:jc w:val="left"/>
            </w:pPr>
            <w:r>
              <w:rPr>
                <w:sz w:val="17"/>
              </w:rPr>
              <w:t xml:space="preserve">Élevé</w:t>
            </w:r>
          </w:p>
        </w:tc>
        <w:tc>
          <w:tcPr>
            <w:shd w:val="clear" w:color="auto" w:fill="F2F9F8"/>
          </w:tcPr>
          <w:p>
            <w:pPr>
              <w:pStyle w:val="Compact"/>
              <w:spacing w:after="20" w:before="20" w:line="240" w:lineRule="auto"/>
              <w:jc w:val="left"/>
            </w:pPr>
            <w:r>
              <w:rPr>
                <w:sz w:val="17"/>
              </w:rPr>
              <w:t xml:space="preserve">Espèces réservées aux points de paiement agréés, règlement quotidien (§ 11D.4)</w:t>
            </w:r>
          </w:p>
        </w:tc>
      </w:tr>
      <w:tr>
        <w:tc>
          <w:tcPr/>
          <w:p>
            <w:pPr>
              <w:pStyle w:val="Compact"/>
              <w:spacing w:after="20" w:before="20" w:line="240" w:lineRule="auto"/>
              <w:jc w:val="left"/>
            </w:pPr>
            <w:r>
              <w:rPr>
                <w:sz w:val="17"/>
              </w:rPr>
              <w:t xml:space="preserve">Sanctions automatiques proposées par les dossiers AVIA et ParkSmart</w:t>
            </w:r>
          </w:p>
        </w:tc>
        <w:tc>
          <w:tcPr/>
          <w:p>
            <w:pPr>
              <w:pStyle w:val="Compact"/>
              <w:spacing w:after="20" w:before="20" w:line="240" w:lineRule="auto"/>
              <w:jc w:val="left"/>
            </w:pPr>
            <w:r>
              <w:rPr>
                <w:sz w:val="17"/>
              </w:rPr>
              <w:t xml:space="preserve">Moyenne</w:t>
            </w:r>
          </w:p>
        </w:tc>
        <w:tc>
          <w:tcPr/>
          <w:p>
            <w:pPr>
              <w:pStyle w:val="Compact"/>
              <w:spacing w:after="20" w:before="20" w:line="240" w:lineRule="auto"/>
              <w:jc w:val="left"/>
            </w:pPr>
            <w:r>
              <w:rPr>
                <w:sz w:val="17"/>
              </w:rPr>
              <w:t xml:space="preserve">Élevé</w:t>
            </w:r>
          </w:p>
        </w:tc>
        <w:tc>
          <w:tcPr/>
          <w:p>
            <w:pPr>
              <w:pStyle w:val="Compact"/>
              <w:spacing w:after="20" w:before="20" w:line="240" w:lineRule="auto"/>
              <w:jc w:val="left"/>
            </w:pPr>
            <w:r>
              <w:rPr>
                <w:sz w:val="17"/>
              </w:rPr>
              <w:t xml:space="preserve">Système qui constate et calcule ; décision par l’autorité compétente ; recours (§ 11A.6, § 11C.4)</w:t>
            </w:r>
          </w:p>
        </w:tc>
      </w:tr>
      <w:tr>
        <w:tc>
          <w:tcPr>
            <w:shd w:val="clear" w:color="auto" w:fill="F2F9F8"/>
          </w:tcPr>
          <w:p>
            <w:pPr>
              <w:pStyle w:val="Compact"/>
              <w:spacing w:after="20" w:before="20" w:line="240" w:lineRule="auto"/>
              <w:jc w:val="left"/>
            </w:pPr>
            <w:r>
              <w:rPr>
                <w:sz w:val="17"/>
              </w:rPr>
              <w:t xml:space="preserve">Surréservation du stationnement contestée</w:t>
            </w:r>
          </w:p>
        </w:tc>
        <w:tc>
          <w:tcPr>
            <w:shd w:val="clear" w:color="auto" w:fill="F2F9F8"/>
          </w:tcPr>
          <w:p>
            <w:pPr>
              <w:pStyle w:val="Compact"/>
              <w:spacing w:after="20" w:before="20" w:line="240" w:lineRule="auto"/>
              <w:jc w:val="left"/>
            </w:pPr>
            <w:r>
              <w:rPr>
                <w:sz w:val="17"/>
              </w:rPr>
              <w:t xml:space="preserve">Moyenne</w:t>
            </w:r>
          </w:p>
        </w:tc>
        <w:tc>
          <w:tcPr>
            <w:shd w:val="clear" w:color="auto" w:fill="F2F9F8"/>
          </w:tcPr>
          <w:p>
            <w:pPr>
              <w:pStyle w:val="Compact"/>
              <w:spacing w:after="20" w:before="20" w:line="240" w:lineRule="auto"/>
              <w:jc w:val="left"/>
            </w:pPr>
            <w:r>
              <w:rPr>
                <w:sz w:val="17"/>
              </w:rPr>
              <w:t xml:space="preserve">Moyen</w:t>
            </w:r>
          </w:p>
        </w:tc>
        <w:tc>
          <w:tcPr>
            <w:shd w:val="clear" w:color="auto" w:fill="F2F9F8"/>
          </w:tcPr>
          <w:p>
            <w:pPr>
              <w:pStyle w:val="Compact"/>
              <w:spacing w:after="20" w:before="20" w:line="240" w:lineRule="auto"/>
              <w:jc w:val="left"/>
            </w:pPr>
            <w:r>
              <w:rPr>
                <w:sz w:val="17"/>
              </w:rPr>
              <w:t xml:space="preserve">Activation après validation juridique, garantie de place ou compensation (§ 11A.5)</w:t>
            </w:r>
          </w:p>
        </w:tc>
      </w:tr>
      <w:tr>
        <w:tc>
          <w:tcPr/>
          <w:p>
            <w:pPr>
              <w:pStyle w:val="Compact"/>
              <w:spacing w:after="20" w:before="20" w:line="240" w:lineRule="auto"/>
              <w:jc w:val="left"/>
            </w:pPr>
            <w:r>
              <w:rPr>
                <w:sz w:val="17"/>
              </w:rPr>
              <w:t xml:space="preserve">Refus des compagnies ou de l’IATA de partager les données BSP/GDS</w:t>
            </w:r>
          </w:p>
        </w:tc>
        <w:tc>
          <w:tcPr/>
          <w:p>
            <w:pPr>
              <w:pStyle w:val="Compact"/>
              <w:spacing w:after="20" w:before="20" w:line="240" w:lineRule="auto"/>
              <w:jc w:val="left"/>
            </w:pPr>
            <w:r>
              <w:rPr>
                <w:sz w:val="17"/>
              </w:rPr>
              <w:t xml:space="preserve">Moyenne</w:t>
            </w:r>
          </w:p>
        </w:tc>
        <w:tc>
          <w:tcPr/>
          <w:p>
            <w:pPr>
              <w:pStyle w:val="Compact"/>
              <w:spacing w:after="20" w:before="20" w:line="240" w:lineRule="auto"/>
              <w:jc w:val="left"/>
            </w:pPr>
            <w:r>
              <w:rPr>
                <w:sz w:val="17"/>
              </w:rPr>
              <w:t xml:space="preserve">Élevé</w:t>
            </w:r>
          </w:p>
        </w:tc>
        <w:tc>
          <w:tcPr/>
          <w:p>
            <w:pPr>
              <w:pStyle w:val="Compact"/>
              <w:spacing w:after="20" w:before="20" w:line="240" w:lineRule="auto"/>
              <w:jc w:val="left"/>
            </w:pPr>
            <w:r>
              <w:rPr>
                <w:sz w:val="17"/>
              </w:rPr>
              <w:t xml:space="preserve">Arrêtés, portail pour les agences, rapprochement RVA et DGM, dialogue institutionnel</w:t>
            </w:r>
          </w:p>
        </w:tc>
      </w:tr>
      <w:tr>
        <w:tc>
          <w:tcPr>
            <w:shd w:val="clear" w:color="auto" w:fill="F2F9F8"/>
          </w:tcPr>
          <w:p>
            <w:pPr>
              <w:pStyle w:val="Compact"/>
              <w:spacing w:after="20" w:before="20" w:line="240" w:lineRule="auto"/>
              <w:jc w:val="left"/>
            </w:pPr>
            <w:r>
              <w:rPr>
                <w:sz w:val="17"/>
              </w:rPr>
              <w:t xml:space="preserve">Résistance des gestionnaires publics à CALCU</w:t>
            </w:r>
          </w:p>
        </w:tc>
        <w:tc>
          <w:tcPr>
            <w:shd w:val="clear" w:color="auto" w:fill="F2F9F8"/>
          </w:tcPr>
          <w:p>
            <w:pPr>
              <w:pStyle w:val="Compact"/>
              <w:spacing w:after="20" w:before="20" w:line="240" w:lineRule="auto"/>
              <w:jc w:val="left"/>
            </w:pPr>
            <w:r>
              <w:rPr>
                <w:sz w:val="17"/>
              </w:rPr>
              <w:t xml:space="preserve">Élevée</w:t>
            </w:r>
          </w:p>
        </w:tc>
        <w:tc>
          <w:tcPr>
            <w:shd w:val="clear" w:color="auto" w:fill="F2F9F8"/>
          </w:tcPr>
          <w:p>
            <w:pPr>
              <w:pStyle w:val="Compact"/>
              <w:spacing w:after="20" w:before="20" w:line="240" w:lineRule="auto"/>
              <w:jc w:val="left"/>
            </w:pPr>
            <w:r>
              <w:rPr>
                <w:sz w:val="17"/>
              </w:rPr>
              <w:t xml:space="preserve">Élevé</w:t>
            </w:r>
          </w:p>
        </w:tc>
        <w:tc>
          <w:tcPr>
            <w:shd w:val="clear" w:color="auto" w:fill="F2F9F8"/>
          </w:tcPr>
          <w:p>
            <w:pPr>
              <w:pStyle w:val="Compact"/>
              <w:spacing w:after="20" w:before="20" w:line="240" w:lineRule="auto"/>
              <w:jc w:val="left"/>
            </w:pPr>
            <w:r>
              <w:rPr>
                <w:sz w:val="17"/>
              </w:rPr>
              <w:t xml:space="preserve">Texte obligatoire, pilote sur une entité, coordination avec la Banque Centrale</w:t>
            </w:r>
          </w:p>
        </w:tc>
      </w:tr>
      <w:tr>
        <w:tc>
          <w:tcPr/>
          <w:p>
            <w:pPr>
              <w:pStyle w:val="Compact"/>
              <w:spacing w:after="20" w:before="20" w:line="240" w:lineRule="auto"/>
              <w:jc w:val="left"/>
            </w:pPr>
            <w:r>
              <w:rPr>
                <w:sz w:val="17"/>
              </w:rPr>
              <w:t xml:space="preserve">Agent fantôme ou appareil compromis</w:t>
            </w:r>
          </w:p>
        </w:tc>
        <w:tc>
          <w:tcPr/>
          <w:p>
            <w:pPr>
              <w:pStyle w:val="Compact"/>
              <w:spacing w:after="20" w:before="20" w:line="240" w:lineRule="auto"/>
              <w:jc w:val="left"/>
            </w:pPr>
            <w:r>
              <w:rPr>
                <w:sz w:val="17"/>
              </w:rPr>
              <w:t xml:space="preserve">Moyenne</w:t>
            </w:r>
          </w:p>
        </w:tc>
        <w:tc>
          <w:tcPr/>
          <w:p>
            <w:pPr>
              <w:pStyle w:val="Compact"/>
              <w:spacing w:after="20" w:before="20" w:line="240" w:lineRule="auto"/>
              <w:jc w:val="left"/>
            </w:pPr>
            <w:r>
              <w:rPr>
                <w:sz w:val="17"/>
              </w:rPr>
              <w:t xml:space="preserve">Élevé</w:t>
            </w:r>
          </w:p>
        </w:tc>
        <w:tc>
          <w:tcPr/>
          <w:p>
            <w:pPr>
              <w:pStyle w:val="Compact"/>
              <w:spacing w:after="20" w:before="20" w:line="240" w:lineRule="auto"/>
              <w:jc w:val="left"/>
            </w:pPr>
            <w:r>
              <w:rPr>
                <w:sz w:val="17"/>
              </w:rPr>
              <w:t xml:space="preserve">Identité forte, attestation d’appareil, MDM, géorepérage</w:t>
            </w:r>
          </w:p>
        </w:tc>
      </w:tr>
    </w:tbl>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blHeader/>
        </w:trPr>
        <w:tc>
          <w:tcPr>
            <w:shd w:val="clear" w:color="auto" w:fill="1BA996"/>
          </w:tcPr>
          <w:p>
            <w:pPr>
              <w:pStyle w:val="Compact"/>
              <w:spacing w:after="20" w:before="20" w:line="240" w:lineRule="auto"/>
              <w:jc w:val="left"/>
            </w:pPr>
            <w:r>
              <w:rPr>
                <w:b/>
                <w:color w:val="FFFFFF"/>
                <w:sz w:val="17"/>
              </w:rPr>
              <w:t xml:space="preserve">Risque</w:t>
            </w:r>
          </w:p>
        </w:tc>
        <w:tc>
          <w:tcPr>
            <w:shd w:val="clear" w:color="auto" w:fill="1BA996"/>
          </w:tcPr>
          <w:p>
            <w:pPr>
              <w:pStyle w:val="Compact"/>
              <w:spacing w:after="20" w:before="20" w:line="240" w:lineRule="auto"/>
              <w:jc w:val="left"/>
            </w:pPr>
            <w:r>
              <w:rPr>
                <w:b/>
                <w:color w:val="FFFFFF"/>
                <w:sz w:val="17"/>
              </w:rPr>
              <w:t xml:space="preserve">Probabilité</w:t>
            </w:r>
          </w:p>
        </w:tc>
        <w:tc>
          <w:tcPr>
            <w:shd w:val="clear" w:color="auto" w:fill="1BA996"/>
          </w:tcPr>
          <w:p>
            <w:pPr>
              <w:pStyle w:val="Compact"/>
              <w:spacing w:after="20" w:before="20" w:line="240" w:lineRule="auto"/>
              <w:jc w:val="left"/>
            </w:pPr>
            <w:r>
              <w:rPr>
                <w:b/>
                <w:color w:val="FFFFFF"/>
                <w:sz w:val="17"/>
              </w:rPr>
              <w:t xml:space="preserve">Impact</w:t>
            </w:r>
          </w:p>
        </w:tc>
        <w:tc>
          <w:tcPr>
            <w:shd w:val="clear" w:color="auto" w:fill="1BA996"/>
          </w:tcPr>
          <w:p>
            <w:pPr>
              <w:pStyle w:val="Compact"/>
              <w:spacing w:after="20" w:before="20" w:line="240" w:lineRule="auto"/>
              <w:jc w:val="left"/>
            </w:pPr>
            <w:r>
              <w:rPr>
                <w:b/>
                <w:color w:val="FFFFFF"/>
                <w:sz w:val="17"/>
              </w:rPr>
              <w:t xml:space="preserve">Traitement</w:t>
            </w:r>
          </w:p>
        </w:tc>
      </w:tr>
      <w:tr>
        <w:tc>
          <w:tcPr/>
          <w:p>
            <w:pPr>
              <w:pStyle w:val="Compact"/>
              <w:spacing w:after="20" w:before="20" w:line="240" w:lineRule="auto"/>
              <w:jc w:val="left"/>
            </w:pPr>
            <w:r>
              <w:rPr>
                <w:sz w:val="17"/>
              </w:rPr>
              <w:t xml:space="preserve">Rejet par les wewa perçu comme une nouvelle charge</w:t>
            </w:r>
          </w:p>
        </w:tc>
        <w:tc>
          <w:tcPr/>
          <w:p>
            <w:pPr>
              <w:pStyle w:val="Compact"/>
              <w:spacing w:after="20" w:before="20" w:line="240" w:lineRule="auto"/>
              <w:jc w:val="left"/>
            </w:pPr>
            <w:r>
              <w:rPr>
                <w:sz w:val="17"/>
              </w:rPr>
              <w:t xml:space="preserve">Élevée</w:t>
            </w:r>
          </w:p>
        </w:tc>
        <w:tc>
          <w:tcPr/>
          <w:p>
            <w:pPr>
              <w:pStyle w:val="Compact"/>
              <w:spacing w:after="20" w:before="20" w:line="240" w:lineRule="auto"/>
              <w:jc w:val="left"/>
            </w:pPr>
            <w:r>
              <w:rPr>
                <w:sz w:val="17"/>
              </w:rPr>
              <w:t xml:space="preserve">Élevé</w:t>
            </w:r>
          </w:p>
        </w:tc>
        <w:tc>
          <w:tcPr/>
          <w:p>
            <w:pPr>
              <w:pStyle w:val="Compact"/>
              <w:spacing w:after="20" w:before="20" w:line="240" w:lineRule="auto"/>
              <w:jc w:val="left"/>
            </w:pPr>
            <w:r>
              <w:rPr>
                <w:sz w:val="17"/>
              </w:rPr>
              <w:t xml:space="preserve">Concertation, tarif abordable fixé par acte, fin des prélèvements informels, période de grâce, bénéfices concrets (§ 11D.8)</w:t>
            </w:r>
          </w:p>
        </w:tc>
      </w:tr>
      <w:tr>
        <w:tc>
          <w:tcPr>
            <w:shd w:val="clear" w:color="auto" w:fill="F2F9F8"/>
          </w:tcPr>
          <w:p>
            <w:pPr>
              <w:pStyle w:val="Compact"/>
              <w:spacing w:after="20" w:before="20" w:line="240" w:lineRule="auto"/>
              <w:jc w:val="left"/>
            </w:pPr>
            <w:r>
              <w:rPr>
                <w:sz w:val="17"/>
              </w:rPr>
              <w:t xml:space="preserve">Résistance des collecteurs informels actuels sur la route</w:t>
            </w:r>
          </w:p>
        </w:tc>
        <w:tc>
          <w:tcPr>
            <w:shd w:val="clear" w:color="auto" w:fill="F2F9F8"/>
          </w:tcPr>
          <w:p>
            <w:pPr>
              <w:pStyle w:val="Compact"/>
              <w:spacing w:after="20" w:before="20" w:line="240" w:lineRule="auto"/>
              <w:jc w:val="left"/>
            </w:pPr>
            <w:r>
              <w:rPr>
                <w:sz w:val="17"/>
              </w:rPr>
              <w:t xml:space="preserve">Élevée</w:t>
            </w:r>
          </w:p>
        </w:tc>
        <w:tc>
          <w:tcPr>
            <w:shd w:val="clear" w:color="auto" w:fill="F2F9F8"/>
          </w:tcPr>
          <w:p>
            <w:pPr>
              <w:pStyle w:val="Compact"/>
              <w:spacing w:after="20" w:before="20" w:line="240" w:lineRule="auto"/>
              <w:jc w:val="left"/>
            </w:pPr>
            <w:r>
              <w:rPr>
                <w:sz w:val="17"/>
              </w:rPr>
              <w:t xml:space="preserve">Élevé</w:t>
            </w:r>
          </w:p>
        </w:tc>
        <w:tc>
          <w:tcPr>
            <w:shd w:val="clear" w:color="auto" w:fill="F2F9F8"/>
          </w:tcPr>
          <w:p>
            <w:pPr>
              <w:pStyle w:val="Compact"/>
              <w:spacing w:after="20" w:before="20" w:line="240" w:lineRule="auto"/>
              <w:jc w:val="left"/>
            </w:pPr>
            <w:r>
              <w:rPr>
                <w:sz w:val="17"/>
              </w:rPr>
              <w:t xml:space="preserve">Zéro espèce sur la route, journal des contrôles, ligne de signalement, soutien politique</w:t>
            </w:r>
          </w:p>
        </w:tc>
      </w:tr>
      <w:tr>
        <w:tc>
          <w:tcPr/>
          <w:p>
            <w:pPr>
              <w:pStyle w:val="Compact"/>
              <w:spacing w:after="20" w:before="20" w:line="240" w:lineRule="auto"/>
              <w:jc w:val="left"/>
            </w:pPr>
            <w:r>
              <w:rPr>
                <w:sz w:val="17"/>
              </w:rPr>
              <w:t xml:space="preserve">Double imposition avec des prélèvements communaux ou existants</w:t>
            </w:r>
          </w:p>
        </w:tc>
        <w:tc>
          <w:tcPr/>
          <w:p>
            <w:pPr>
              <w:pStyle w:val="Compact"/>
              <w:spacing w:after="20" w:before="20" w:line="240" w:lineRule="auto"/>
              <w:jc w:val="left"/>
            </w:pPr>
            <w:r>
              <w:rPr>
                <w:sz w:val="17"/>
              </w:rPr>
              <w:t xml:space="preserve">Moyenne</w:t>
            </w:r>
          </w:p>
        </w:tc>
        <w:tc>
          <w:tcPr/>
          <w:p>
            <w:pPr>
              <w:pStyle w:val="Compact"/>
              <w:spacing w:after="20" w:before="20" w:line="240" w:lineRule="auto"/>
              <w:jc w:val="left"/>
            </w:pPr>
            <w:r>
              <w:rPr>
                <w:sz w:val="17"/>
              </w:rPr>
              <w:t xml:space="preserve">Moyen</w:t>
            </w:r>
          </w:p>
        </w:tc>
        <w:tc>
          <w:tcPr/>
          <w:p>
            <w:pPr>
              <w:pStyle w:val="Compact"/>
              <w:spacing w:after="20" w:before="20" w:line="240" w:lineRule="auto"/>
              <w:jc w:val="left"/>
            </w:pPr>
            <w:r>
              <w:rPr>
                <w:sz w:val="17"/>
              </w:rPr>
              <w:t xml:space="preserve">Relevé juridique, arbitrage entre entités (§ 10A.3)</w:t>
            </w:r>
          </w:p>
        </w:tc>
      </w:tr>
    </w:tbl>
    <w:bookmarkEnd w:id="295"/>
    <w:bookmarkEnd w:id="296"/>
    <w:bookmarkStart w:id="297" w:name="critères-dacceptation"/>
    <w:p>
      <w:pPr>
        <w:pStyle w:val="Heading1"/>
      </w:pPr>
      <w:r>
        <w:t xml:space="preserve">41. Critères d'acceptation</w:t>
      </w:r>
    </w:p>
    <w:p>
      <w:pPr>
        <w:numPr>
          <w:ilvl w:val="0"/>
          <w:numId w:val="1079"/>
        </w:numPr>
      </w:pPr>
      <w:r>
        <w:t xml:space="preserve">Aucune obligation ne peut être créée sans règle publiée portant une</w:t>
      </w:r>
      <w:r>
        <w:t xml:space="preserve"> </w:t>
      </w:r>
      <w:r>
        <w:t xml:space="preserve">référence légale valide : test négatif obligatoire.</w:t>
      </w:r>
    </w:p>
    <w:p>
      <w:pPr>
        <w:numPr>
          <w:ilvl w:val="0"/>
          <w:numId w:val="1079"/>
        </w:numPr>
      </w:pPr>
      <w:r>
        <w:t xml:space="preserve">Aucune quittance ne peut être générée sans confirmation serveur à</w:t>
      </w:r>
      <w:r>
        <w:t xml:space="preserve"> </w:t>
      </w:r>
      <w:r>
        <w:t xml:space="preserve">serveur d'un prestataire agréé.</w:t>
      </w:r>
    </w:p>
    <w:p>
      <w:pPr>
        <w:numPr>
          <w:ilvl w:val="0"/>
          <w:numId w:val="1079"/>
        </w:numPr>
      </w:pPr>
      <w:r>
        <w:t xml:space="preserve">Aucun compte bénéficiaire ne peut être modifié par un seul</w:t>
      </w:r>
      <w:r>
        <w:t xml:space="preserve"> </w:t>
      </w:r>
      <w:r>
        <w:t xml:space="preserve">utilisateur, quel que soit son rôle.</w:t>
      </w:r>
    </w:p>
    <w:p>
      <w:pPr>
        <w:numPr>
          <w:ilvl w:val="0"/>
          <w:numId w:val="1079"/>
        </w:numPr>
      </w:pPr>
      <w:r>
        <w:t xml:space="preserve">Aucun événement d'audit ne peut être modifié ou supprimé, y compris</w:t>
      </w:r>
      <w:r>
        <w:t xml:space="preserve"> </w:t>
      </w:r>
      <w:r>
        <w:t xml:space="preserve">par le super-administrateur : test d'altération obligatoire.</w:t>
      </w:r>
    </w:p>
    <w:p>
      <w:pPr>
        <w:numPr>
          <w:ilvl w:val="0"/>
          <w:numId w:val="1079"/>
        </w:numPr>
      </w:pPr>
      <w:r>
        <w:t xml:space="preserve">Toute consultation d'un dossier individuel est journalisée avec</w:t>
      </w:r>
      <w:r>
        <w:t xml:space="preserve"> </w:t>
      </w:r>
      <w:r>
        <w:t xml:space="preserve">acteur, motif et horodatage.</w:t>
      </w:r>
    </w:p>
    <w:p>
      <w:pPr>
        <w:numPr>
          <w:ilvl w:val="0"/>
          <w:numId w:val="1079"/>
        </w:numPr>
      </w:pPr>
      <w:r>
        <w:t xml:space="preserve">L'application terrain fonctionne sans réseau pendant une journée</w:t>
      </w:r>
      <w:r>
        <w:t xml:space="preserve"> </w:t>
      </w:r>
      <w:r>
        <w:t xml:space="preserve">complète de mission et synchronise sans perte.</w:t>
      </w:r>
    </w:p>
    <w:p>
      <w:pPr>
        <w:numPr>
          <w:ilvl w:val="0"/>
          <w:numId w:val="1079"/>
        </w:numPr>
      </w:pPr>
      <w:r>
        <w:t xml:space="preserve">Le rapprochement quotidien produit des files d'exception</w:t>
      </w:r>
      <w:r>
        <w:t xml:space="preserve"> </w:t>
      </w:r>
      <w:r>
        <w:t xml:space="preserve">exploitables et traçables.</w:t>
      </w:r>
    </w:p>
    <w:p>
      <w:pPr>
        <w:numPr>
          <w:ilvl w:val="0"/>
          <w:numId w:val="1079"/>
        </w:numPr>
      </w:pPr>
      <w:r>
        <w:t xml:space="preserve">La vérification publique d'une quittance ne divulgue aucune donnée</w:t>
      </w:r>
      <w:r>
        <w:t xml:space="preserve"> </w:t>
      </w:r>
      <w:r>
        <w:t xml:space="preserve">personnelle au-delà du nécessaire.</w:t>
      </w:r>
    </w:p>
    <w:p>
      <w:pPr>
        <w:numPr>
          <w:ilvl w:val="0"/>
          <w:numId w:val="1079"/>
        </w:numPr>
      </w:pPr>
      <w:r>
        <w:t xml:space="preserve">Un recours déposé est horodaté, affecté et suivi jusqu'à décision</w:t>
      </w:r>
      <w:r>
        <w:t xml:space="preserve"> </w:t>
      </w:r>
      <w:r>
        <w:t xml:space="preserve">motivée.</w:t>
      </w:r>
    </w:p>
    <w:p>
      <w:pPr>
        <w:numPr>
          <w:ilvl w:val="0"/>
          <w:numId w:val="1079"/>
        </w:numPr>
      </w:pPr>
      <w:r>
        <w:t xml:space="preserve">Les tableaux de bord distinguent explicitement potentiel, constaté,</w:t>
      </w:r>
      <w:r>
        <w:t xml:space="preserve"> </w:t>
      </w:r>
      <w:r>
        <w:t xml:space="preserve">encaissé, réglé, rapproché et disponible.</w:t>
      </w:r>
    </w:p>
    <w:p>
      <w:pPr>
        <w:numPr>
          <w:ilvl w:val="0"/>
          <w:numId w:val="1079"/>
        </w:numPr>
      </w:pPr>
      <w:r>
        <w:t xml:space="preserve">Aucun paiement sans référence unique et clé d’idempotence.</w:t>
      </w:r>
    </w:p>
    <w:p>
      <w:pPr>
        <w:numPr>
          <w:ilvl w:val="0"/>
          <w:numId w:val="1079"/>
        </w:numPr>
      </w:pPr>
      <w:r>
        <w:t xml:space="preserve">Aucune suppression d’écriture financière ; aucun changement de bénéficiaire unilatéral.</w:t>
      </w:r>
    </w:p>
    <w:p>
      <w:pPr>
        <w:numPr>
          <w:ilvl w:val="0"/>
          <w:numId w:val="1079"/>
        </w:numPr>
      </w:pPr>
      <w:r>
        <w:t xml:space="preserve">Aucune règle active sans approbation ; aucune obligation sans traçabilité complète du calcul.</w:t>
      </w:r>
    </w:p>
    <w:p>
      <w:pPr>
        <w:numPr>
          <w:ilvl w:val="0"/>
          <w:numId w:val="1079"/>
        </w:numPr>
      </w:pPr>
      <w:r>
        <w:t xml:space="preserve">Restauration testée ; export complet et réversibilité démontrés.</w:t>
      </w:r>
    </w:p>
    <w:p>
      <w:pPr>
        <w:numPr>
          <w:ilvl w:val="0"/>
          <w:numId w:val="1079"/>
        </w:numPr>
      </w:pPr>
      <w:r>
        <w:t xml:space="preserve">Portes de mise en production (release gates) : sécurité, droit, données, performance, reprise après sinistre, audit, recette utilisateur.</w:t>
      </w:r>
    </w:p>
    <w:p>
      <w:pPr>
        <w:numPr>
          <w:ilvl w:val="0"/>
          <w:numId w:val="1079"/>
        </w:numPr>
      </w:pPr>
      <w:r>
        <w:t xml:space="preserve">Chaque workflow critique est décrit par des scénarios Étant donné / Lorsque / Alors (Given/When/Then).</w:t>
      </w:r>
    </w:p>
    <w:p>
      <w:pPr>
        <w:numPr>
          <w:ilvl w:val="0"/>
          <w:numId w:val="1079"/>
        </w:numPr>
      </w:pPr>
      <w:r>
        <w:t xml:space="preserve">Tout parcours d’enrôlement, de paiement et de vérification est réalisable sans smartphone ni Internet (USSD, SVI, SMS, guichet, agent).</w:t>
      </w:r>
    </w:p>
    <w:p>
      <w:pPr>
        <w:numPr>
          <w:ilvl w:val="0"/>
          <w:numId w:val="1079"/>
        </w:numPr>
      </w:pPr>
      <w:r>
        <w:t xml:space="preserve">Aucun agent, sous-traitant ou responsable de module ne dispose d’une fonction d’encaissement : test négatif obligatoire.</w:t>
      </w:r>
    </w:p>
    <w:p>
      <w:pPr>
        <w:numPr>
          <w:ilvl w:val="0"/>
          <w:numId w:val="1079"/>
        </w:numPr>
      </w:pPr>
      <w:r>
        <w:t xml:space="preserve">Un agent invité par un sous-traitant reste inactif tant que la régie ne l’a pas habilité.</w:t>
      </w:r>
    </w:p>
    <w:p>
      <w:pPr>
        <w:numPr>
          <w:ilvl w:val="0"/>
          <w:numId w:val="1079"/>
        </w:numPr>
      </w:pPr>
      <w:r>
        <w:t xml:space="preserve">Un gestionnaire ne peut affecter des missions qu’à l’intérieur du lot, de la zone et de la période qui lui ont été attribués.</w:t>
      </w:r>
    </w:p>
    <w:p>
      <w:pPr>
        <w:numPr>
          <w:ilvl w:val="0"/>
          <w:numId w:val="1079"/>
        </w:numPr>
      </w:pPr>
      <w:r>
        <w:t xml:space="preserve">Un point de paiement ne peut pas modifier le montant associé à une référence.</w:t>
      </w:r>
    </w:p>
    <w:p>
      <w:pPr>
        <w:numPr>
          <w:ilvl w:val="0"/>
          <w:numId w:val="1079"/>
        </w:numPr>
      </w:pPr>
      <w:r>
        <w:t xml:space="preserve">Chaque paiement produit au moins une preuve imprimable ou par SMS, vérifiable sans smartphone.</w:t>
      </w:r>
    </w:p>
    <w:p>
      <w:pPr>
        <w:numPr>
          <w:ilvl w:val="0"/>
          <w:numId w:val="1079"/>
        </w:numPr>
      </w:pPr>
      <w:r>
        <w:t xml:space="preserve">Le badge de tout agent actif est vérifiable publiquement ; la révocation d’un agent ou d’un sous-traitant prend effet immédiatement sur tous ses terminaux.</w:t>
      </w:r>
    </w:p>
    <w:p>
      <w:pPr>
        <w:numPr>
          <w:ilvl w:val="0"/>
          <w:numId w:val="1079"/>
        </w:numPr>
      </w:pPr>
      <w:r>
        <w:t xml:space="preserve">Toute validité de titre est calculée sur l’heure du serveur ; aucune décision de validité ne repose sur l’horloge du client.</w:t>
      </w:r>
    </w:p>
    <w:p>
      <w:pPr>
        <w:numPr>
          <w:ilvl w:val="0"/>
          <w:numId w:val="1079"/>
        </w:numPr>
      </w:pPr>
      <w:r>
        <w:t xml:space="preserve">Chaque statut de titre est affiché avec couleur, icône et texte ; aucun statut n’est porté par la couleur seule.</w:t>
      </w:r>
    </w:p>
    <w:p>
      <w:pPr>
        <w:numPr>
          <w:ilvl w:val="0"/>
          <w:numId w:val="1079"/>
        </w:numPr>
      </w:pPr>
      <w:r>
        <w:t xml:space="preserve">Un titre à usage unique ne peut être validé qu’une seule fois, y compris entre contrôles hors ligne réconciliés.</w:t>
      </w:r>
    </w:p>
    <w:p>
      <w:pPr>
        <w:numPr>
          <w:ilvl w:val="0"/>
          <w:numId w:val="1079"/>
        </w:numPr>
      </w:pPr>
      <w:r>
        <w:t xml:space="preserve">Une entité ne peut ni lire ni modifier les règles, titres ou obligations d’une autre entité ; test négatif obligatoire.</w:t>
      </w:r>
    </w:p>
    <w:p>
      <w:pPr>
        <w:numPr>
          <w:ilvl w:val="0"/>
          <w:numId w:val="1079"/>
        </w:numPr>
      </w:pPr>
      <w:r>
        <w:t xml:space="preserve">Aucun nouveau module n’est activé sans fiche de configuration approuvée et recette réussie.</w:t>
      </w:r>
    </w:p>
    <w:p>
      <w:pPr>
        <w:numPr>
          <w:ilvl w:val="0"/>
          <w:numId w:val="1079"/>
        </w:numPr>
      </w:pPr>
      <w:r>
        <w:t xml:space="preserve">La somme des parts de répartition est toujours égale aux recettes rapprochées ; test négatif obligatoire.</w:t>
      </w:r>
    </w:p>
    <w:p>
      <w:pPr>
        <w:numPr>
          <w:ilvl w:val="0"/>
          <w:numId w:val="1079"/>
        </w:numPr>
      </w:pPr>
      <w:r>
        <w:t xml:space="preserve">Le système n’émet que deux flux de décaissement (Groupe Nseya ; Gouvernement provincial) ; toute tentative d’en créer un troisième est rejetée.</w:t>
      </w:r>
    </w:p>
    <w:p>
      <w:pPr>
        <w:numPr>
          <w:ilvl w:val="0"/>
          <w:numId w:val="1079"/>
        </w:numPr>
      </w:pPr>
      <w:r>
        <w:t xml:space="preserve">La clé de répartition ne peut être modifiée sans référence d’acte juridique, quorum et piste d’audit.</w:t>
      </w:r>
    </w:p>
    <w:p>
      <w:pPr>
        <w:numPr>
          <w:ilvl w:val="0"/>
          <w:numId w:val="1079"/>
        </w:numPr>
      </w:pPr>
      <w:r>
        <w:t xml:space="preserve">La répartition ne s’applique qu’à des recettes rapprochées ; les remboursements et contrepassements sont régularisés automatiquement.</w:t>
      </w:r>
    </w:p>
    <w:p>
      <w:pPr>
        <w:numPr>
          <w:ilvl w:val="0"/>
          <w:numId w:val="1079"/>
        </w:numPr>
      </w:pPr>
      <w:r>
        <w:t xml:space="preserve">Aucun compte de travail ne peut être créé sans invitation ; l’inscription publique ne crée que des comptes de contribuable : test négatif obligatoire.</w:t>
      </w:r>
    </w:p>
    <w:p>
      <w:pPr>
        <w:numPr>
          <w:ilvl w:val="0"/>
          <w:numId w:val="1079"/>
        </w:numPr>
      </w:pPr>
      <w:r>
        <w:t xml:space="preserve">Aucune invitation ne peut accorder un niveau ou un périmètre supérieur à celui de l’invitant, hors administrateur de la plateforme.</w:t>
      </w:r>
    </w:p>
    <w:p>
      <w:pPr>
        <w:numPr>
          <w:ilvl w:val="0"/>
          <w:numId w:val="1079"/>
        </w:numPr>
      </w:pPr>
      <w:r>
        <w:t xml:space="preserve">Aucun rôle sensible n’est activé sans seconde validation par une personne distincte de l’invitant.</w:t>
      </w:r>
    </w:p>
    <w:p>
      <w:pPr>
        <w:numPr>
          <w:ilvl w:val="0"/>
          <w:numId w:val="1079"/>
        </w:numPr>
      </w:pPr>
      <w:r>
        <w:t xml:space="preserve">Un compte de travail ne peut être finalisé que depuis le lien d’invitation par la personne invitée, ou par l’opérateur d’accès désigné de son entité ; l’opérateur ne peut jamais définir ni connaître les secrets de connexion de la personne.</w:t>
      </w:r>
    </w:p>
    <w:p>
      <w:pPr>
        <w:numPr>
          <w:ilvl w:val="0"/>
          <w:numId w:val="1079"/>
        </w:numPr>
      </w:pPr>
      <w:r>
        <w:t xml:space="preserve">Tout rattachement de module à une entité est versionné et n’entre en vigueur qu’après seconde validation.</w:t>
      </w:r>
    </w:p>
    <w:p>
      <w:pPr>
        <w:numPr>
          <w:ilvl w:val="0"/>
          <w:numId w:val="1079"/>
        </w:numPr>
      </w:pPr>
      <w:r>
        <w:t xml:space="preserve">Un contribuable retrouve tous ses objets dans un seul compte sans voir ceux d’un homonyme.</w:t>
      </w:r>
    </w:p>
    <w:p>
      <w:pPr>
        <w:numPr>
          <w:ilvl w:val="0"/>
          <w:numId w:val="1079"/>
        </w:numPr>
      </w:pPr>
      <w:r>
        <w:t xml:space="preserve">Une règle expirée ne peut produire une nouvelle obligation.</w:t>
      </w:r>
    </w:p>
    <w:p>
      <w:pPr>
        <w:numPr>
          <w:ilvl w:val="0"/>
          <w:numId w:val="1079"/>
        </w:numPr>
      </w:pPr>
      <w:r>
        <w:t xml:space="preserve">Un paiement confirmé mais non dénoué n’est pas comptabilisé comme recette définitive.</w:t>
      </w:r>
    </w:p>
    <w:p>
      <w:pPr>
        <w:numPr>
          <w:ilvl w:val="0"/>
          <w:numId w:val="1079"/>
        </w:numPr>
      </w:pPr>
      <w:r>
        <w:t xml:space="preserve">Le QR d’une quittance révoquée affiche son statut actuel sans exposer de données excessives.</w:t>
      </w:r>
    </w:p>
    <w:p>
      <w:pPr>
        <w:numPr>
          <w:ilvl w:val="0"/>
          <w:numId w:val="1079"/>
        </w:numPr>
      </w:pPr>
      <w:r>
        <w:t xml:space="preserve">Aucun utilisateur ne peut approuver sa propre modification sensible.</w:t>
      </w:r>
    </w:p>
    <w:p>
      <w:pPr>
        <w:numPr>
          <w:ilvl w:val="0"/>
          <w:numId w:val="1079"/>
        </w:numPr>
      </w:pPr>
      <w:r>
        <w:t xml:space="preserve">Chaque montant du tableau de bord est traçable jusqu’aux écritures sources ; une restauration complète du grand livre et des pièces est démontrée.</w:t>
      </w:r>
    </w:p>
    <w:p>
      <w:pPr>
        <w:numPr>
          <w:ilvl w:val="0"/>
          <w:numId w:val="1079"/>
        </w:numPr>
      </w:pPr>
      <w:r>
        <w:t xml:space="preserve">Le mode hors connexion détecte les doublons et conflits à la synchronisation.</w:t>
      </w:r>
    </w:p>
    <w:p>
      <w:pPr>
        <w:numPr>
          <w:ilvl w:val="0"/>
          <w:numId w:val="1079"/>
        </w:numPr>
      </w:pPr>
      <w:r>
        <w:t xml:space="preserve">Un ticket de stationnement est vérifiable par la seule plaque ; un billet sans IFA est signalé au rapprochement aérien ; une transaction publique sans justificatif est classée rouge par CALCU sans être bloquée.</w:t>
      </w:r>
    </w:p>
    <w:p>
      <w:pPr>
        <w:numPr>
          <w:ilvl w:val="0"/>
          <w:numId w:val="1079"/>
        </w:numPr>
      </w:pPr>
      <w:r>
        <w:t xml:space="preserve">Une moto en vert ne peut faire l’objet d’aucune demande de paiement lors d’un contrôle ; tout contrôle wewa est journalisé.</w:t>
      </w:r>
    </w:p>
    <w:p>
      <w:pPr>
        <w:numPr>
          <w:ilvl w:val="0"/>
          <w:numId w:val="1079"/>
        </w:numPr>
      </w:pPr>
      <w:r>
        <w:t xml:space="preserve">Le pass wewa est lié à une plaque et à un conducteur, non transférable ; le paiement groupé d’une coopérative active chaque pass individuellement.</w:t>
      </w:r>
    </w:p>
    <w:p>
      <w:pPr>
        <w:numPr>
          <w:ilvl w:val="0"/>
          <w:numId w:val="1079"/>
        </w:numPr>
      </w:pPr>
      <w:r>
        <w:t xml:space="preserve">Les ventes des opérateurs privés de la billetterie sont séparées comptablement des recettes publiques.</w:t>
      </w:r>
    </w:p>
    <w:bookmarkEnd w:id="297"/>
    <w:bookmarkStart w:id="308" w:name="carnet-de-développement"/>
    <w:p>
      <w:pPr>
        <w:pStyle w:val="Heading1"/>
      </w:pPr>
      <w:r>
        <w:t xml:space="preserve">42. Carnet de développement</w:t>
      </w:r>
    </w:p>
    <w:p>
      <w:pPr>
        <w:pStyle w:val="FirstParagraph"/>
      </w:pPr>
      <w:r>
        <w:t xml:space="preserve">Extrait du carnet initial, formulé en récits utilisateurs avec critères</w:t>
      </w:r>
      <w:r>
        <w:t xml:space="preserve"> </w:t>
      </w:r>
      <w:r>
        <w:t xml:space="preserve">d'acceptation. Le carnet complet est produit en phase 1 et priorisé par</w:t>
      </w:r>
      <w:r>
        <w:t xml:space="preserve"> </w:t>
      </w:r>
      <w:r>
        <w:t xml:space="preserve">valeur de recette et par risque.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103"/>
        <w:gridCol w:w="4602"/>
      </w:tblGrid>
      <w:tr>
        <w:trPr>
          <w:tblHeader w:val="true"/>
          <w:tblHeader/>
        </w:trPr>
        <w:tc>
          <w:tcPr>
            <w:shd w:val="clear" w:color="auto" w:fill="1BA996"/>
          </w:tcPr>
          <w:p>
            <w:pPr>
              <w:pStyle w:val="Compact"/>
              <w:spacing w:after="20" w:before="20" w:line="240" w:lineRule="auto"/>
              <w:jc w:val="left"/>
            </w:pPr>
            <w:r>
              <w:rPr>
                <w:b/>
                <w:bCs/>
                <w:color w:val="FFFFFF"/>
                <w:sz w:val="17"/>
              </w:rPr>
              <w:t xml:space="preserve">Récit</w:t>
            </w:r>
          </w:p>
        </w:tc>
        <w:tc>
          <w:tcPr>
            <w:shd w:val="clear" w:color="auto" w:fill="1BA996"/>
          </w:tcPr>
          <w:p>
            <w:pPr>
              <w:pStyle w:val="Compact"/>
              <w:spacing w:after="20" w:before="20" w:line="240" w:lineRule="auto"/>
              <w:jc w:val="left"/>
            </w:pPr>
            <w:r>
              <w:rPr>
                <w:b/>
                <w:bCs/>
                <w:color w:val="FFFFFF"/>
                <w:sz w:val="17"/>
              </w:rPr>
              <w:t xml:space="preserve">Critères d'acceptation</w:t>
            </w:r>
          </w:p>
        </w:tc>
      </w:tr>
      <w:tr>
        <w:tc>
          <w:tcPr/>
          <w:p>
            <w:pPr>
              <w:pStyle w:val="Compact"/>
              <w:spacing w:after="20" w:before="20" w:line="240" w:lineRule="auto"/>
              <w:jc w:val="left"/>
            </w:pPr>
            <w:r>
              <w:rPr>
                <w:sz w:val="17"/>
              </w:rPr>
              <w:t xml:space="preserve">En tant que Kinois, je veux</w:t>
            </w:r>
            <w:r>
              <w:rPr>
                <w:sz w:val="17"/>
              </w:rPr>
              <w:t xml:space="preserve"> </w:t>
            </w:r>
            <w:r>
              <w:rPr>
                <w:sz w:val="17"/>
              </w:rPr>
              <w:t xml:space="preserve">créer un compte avec mon</w:t>
            </w:r>
            <w:r>
              <w:rPr>
                <w:sz w:val="17"/>
              </w:rPr>
              <w:t xml:space="preserve"> </w:t>
            </w:r>
            <w:r>
              <w:rPr>
                <w:sz w:val="17"/>
              </w:rPr>
              <w:t xml:space="preserve">téléphone pour voir ce que</w:t>
            </w:r>
            <w:r>
              <w:rPr>
                <w:sz w:val="17"/>
              </w:rPr>
              <w:t xml:space="preserve"> </w:t>
            </w:r>
            <w:r>
              <w:rPr>
                <w:sz w:val="17"/>
              </w:rPr>
              <w:t xml:space="preserve">je dois</w:t>
            </w:r>
          </w:p>
        </w:tc>
        <w:tc>
          <w:tcPr/>
          <w:p>
            <w:pPr>
              <w:pStyle w:val="Compact"/>
              <w:spacing w:after="20" w:before="20" w:line="240" w:lineRule="auto"/>
              <w:jc w:val="left"/>
            </w:pPr>
            <w:r>
              <w:rPr>
                <w:sz w:val="17"/>
              </w:rPr>
              <w:t xml:space="preserve">Code à usage unique ; pièce d'identité</w:t>
            </w:r>
            <w:r>
              <w:rPr>
                <w:sz w:val="17"/>
              </w:rPr>
              <w:t xml:space="preserve"> </w:t>
            </w:r>
            <w:r>
              <w:rPr>
                <w:sz w:val="17"/>
              </w:rPr>
              <w:t xml:space="preserve">facultative au niveau N0 ; aucune</w:t>
            </w:r>
            <w:r>
              <w:rPr>
                <w:sz w:val="17"/>
              </w:rPr>
              <w:t xml:space="preserve"> </w:t>
            </w:r>
            <w:r>
              <w:rPr>
                <w:sz w:val="17"/>
              </w:rPr>
              <w:t xml:space="preserve">obligation affichée sans objet rattaché</w:t>
            </w:r>
          </w:p>
        </w:tc>
      </w:tr>
      <w:tr>
        <w:tc>
          <w:tcPr>
            <w:shd w:val="clear" w:color="auto" w:fill="F2F9F8"/>
          </w:tcPr>
          <w:p>
            <w:pPr>
              <w:pStyle w:val="Compact"/>
              <w:spacing w:after="20" w:before="20" w:line="240" w:lineRule="auto"/>
              <w:jc w:val="left"/>
            </w:pPr>
            <w:r>
              <w:rPr>
                <w:sz w:val="17"/>
              </w:rPr>
              <w:t xml:space="preserve">En tant que bailleur, je</w:t>
            </w:r>
            <w:r>
              <w:rPr>
                <w:sz w:val="17"/>
              </w:rPr>
              <w:t xml:space="preserve"> </w:t>
            </w:r>
            <w:r>
              <w:rPr>
                <w:sz w:val="17"/>
              </w:rPr>
              <w:t xml:space="preserve">veux déclarer mes unités</w:t>
            </w:r>
            <w:r>
              <w:rPr>
                <w:sz w:val="17"/>
              </w:rPr>
              <w:t xml:space="preserve"> </w:t>
            </w:r>
            <w:r>
              <w:rPr>
                <w:sz w:val="17"/>
              </w:rPr>
              <w:t xml:space="preserve">louées pour régulariser mon</w:t>
            </w:r>
            <w:r>
              <w:rPr>
                <w:sz w:val="17"/>
              </w:rPr>
              <w:t xml:space="preserve"> </w:t>
            </w:r>
            <w:r>
              <w:rPr>
                <w:sz w:val="17"/>
              </w:rPr>
              <w:t xml:space="preserve">IRL</w:t>
            </w:r>
          </w:p>
        </w:tc>
        <w:tc>
          <w:tcPr>
            <w:shd w:val="clear" w:color="auto" w:fill="F2F9F8"/>
          </w:tcPr>
          <w:p>
            <w:pPr>
              <w:pStyle w:val="Compact"/>
              <w:spacing w:after="20" w:before="20" w:line="240" w:lineRule="auto"/>
              <w:jc w:val="left"/>
            </w:pPr>
            <w:r>
              <w:rPr>
                <w:sz w:val="17"/>
              </w:rPr>
              <w:t xml:space="preserve">Une unité par déclaration ; calcul affiché</w:t>
            </w:r>
            <w:r>
              <w:rPr>
                <w:sz w:val="17"/>
              </w:rPr>
              <w:t xml:space="preserve"> </w:t>
            </w:r>
            <w:r>
              <w:rPr>
                <w:sz w:val="17"/>
              </w:rPr>
              <w:t xml:space="preserve">avec taux, retenue et référence de</w:t>
            </w:r>
            <w:r>
              <w:rPr>
                <w:sz w:val="17"/>
              </w:rPr>
              <w:t xml:space="preserve"> </w:t>
            </w:r>
            <w:r>
              <w:rPr>
                <w:sz w:val="17"/>
              </w:rPr>
              <w:t xml:space="preserve">l'arrêté ; pièce justificative</w:t>
            </w:r>
            <w:r>
              <w:rPr>
                <w:sz w:val="17"/>
              </w:rPr>
              <w:t xml:space="preserve"> </w:t>
            </w:r>
            <w:r>
              <w:rPr>
                <w:sz w:val="17"/>
              </w:rPr>
              <w:t xml:space="preserve">optionnelle</w:t>
            </w:r>
          </w:p>
        </w:tc>
      </w:tr>
      <w:tr>
        <w:tc>
          <w:tcPr/>
          <w:p>
            <w:pPr>
              <w:pStyle w:val="Compact"/>
              <w:spacing w:after="20" w:before="20" w:line="240" w:lineRule="auto"/>
              <w:jc w:val="left"/>
            </w:pPr>
            <w:r>
              <w:rPr>
                <w:sz w:val="17"/>
              </w:rPr>
              <w:t xml:space="preserve">En tant que locataire, je</w:t>
            </w:r>
            <w:r>
              <w:rPr>
                <w:sz w:val="17"/>
              </w:rPr>
              <w:t xml:space="preserve"> </w:t>
            </w:r>
            <w:r>
              <w:rPr>
                <w:sz w:val="17"/>
              </w:rPr>
              <w:t xml:space="preserve">veux enregistrer mon bail et</w:t>
            </w:r>
            <w:r>
              <w:rPr>
                <w:sz w:val="17"/>
              </w:rPr>
              <w:t xml:space="preserve"> </w:t>
            </w:r>
            <w:r>
              <w:rPr>
                <w:sz w:val="17"/>
              </w:rPr>
              <w:t xml:space="preserve">obtenir une attestation</w:t>
            </w:r>
          </w:p>
        </w:tc>
        <w:tc>
          <w:tcPr/>
          <w:p>
            <w:pPr>
              <w:pStyle w:val="Compact"/>
              <w:spacing w:after="20" w:before="20" w:line="240" w:lineRule="auto"/>
              <w:jc w:val="left"/>
            </w:pPr>
            <w:r>
              <w:rPr>
                <w:sz w:val="17"/>
              </w:rPr>
              <w:t xml:space="preserve">Attestation générée avec QR ; notification</w:t>
            </w:r>
            <w:r>
              <w:rPr>
                <w:sz w:val="17"/>
              </w:rPr>
              <w:t xml:space="preserve"> </w:t>
            </w:r>
            <w:r>
              <w:rPr>
                <w:sz w:val="17"/>
              </w:rPr>
              <w:t xml:space="preserve">au bailleur ; aucune donnée sensible</w:t>
            </w:r>
            <w:r>
              <w:rPr>
                <w:sz w:val="17"/>
              </w:rPr>
              <w:t xml:space="preserve"> </w:t>
            </w:r>
            <w:r>
              <w:rPr>
                <w:sz w:val="17"/>
              </w:rPr>
              <w:t xml:space="preserve">exposée</w:t>
            </w:r>
          </w:p>
        </w:tc>
      </w:tr>
      <w:tr>
        <w:tc>
          <w:tcPr>
            <w:shd w:val="clear" w:color="auto" w:fill="F2F9F8"/>
          </w:tcPr>
          <w:p>
            <w:pPr>
              <w:pStyle w:val="Compact"/>
              <w:spacing w:after="20" w:before="20" w:line="240" w:lineRule="auto"/>
              <w:jc w:val="left"/>
            </w:pPr>
            <w:r>
              <w:rPr>
                <w:sz w:val="17"/>
              </w:rPr>
              <w:t xml:space="preserve">En tant qu'agent recenseur,</w:t>
            </w:r>
            <w:r>
              <w:rPr>
                <w:sz w:val="17"/>
              </w:rPr>
              <w:t xml:space="preserve"> </w:t>
            </w:r>
            <w:r>
              <w:rPr>
                <w:sz w:val="17"/>
              </w:rPr>
              <w:t xml:space="preserve">je veux créer un objet non</w:t>
            </w:r>
            <w:r>
              <w:rPr>
                <w:sz w:val="17"/>
              </w:rPr>
              <w:t xml:space="preserve"> </w:t>
            </w:r>
            <w:r>
              <w:rPr>
                <w:sz w:val="17"/>
              </w:rPr>
              <w:t xml:space="preserve">enregistré hors ligne</w:t>
            </w:r>
          </w:p>
        </w:tc>
        <w:tc>
          <w:tcPr>
            <w:shd w:val="clear" w:color="auto" w:fill="F2F9F8"/>
          </w:tcPr>
          <w:p>
            <w:pPr>
              <w:pStyle w:val="Compact"/>
              <w:spacing w:after="20" w:before="20" w:line="240" w:lineRule="auto"/>
              <w:jc w:val="left"/>
            </w:pPr>
            <w:r>
              <w:rPr>
                <w:sz w:val="17"/>
              </w:rPr>
              <w:t xml:space="preserve">Objet provisoire avec GPS, photo,</w:t>
            </w:r>
            <w:r>
              <w:rPr>
                <w:sz w:val="17"/>
              </w:rPr>
              <w:t xml:space="preserve"> </w:t>
            </w:r>
            <w:r>
              <w:rPr>
                <w:sz w:val="17"/>
              </w:rPr>
              <w:t xml:space="preserve">catégorie ; aucun effet fiscal avant</w:t>
            </w:r>
            <w:r>
              <w:rPr>
                <w:sz w:val="17"/>
              </w:rPr>
              <w:t xml:space="preserve"> </w:t>
            </w:r>
            <w:r>
              <w:rPr>
                <w:sz w:val="17"/>
              </w:rPr>
              <w:t xml:space="preserve">qualification ; synchronisation sans perte</w:t>
            </w:r>
          </w:p>
        </w:tc>
      </w:tr>
      <w:tr>
        <w:tc>
          <w:tcPr/>
          <w:p>
            <w:pPr>
              <w:pStyle w:val="Compact"/>
              <w:spacing w:after="20" w:before="20" w:line="240" w:lineRule="auto"/>
              <w:jc w:val="left"/>
            </w:pPr>
            <w:r>
              <w:rPr>
                <w:sz w:val="17"/>
              </w:rPr>
              <w:t xml:space="preserve">En tant que contrôleur, je</w:t>
            </w:r>
            <w:r>
              <w:rPr>
                <w:sz w:val="17"/>
              </w:rPr>
              <w:t xml:space="preserve"> </w:t>
            </w:r>
            <w:r>
              <w:rPr>
                <w:sz w:val="17"/>
              </w:rPr>
              <w:t xml:space="preserve">veux vérifier une plaque et</w:t>
            </w:r>
            <w:r>
              <w:rPr>
                <w:sz w:val="17"/>
              </w:rPr>
              <w:t xml:space="preserve"> </w:t>
            </w:r>
            <w:r>
              <w:rPr>
                <w:sz w:val="17"/>
              </w:rPr>
              <w:t xml:space="preserve">connaître la situation</w:t>
            </w:r>
          </w:p>
        </w:tc>
        <w:tc>
          <w:tcPr/>
          <w:p>
            <w:pPr>
              <w:pStyle w:val="Compact"/>
              <w:spacing w:after="20" w:before="20" w:line="240" w:lineRule="auto"/>
              <w:jc w:val="left"/>
            </w:pPr>
            <w:r>
              <w:rPr>
                <w:sz w:val="17"/>
              </w:rPr>
              <w:t xml:space="preserve">Réponse en moins de 3 secondes en ligne ;</w:t>
            </w:r>
            <w:r>
              <w:rPr>
                <w:sz w:val="17"/>
              </w:rPr>
              <w:t xml:space="preserve"> </w:t>
            </w:r>
            <w:r>
              <w:rPr>
                <w:sz w:val="17"/>
              </w:rPr>
              <w:t xml:space="preserve">statut minimal hors ligne ; journalisation</w:t>
            </w:r>
            <w:r>
              <w:rPr>
                <w:sz w:val="17"/>
              </w:rPr>
              <w:t xml:space="preserve"> </w:t>
            </w:r>
            <w:r>
              <w:rPr>
                <w:sz w:val="17"/>
              </w:rPr>
              <w:t xml:space="preserve">de la consultation</w:t>
            </w:r>
          </w:p>
        </w:tc>
      </w:tr>
      <w:tr>
        <w:tc>
          <w:tcPr>
            <w:shd w:val="clear" w:color="auto" w:fill="F2F9F8"/>
          </w:tcPr>
          <w:p>
            <w:pPr>
              <w:pStyle w:val="Compact"/>
              <w:spacing w:after="20" w:before="20" w:line="240" w:lineRule="auto"/>
              <w:jc w:val="left"/>
            </w:pPr>
            <w:r>
              <w:rPr>
                <w:sz w:val="17"/>
              </w:rPr>
              <w:t xml:space="preserve">En tant que juriste, je veux</w:t>
            </w:r>
            <w:r>
              <w:rPr>
                <w:sz w:val="17"/>
              </w:rPr>
              <w:t xml:space="preserve"> </w:t>
            </w:r>
            <w:r>
              <w:rPr>
                <w:sz w:val="17"/>
              </w:rPr>
              <w:t xml:space="preserve">publier une règle après</w:t>
            </w:r>
            <w:r>
              <w:rPr>
                <w:sz w:val="17"/>
              </w:rPr>
              <w:t xml:space="preserve"> </w:t>
            </w:r>
            <w:r>
              <w:rPr>
                <w:sz w:val="17"/>
              </w:rPr>
              <w:t xml:space="preserve">validation</w:t>
            </w:r>
          </w:p>
        </w:tc>
        <w:tc>
          <w:tcPr>
            <w:shd w:val="clear" w:color="auto" w:fill="F2F9F8"/>
          </w:tcPr>
          <w:p>
            <w:pPr>
              <w:pStyle w:val="Compact"/>
              <w:spacing w:after="20" w:before="20" w:line="240" w:lineRule="auto"/>
              <w:jc w:val="left"/>
            </w:pPr>
            <w:r>
              <w:rPr>
                <w:sz w:val="17"/>
              </w:rPr>
              <w:t xml:space="preserve">Impossible de créer, valider et publier</w:t>
            </w:r>
            <w:r>
              <w:rPr>
                <w:sz w:val="17"/>
              </w:rPr>
              <w:t xml:space="preserve"> </w:t>
            </w:r>
            <w:r>
              <w:rPr>
                <w:sz w:val="17"/>
              </w:rPr>
              <w:t xml:space="preserve">par la même personne ; version et dates</w:t>
            </w:r>
            <w:r>
              <w:rPr>
                <w:sz w:val="17"/>
              </w:rPr>
              <w:t xml:space="preserve"> </w:t>
            </w:r>
            <w:r>
              <w:rPr>
                <w:sz w:val="17"/>
              </w:rPr>
              <w:t xml:space="preserve">obligatoires</w:t>
            </w:r>
          </w:p>
        </w:tc>
      </w:tr>
      <w:tr>
        <w:tc>
          <w:tcPr/>
          <w:p>
            <w:pPr>
              <w:pStyle w:val="Compact"/>
              <w:spacing w:after="20" w:before="20" w:line="240" w:lineRule="auto"/>
              <w:jc w:val="left"/>
            </w:pPr>
            <w:r>
              <w:rPr>
                <w:sz w:val="17"/>
              </w:rPr>
              <w:t xml:space="preserve">En tant que comptable</w:t>
            </w:r>
            <w:r>
              <w:rPr>
                <w:sz w:val="17"/>
              </w:rPr>
              <w:t xml:space="preserve"> </w:t>
            </w:r>
            <w:r>
              <w:rPr>
                <w:sz w:val="17"/>
              </w:rPr>
              <w:t xml:space="preserve">public, je veux rapprocher</w:t>
            </w:r>
            <w:r>
              <w:rPr>
                <w:sz w:val="17"/>
              </w:rPr>
              <w:t xml:space="preserve"> </w:t>
            </w:r>
            <w:r>
              <w:rPr>
                <w:sz w:val="17"/>
              </w:rPr>
              <w:t xml:space="preserve">les règlements du jour</w:t>
            </w:r>
          </w:p>
        </w:tc>
        <w:tc>
          <w:tcPr/>
          <w:p>
            <w:pPr>
              <w:pStyle w:val="Compact"/>
              <w:spacing w:after="20" w:before="20" w:line="240" w:lineRule="auto"/>
              <w:jc w:val="left"/>
            </w:pPr>
            <w:r>
              <w:rPr>
                <w:sz w:val="17"/>
              </w:rPr>
              <w:t xml:space="preserve">Import de relevé ; appariement automatique</w:t>
            </w:r>
            <w:r>
              <w:rPr>
                <w:sz w:val="17"/>
              </w:rPr>
              <w:t xml:space="preserve"> </w:t>
            </w:r>
            <w:r>
              <w:rPr>
                <w:sz w:val="17"/>
              </w:rPr>
              <w:t xml:space="preserve">; file d'exception ; aucune modification</w:t>
            </w:r>
            <w:r>
              <w:rPr>
                <w:sz w:val="17"/>
              </w:rPr>
              <w:t xml:space="preserve"> </w:t>
            </w:r>
            <w:r>
              <w:rPr>
                <w:sz w:val="17"/>
              </w:rPr>
              <w:t xml:space="preserve">silencieuse</w:t>
            </w:r>
          </w:p>
        </w:tc>
      </w:tr>
      <w:tr>
        <w:tc>
          <w:tcPr>
            <w:shd w:val="clear" w:color="auto" w:fill="F2F9F8"/>
          </w:tcPr>
          <w:p>
            <w:pPr>
              <w:pStyle w:val="Compact"/>
              <w:spacing w:after="20" w:before="20" w:line="240" w:lineRule="auto"/>
              <w:jc w:val="left"/>
            </w:pPr>
            <w:r>
              <w:rPr>
                <w:sz w:val="17"/>
              </w:rPr>
              <w:t xml:space="preserve">En tant que Gouverneur, je</w:t>
            </w:r>
            <w:r>
              <w:rPr>
                <w:sz w:val="17"/>
              </w:rPr>
              <w:t xml:space="preserve"> </w:t>
            </w:r>
            <w:r>
              <w:rPr>
                <w:sz w:val="17"/>
              </w:rPr>
              <w:t xml:space="preserve">veux voir l'écart entre</w:t>
            </w:r>
            <w:r>
              <w:rPr>
                <w:sz w:val="17"/>
              </w:rPr>
              <w:t xml:space="preserve"> </w:t>
            </w:r>
            <w:r>
              <w:rPr>
                <w:sz w:val="17"/>
              </w:rPr>
              <w:t xml:space="preserve">assignation et rapproché par</w:t>
            </w:r>
            <w:r>
              <w:rPr>
                <w:sz w:val="17"/>
              </w:rPr>
              <w:t xml:space="preserve"> </w:t>
            </w:r>
            <w:r>
              <w:rPr>
                <w:sz w:val="17"/>
              </w:rPr>
              <w:t xml:space="preserve">commune</w:t>
            </w:r>
          </w:p>
        </w:tc>
        <w:tc>
          <w:tcPr>
            <w:shd w:val="clear" w:color="auto" w:fill="F2F9F8"/>
          </w:tcPr>
          <w:p>
            <w:pPr>
              <w:pStyle w:val="Compact"/>
              <w:spacing w:after="20" w:before="20" w:line="240" w:lineRule="auto"/>
              <w:jc w:val="left"/>
            </w:pPr>
            <w:r>
              <w:rPr>
                <w:sz w:val="17"/>
              </w:rPr>
              <w:t xml:space="preserve">Carte et tableau ; distinction des six</w:t>
            </w:r>
            <w:r>
              <w:rPr>
                <w:sz w:val="17"/>
              </w:rPr>
              <w:t xml:space="preserve"> </w:t>
            </w:r>
            <w:r>
              <w:rPr>
                <w:sz w:val="17"/>
              </w:rPr>
              <w:t xml:space="preserve">états ; exportation signée</w:t>
            </w:r>
          </w:p>
        </w:tc>
      </w:tr>
      <w:tr>
        <w:tc>
          <w:tcPr/>
          <w:p>
            <w:pPr>
              <w:pStyle w:val="Compact"/>
              <w:spacing w:after="20" w:before="20" w:line="240" w:lineRule="auto"/>
              <w:jc w:val="left"/>
            </w:pPr>
            <w:r>
              <w:rPr>
                <w:sz w:val="17"/>
              </w:rPr>
              <w:t xml:space="preserve">En tant qu'auditeur, je</w:t>
            </w:r>
            <w:r>
              <w:rPr>
                <w:sz w:val="17"/>
              </w:rPr>
              <w:t xml:space="preserve"> </w:t>
            </w:r>
            <w:r>
              <w:rPr>
                <w:sz w:val="17"/>
              </w:rPr>
              <w:t xml:space="preserve">veux reconstituer une chaîne</w:t>
            </w:r>
            <w:r>
              <w:rPr>
                <w:sz w:val="17"/>
              </w:rPr>
              <w:t xml:space="preserve"> </w:t>
            </w:r>
            <w:r>
              <w:rPr>
                <w:sz w:val="17"/>
              </w:rPr>
              <w:t xml:space="preserve">complète pour un objet</w:t>
            </w:r>
          </w:p>
        </w:tc>
        <w:tc>
          <w:tcPr/>
          <w:p>
            <w:pPr>
              <w:pStyle w:val="Compact"/>
              <w:spacing w:after="20" w:before="20" w:line="240" w:lineRule="auto"/>
              <w:jc w:val="left"/>
            </w:pPr>
            <w:r>
              <w:rPr>
                <w:sz w:val="17"/>
              </w:rPr>
              <w:t xml:space="preserve">De la création de l'objet à la</w:t>
            </w:r>
            <w:r>
              <w:rPr>
                <w:sz w:val="17"/>
              </w:rPr>
              <w:t xml:space="preserve"> </w:t>
            </w:r>
            <w:r>
              <w:rPr>
                <w:sz w:val="17"/>
              </w:rPr>
              <w:t xml:space="preserve">comptabilisation, avec acteurs,</w:t>
            </w:r>
            <w:r>
              <w:rPr>
                <w:sz w:val="17"/>
              </w:rPr>
              <w:t xml:space="preserve"> </w:t>
            </w:r>
            <w:r>
              <w:rPr>
                <w:sz w:val="17"/>
              </w:rPr>
              <w:t xml:space="preserve">horodatages et preuves</w:t>
            </w:r>
          </w:p>
        </w:tc>
      </w:tr>
      <w:tr>
        <w:tc>
          <w:tcPr>
            <w:shd w:val="clear" w:color="auto" w:fill="F2F9F8"/>
          </w:tcPr>
          <w:p>
            <w:pPr>
              <w:pStyle w:val="Compact"/>
              <w:spacing w:after="20" w:before="20" w:line="240" w:lineRule="auto"/>
              <w:jc w:val="left"/>
            </w:pPr>
            <w:r>
              <w:rPr>
                <w:sz w:val="17"/>
              </w:rPr>
              <w:t xml:space="preserve">En tant que contribuable, je</w:t>
            </w:r>
            <w:r>
              <w:rPr>
                <w:sz w:val="17"/>
              </w:rPr>
              <w:t xml:space="preserve"> </w:t>
            </w:r>
            <w:r>
              <w:rPr>
                <w:sz w:val="17"/>
              </w:rPr>
              <w:t xml:space="preserve">veux contester une donnée</w:t>
            </w:r>
            <w:r>
              <w:rPr>
                <w:sz w:val="17"/>
              </w:rPr>
              <w:t xml:space="preserve"> </w:t>
            </w:r>
            <w:r>
              <w:rPr>
                <w:sz w:val="17"/>
              </w:rPr>
              <w:t xml:space="preserve">erronée</w:t>
            </w:r>
          </w:p>
        </w:tc>
        <w:tc>
          <w:tcPr>
            <w:shd w:val="clear" w:color="auto" w:fill="F2F9F8"/>
          </w:tcPr>
          <w:p>
            <w:pPr>
              <w:pStyle w:val="Compact"/>
              <w:spacing w:after="20" w:before="20" w:line="240" w:lineRule="auto"/>
              <w:jc w:val="left"/>
            </w:pPr>
            <w:r>
              <w:rPr>
                <w:sz w:val="17"/>
              </w:rPr>
              <w:t xml:space="preserve">Formulaire typé ; accusé horodaté ; suivi</w:t>
            </w:r>
            <w:r>
              <w:rPr>
                <w:sz w:val="17"/>
              </w:rPr>
              <w:t xml:space="preserve"> </w:t>
            </w:r>
            <w:r>
              <w:rPr>
                <w:sz w:val="17"/>
              </w:rPr>
              <w:t xml:space="preserve">du délai légal ; décision motivée</w:t>
            </w:r>
          </w:p>
        </w:tc>
      </w:tr>
    </w:tbl>
    <w:bookmarkStart w:id="298" w:name="Xaea5137c30319f70f44f19d9199168e1d778a1b"/>
    <w:p>
      <w:pPr>
        <w:pStyle w:val="Heading2"/>
      </w:pPr>
      <w:r>
        <w:t xml:space="preserve">42.1 Récits de référence au format Étant donné / Lorsque / Alors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Acteur</w:t>
            </w:r>
          </w:p>
        </w:tc>
        <w:tc>
          <w:tcPr>
            <w:shd w:val="clear" w:color="auto" w:fill="1BA996"/>
          </w:tcPr>
          <w:p>
            <w:pPr>
              <w:pStyle w:val="Compact"/>
              <w:spacing w:after="20" w:before="20" w:line="240" w:lineRule="auto"/>
              <w:jc w:val="left"/>
            </w:pPr>
            <w:r>
              <w:rPr>
                <w:b/>
                <w:color w:val="FFFFFF"/>
                <w:sz w:val="17"/>
              </w:rPr>
              <w:t xml:space="preserve">Je veux</w:t>
            </w:r>
          </w:p>
        </w:tc>
        <w:tc>
          <w:tcPr>
            <w:shd w:val="clear" w:color="auto" w:fill="1BA996"/>
          </w:tcPr>
          <w:p>
            <w:pPr>
              <w:pStyle w:val="Compact"/>
              <w:spacing w:after="20" w:before="20" w:line="240" w:lineRule="auto"/>
              <w:jc w:val="left"/>
            </w:pPr>
            <w:r>
              <w:rPr>
                <w:b/>
                <w:color w:val="FFFFFF"/>
                <w:sz w:val="17"/>
              </w:rPr>
              <w:t xml:space="preserve">Critère</w:t>
            </w:r>
          </w:p>
        </w:tc>
      </w:tr>
      <w:tr>
        <w:tc>
          <w:tcPr/>
          <w:p>
            <w:pPr>
              <w:pStyle w:val="Compact"/>
              <w:spacing w:after="20" w:before="20" w:line="240" w:lineRule="auto"/>
              <w:jc w:val="left"/>
            </w:pPr>
            <w:r>
              <w:rPr>
                <w:sz w:val="17"/>
              </w:rPr>
              <w:t xml:space="preserve">Contribuable</w:t>
            </w:r>
          </w:p>
        </w:tc>
        <w:tc>
          <w:tcPr/>
          <w:p>
            <w:pPr>
              <w:pStyle w:val="Compact"/>
              <w:spacing w:after="20" w:before="20" w:line="240" w:lineRule="auto"/>
              <w:jc w:val="left"/>
            </w:pPr>
            <w:r>
              <w:rPr>
                <w:sz w:val="17"/>
              </w:rPr>
              <w:t xml:space="preserve">voir le fondement et le calcul de mon obligation</w:t>
            </w:r>
          </w:p>
        </w:tc>
        <w:tc>
          <w:tcPr/>
          <w:p>
            <w:pPr>
              <w:pStyle w:val="Compact"/>
              <w:spacing w:after="20" w:before="20" w:line="240" w:lineRule="auto"/>
              <w:jc w:val="left"/>
            </w:pPr>
            <w:r>
              <w:rPr>
                <w:sz w:val="17"/>
              </w:rPr>
              <w:t xml:space="preserve">Étant donné une obligation active, lorsque j’ouvre le détail, alors la règle, sa version, l’assiette, la formule, le montant, l’échéance et le recours sont visibles</w:t>
            </w:r>
          </w:p>
        </w:tc>
      </w:tr>
      <w:tr>
        <w:tc>
          <w:tcPr>
            <w:shd w:val="clear" w:color="auto" w:fill="F2F9F8"/>
          </w:tcPr>
          <w:p>
            <w:pPr>
              <w:pStyle w:val="Compact"/>
              <w:spacing w:after="20" w:before="20" w:line="240" w:lineRule="auto"/>
              <w:jc w:val="left"/>
            </w:pPr>
            <w:r>
              <w:rPr>
                <w:sz w:val="17"/>
              </w:rPr>
              <w:t xml:space="preserve">Agent terrain</w:t>
            </w:r>
          </w:p>
        </w:tc>
        <w:tc>
          <w:tcPr>
            <w:shd w:val="clear" w:color="auto" w:fill="F2F9F8"/>
          </w:tcPr>
          <w:p>
            <w:pPr>
              <w:pStyle w:val="Compact"/>
              <w:spacing w:after="20" w:before="20" w:line="240" w:lineRule="auto"/>
              <w:jc w:val="left"/>
            </w:pPr>
            <w:r>
              <w:rPr>
                <w:sz w:val="17"/>
              </w:rPr>
              <w:t xml:space="preserve">capturer une preuve hors ligne</w:t>
            </w:r>
          </w:p>
        </w:tc>
        <w:tc>
          <w:tcPr>
            <w:shd w:val="clear" w:color="auto" w:fill="F2F9F8"/>
          </w:tcPr>
          <w:p>
            <w:pPr>
              <w:pStyle w:val="Compact"/>
              <w:spacing w:after="20" w:before="20" w:line="240" w:lineRule="auto"/>
              <w:jc w:val="left"/>
            </w:pPr>
            <w:r>
              <w:rPr>
                <w:sz w:val="17"/>
              </w:rPr>
              <w:t xml:space="preserve">Étant donné une mission valide, lorsque la preuve est capturée hors ligne, alors elle est chiffrée, horodatée, liée à la mission et synchronisable sans créer de dette finale</w:t>
            </w:r>
          </w:p>
        </w:tc>
      </w:tr>
      <w:tr>
        <w:tc>
          <w:tcPr/>
          <w:p>
            <w:pPr>
              <w:pStyle w:val="Compact"/>
              <w:spacing w:after="20" w:before="20" w:line="240" w:lineRule="auto"/>
              <w:jc w:val="left"/>
            </w:pPr>
            <w:r>
              <w:rPr>
                <w:sz w:val="17"/>
              </w:rPr>
              <w:t xml:space="preserve">Finance</w:t>
            </w:r>
          </w:p>
        </w:tc>
        <w:tc>
          <w:tcPr/>
          <w:p>
            <w:pPr>
              <w:pStyle w:val="Compact"/>
              <w:spacing w:after="20" w:before="20" w:line="240" w:lineRule="auto"/>
              <w:jc w:val="left"/>
            </w:pPr>
            <w:r>
              <w:rPr>
                <w:sz w:val="17"/>
              </w:rPr>
              <w:t xml:space="preserve">rapprocher un paiement</w:t>
            </w:r>
          </w:p>
        </w:tc>
        <w:tc>
          <w:tcPr/>
          <w:p>
            <w:pPr>
              <w:pStyle w:val="Compact"/>
              <w:spacing w:after="20" w:before="20" w:line="240" w:lineRule="auto"/>
              <w:jc w:val="left"/>
            </w:pPr>
            <w:r>
              <w:rPr>
                <w:sz w:val="17"/>
              </w:rPr>
              <w:t xml:space="preserve">Étant donné une confirmation du prestataire et des données de règlement, lorsque l’appariement déterministe atteint le seuil, alors le rapprochement est proposé ou automatique selon la politique, et audité</w:t>
            </w:r>
          </w:p>
        </w:tc>
      </w:tr>
      <w:tr>
        <w:tc>
          <w:tcPr>
            <w:shd w:val="clear" w:color="auto" w:fill="F2F9F8"/>
          </w:tcPr>
          <w:p>
            <w:pPr>
              <w:pStyle w:val="Compact"/>
              <w:spacing w:after="20" w:before="20" w:line="240" w:lineRule="auto"/>
              <w:jc w:val="left"/>
            </w:pPr>
            <w:r>
              <w:rPr>
                <w:sz w:val="17"/>
              </w:rPr>
              <w:t xml:space="preserve">Auditeur</w:t>
            </w:r>
          </w:p>
        </w:tc>
        <w:tc>
          <w:tcPr>
            <w:shd w:val="clear" w:color="auto" w:fill="F2F9F8"/>
          </w:tcPr>
          <w:p>
            <w:pPr>
              <w:pStyle w:val="Compact"/>
              <w:spacing w:after="20" w:before="20" w:line="240" w:lineRule="auto"/>
              <w:jc w:val="left"/>
            </w:pPr>
            <w:r>
              <w:rPr>
                <w:sz w:val="17"/>
              </w:rPr>
              <w:t xml:space="preserve">reconstituer une correction</w:t>
            </w:r>
          </w:p>
        </w:tc>
        <w:tc>
          <w:tcPr>
            <w:shd w:val="clear" w:color="auto" w:fill="F2F9F8"/>
          </w:tcPr>
          <w:p>
            <w:pPr>
              <w:pStyle w:val="Compact"/>
              <w:spacing w:after="20" w:before="20" w:line="240" w:lineRule="auto"/>
              <w:jc w:val="left"/>
            </w:pPr>
            <w:r>
              <w:rPr>
                <w:sz w:val="17"/>
              </w:rPr>
              <w:t xml:space="preserve">Étant donné une écriture corrigée, lorsque j’ouvre l’audit, alors l’original, la contre-écriture, le motif et les approbateurs sont visibles</w:t>
            </w:r>
          </w:p>
        </w:tc>
      </w:tr>
      <w:tr>
        <w:tc>
          <w:tcPr/>
          <w:p>
            <w:pPr>
              <w:pStyle w:val="Compact"/>
              <w:spacing w:after="20" w:before="20" w:line="240" w:lineRule="auto"/>
              <w:jc w:val="left"/>
            </w:pPr>
            <w:r>
              <w:rPr>
                <w:sz w:val="17"/>
              </w:rPr>
              <w:t xml:space="preserve">Juridique</w:t>
            </w:r>
          </w:p>
        </w:tc>
        <w:tc>
          <w:tcPr/>
          <w:p>
            <w:pPr>
              <w:pStyle w:val="Compact"/>
              <w:spacing w:after="20" w:before="20" w:line="240" w:lineRule="auto"/>
              <w:jc w:val="left"/>
            </w:pPr>
            <w:r>
              <w:rPr>
                <w:sz w:val="17"/>
              </w:rPr>
              <w:t xml:space="preserve">versionner une règle</w:t>
            </w:r>
          </w:p>
        </w:tc>
        <w:tc>
          <w:tcPr/>
          <w:p>
            <w:pPr>
              <w:pStyle w:val="Compact"/>
              <w:spacing w:after="20" w:before="20" w:line="240" w:lineRule="auto"/>
              <w:jc w:val="left"/>
            </w:pPr>
            <w:r>
              <w:rPr>
                <w:sz w:val="17"/>
              </w:rPr>
              <w:t xml:space="preserve">Étant donné un nouveau texte, lorsque la règle est créée, alors elle reste en brouillon jusqu’aux validations requises et n’affecte aucune obligation avant effective_from</w:t>
            </w:r>
          </w:p>
        </w:tc>
      </w:tr>
    </w:tbl>
    <w:bookmarkEnd w:id="298"/>
    <w:bookmarkStart w:id="299" w:name="carnet-par-épopées-epic-feature-story"/>
    <w:p>
      <w:pPr>
        <w:pStyle w:val="Heading2"/>
      </w:pPr>
      <w:r>
        <w:t xml:space="preserve">42.2 Carnet par épopées (Epic → Feature → Story)</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Épopée</w:t>
            </w:r>
          </w:p>
        </w:tc>
        <w:tc>
          <w:tcPr>
            <w:shd w:val="clear" w:color="auto" w:fill="1BA996"/>
          </w:tcPr>
          <w:p>
            <w:pPr>
              <w:pStyle w:val="Compact"/>
              <w:spacing w:after="20" w:before="20" w:line="240" w:lineRule="auto"/>
              <w:jc w:val="left"/>
            </w:pPr>
            <w:r>
              <w:rPr>
                <w:b/>
                <w:color w:val="FFFFFF"/>
                <w:sz w:val="17"/>
              </w:rPr>
              <w:t xml:space="preserve">Fonctionnalités prioritaires</w:t>
            </w:r>
          </w:p>
        </w:tc>
        <w:tc>
          <w:tcPr>
            <w:shd w:val="clear" w:color="auto" w:fill="1BA996"/>
          </w:tcPr>
          <w:p>
            <w:pPr>
              <w:pStyle w:val="Compact"/>
              <w:spacing w:after="20" w:before="20" w:line="240" w:lineRule="auto"/>
              <w:jc w:val="left"/>
            </w:pPr>
            <w:r>
              <w:rPr>
                <w:b/>
                <w:color w:val="FFFFFF"/>
                <w:sz w:val="17"/>
              </w:rPr>
              <w:t xml:space="preserve">Release</w:t>
            </w:r>
          </w:p>
        </w:tc>
      </w:tr>
      <w:tr>
        <w:tc>
          <w:tcPr/>
          <w:p>
            <w:pPr>
              <w:pStyle w:val="Compact"/>
              <w:spacing w:after="20" w:before="20" w:line="240" w:lineRule="auto"/>
              <w:jc w:val="left"/>
            </w:pPr>
            <w:r>
              <w:rPr>
                <w:sz w:val="17"/>
              </w:rPr>
              <w:t xml:space="preserve">Identité et compte</w:t>
            </w:r>
          </w:p>
        </w:tc>
        <w:tc>
          <w:tcPr/>
          <w:p>
            <w:pPr>
              <w:pStyle w:val="Compact"/>
              <w:spacing w:after="20" w:before="20" w:line="240" w:lineRule="auto"/>
              <w:jc w:val="left"/>
            </w:pPr>
            <w:r>
              <w:rPr>
                <w:sz w:val="17"/>
              </w:rPr>
              <w:t xml:space="preserve">Enrôlement, déduplication, mandats, récupération</w:t>
            </w:r>
          </w:p>
        </w:tc>
        <w:tc>
          <w:tcPr/>
          <w:p>
            <w:pPr>
              <w:pStyle w:val="Compact"/>
              <w:spacing w:after="20" w:before="20" w:line="240" w:lineRule="auto"/>
              <w:jc w:val="left"/>
            </w:pPr>
            <w:r>
              <w:rPr>
                <w:sz w:val="17"/>
              </w:rPr>
              <w:t xml:space="preserve">R1</w:t>
            </w:r>
          </w:p>
        </w:tc>
      </w:tr>
      <w:tr>
        <w:tc>
          <w:tcPr>
            <w:shd w:val="clear" w:color="auto" w:fill="F2F9F8"/>
          </w:tcPr>
          <w:p>
            <w:pPr>
              <w:pStyle w:val="Compact"/>
              <w:spacing w:after="20" w:before="20" w:line="240" w:lineRule="auto"/>
              <w:jc w:val="left"/>
            </w:pPr>
            <w:r>
              <w:rPr>
                <w:sz w:val="17"/>
              </w:rPr>
              <w:t xml:space="preserve">Droit et liquidation</w:t>
            </w:r>
          </w:p>
        </w:tc>
        <w:tc>
          <w:tcPr>
            <w:shd w:val="clear" w:color="auto" w:fill="F2F9F8"/>
          </w:tcPr>
          <w:p>
            <w:pPr>
              <w:pStyle w:val="Compact"/>
              <w:spacing w:after="20" w:before="20" w:line="240" w:lineRule="auto"/>
              <w:jc w:val="left"/>
            </w:pPr>
            <w:r>
              <w:rPr>
                <w:sz w:val="17"/>
              </w:rPr>
              <w:t xml:space="preserve">Registre juridique, versions de taux, calculateur déterministe</w:t>
            </w:r>
          </w:p>
        </w:tc>
        <w:tc>
          <w:tcPr>
            <w:shd w:val="clear" w:color="auto" w:fill="F2F9F8"/>
          </w:tcPr>
          <w:p>
            <w:pPr>
              <w:pStyle w:val="Compact"/>
              <w:spacing w:after="20" w:before="20" w:line="240" w:lineRule="auto"/>
              <w:jc w:val="left"/>
            </w:pPr>
            <w:r>
              <w:rPr>
                <w:sz w:val="17"/>
              </w:rPr>
              <w:t xml:space="preserve">R1</w:t>
            </w:r>
          </w:p>
        </w:tc>
      </w:tr>
      <w:tr>
        <w:tc>
          <w:tcPr/>
          <w:p>
            <w:pPr>
              <w:pStyle w:val="Compact"/>
              <w:spacing w:after="20" w:before="20" w:line="240" w:lineRule="auto"/>
              <w:jc w:val="left"/>
            </w:pPr>
            <w:r>
              <w:rPr>
                <w:sz w:val="17"/>
              </w:rPr>
              <w:t xml:space="preserve">GIS et terrain</w:t>
            </w:r>
          </w:p>
        </w:tc>
        <w:tc>
          <w:tcPr/>
          <w:p>
            <w:pPr>
              <w:pStyle w:val="Compact"/>
              <w:spacing w:after="20" w:before="20" w:line="240" w:lineRule="auto"/>
              <w:jc w:val="left"/>
            </w:pPr>
            <w:r>
              <w:rPr>
                <w:sz w:val="17"/>
              </w:rPr>
              <w:t xml:space="preserve">Registre géographique, missions, preuves hors ligne</w:t>
            </w:r>
          </w:p>
        </w:tc>
        <w:tc>
          <w:tcPr/>
          <w:p>
            <w:pPr>
              <w:pStyle w:val="Compact"/>
              <w:spacing w:after="20" w:before="20" w:line="240" w:lineRule="auto"/>
              <w:jc w:val="left"/>
            </w:pPr>
            <w:r>
              <w:rPr>
                <w:sz w:val="17"/>
              </w:rPr>
              <w:t xml:space="preserve">R1–R2</w:t>
            </w:r>
          </w:p>
        </w:tc>
      </w:tr>
      <w:tr>
        <w:tc>
          <w:tcPr>
            <w:shd w:val="clear" w:color="auto" w:fill="F2F9F8"/>
          </w:tcPr>
          <w:p>
            <w:pPr>
              <w:pStyle w:val="Compact"/>
              <w:spacing w:after="20" w:before="20" w:line="240" w:lineRule="auto"/>
              <w:jc w:val="left"/>
            </w:pPr>
            <w:r>
              <w:rPr>
                <w:sz w:val="17"/>
              </w:rPr>
              <w:t xml:space="preserve">Paiements</w:t>
            </w:r>
          </w:p>
        </w:tc>
        <w:tc>
          <w:tcPr>
            <w:shd w:val="clear" w:color="auto" w:fill="F2F9F8"/>
          </w:tcPr>
          <w:p>
            <w:pPr>
              <w:pStyle w:val="Compact"/>
              <w:spacing w:after="20" w:before="20" w:line="240" w:lineRule="auto"/>
              <w:jc w:val="left"/>
            </w:pPr>
            <w:r>
              <w:rPr>
                <w:sz w:val="17"/>
              </w:rPr>
              <w:t xml:space="preserve">Références, canaux, rappels, règlement</w:t>
            </w:r>
          </w:p>
        </w:tc>
        <w:tc>
          <w:tcPr>
            <w:shd w:val="clear" w:color="auto" w:fill="F2F9F8"/>
          </w:tcPr>
          <w:p>
            <w:pPr>
              <w:pStyle w:val="Compact"/>
              <w:spacing w:after="20" w:before="20" w:line="240" w:lineRule="auto"/>
              <w:jc w:val="left"/>
            </w:pPr>
            <w:r>
              <w:rPr>
                <w:sz w:val="17"/>
              </w:rPr>
              <w:t xml:space="preserve">R1</w:t>
            </w:r>
          </w:p>
        </w:tc>
      </w:tr>
      <w:tr>
        <w:tc>
          <w:tcPr/>
          <w:p>
            <w:pPr>
              <w:pStyle w:val="Compact"/>
              <w:spacing w:after="20" w:before="20" w:line="240" w:lineRule="auto"/>
              <w:jc w:val="left"/>
            </w:pPr>
            <w:r>
              <w:rPr>
                <w:sz w:val="17"/>
              </w:rPr>
              <w:t xml:space="preserve">Rapprochement et grand livre</w:t>
            </w:r>
          </w:p>
        </w:tc>
        <w:tc>
          <w:tcPr/>
          <w:p>
            <w:pPr>
              <w:pStyle w:val="Compact"/>
              <w:spacing w:after="20" w:before="20" w:line="240" w:lineRule="auto"/>
              <w:jc w:val="left"/>
            </w:pPr>
            <w:r>
              <w:rPr>
                <w:sz w:val="17"/>
              </w:rPr>
              <w:t xml:space="preserve">Appariement, comptes d’attente, partie double, clôture</w:t>
            </w:r>
          </w:p>
        </w:tc>
        <w:tc>
          <w:tcPr/>
          <w:p>
            <w:pPr>
              <w:pStyle w:val="Compact"/>
              <w:spacing w:after="20" w:before="20" w:line="240" w:lineRule="auto"/>
              <w:jc w:val="left"/>
            </w:pPr>
            <w:r>
              <w:rPr>
                <w:sz w:val="17"/>
              </w:rPr>
              <w:t xml:space="preserve">R1–R2</w:t>
            </w:r>
          </w:p>
        </w:tc>
      </w:tr>
      <w:tr>
        <w:tc>
          <w:tcPr>
            <w:shd w:val="clear" w:color="auto" w:fill="F2F9F8"/>
          </w:tcPr>
          <w:p>
            <w:pPr>
              <w:pStyle w:val="Compact"/>
              <w:spacing w:after="20" w:before="20" w:line="240" w:lineRule="auto"/>
              <w:jc w:val="left"/>
            </w:pPr>
            <w:r>
              <w:rPr>
                <w:sz w:val="17"/>
              </w:rPr>
              <w:t xml:space="preserve">Quittances et recours</w:t>
            </w:r>
          </w:p>
        </w:tc>
        <w:tc>
          <w:tcPr>
            <w:shd w:val="clear" w:color="auto" w:fill="F2F9F8"/>
          </w:tcPr>
          <w:p>
            <w:pPr>
              <w:pStyle w:val="Compact"/>
              <w:spacing w:after="20" w:before="20" w:line="240" w:lineRule="auto"/>
              <w:jc w:val="left"/>
            </w:pPr>
            <w:r>
              <w:rPr>
                <w:sz w:val="17"/>
              </w:rPr>
              <w:t xml:space="preserve">Vérification QR, contestations, exonérations</w:t>
            </w:r>
          </w:p>
        </w:tc>
        <w:tc>
          <w:tcPr>
            <w:shd w:val="clear" w:color="auto" w:fill="F2F9F8"/>
          </w:tcPr>
          <w:p>
            <w:pPr>
              <w:pStyle w:val="Compact"/>
              <w:spacing w:after="20" w:before="20" w:line="240" w:lineRule="auto"/>
              <w:jc w:val="left"/>
            </w:pPr>
            <w:r>
              <w:rPr>
                <w:sz w:val="17"/>
              </w:rPr>
              <w:t xml:space="preserve">R2</w:t>
            </w:r>
          </w:p>
        </w:tc>
      </w:tr>
      <w:tr>
        <w:tc>
          <w:tcPr/>
          <w:p>
            <w:pPr>
              <w:pStyle w:val="Compact"/>
              <w:spacing w:after="20" w:before="20" w:line="240" w:lineRule="auto"/>
              <w:jc w:val="left"/>
            </w:pPr>
            <w:r>
              <w:rPr>
                <w:sz w:val="17"/>
              </w:rPr>
              <w:t xml:space="preserve">Recouvrement</w:t>
            </w:r>
          </w:p>
        </w:tc>
        <w:tc>
          <w:tcPr/>
          <w:p>
            <w:pPr>
              <w:pStyle w:val="Compact"/>
              <w:spacing w:after="20" w:before="20" w:line="240" w:lineRule="auto"/>
              <w:jc w:val="left"/>
            </w:pPr>
            <w:r>
              <w:rPr>
                <w:sz w:val="17"/>
              </w:rPr>
              <w:t xml:space="preserve">Arriérés, workflows, plans</w:t>
            </w:r>
          </w:p>
        </w:tc>
        <w:tc>
          <w:tcPr/>
          <w:p>
            <w:pPr>
              <w:pStyle w:val="Compact"/>
              <w:spacing w:after="20" w:before="20" w:line="240" w:lineRule="auto"/>
              <w:jc w:val="left"/>
            </w:pPr>
            <w:r>
              <w:rPr>
                <w:sz w:val="17"/>
              </w:rPr>
              <w:t xml:space="preserve">R2</w:t>
            </w:r>
          </w:p>
        </w:tc>
      </w:tr>
      <w:tr>
        <w:tc>
          <w:tcPr>
            <w:shd w:val="clear" w:color="auto" w:fill="F2F9F8"/>
          </w:tcPr>
          <w:p>
            <w:pPr>
              <w:pStyle w:val="Compact"/>
              <w:spacing w:after="20" w:before="20" w:line="240" w:lineRule="auto"/>
              <w:jc w:val="left"/>
            </w:pPr>
            <w:r>
              <w:rPr>
                <w:sz w:val="17"/>
              </w:rPr>
              <w:t xml:space="preserve">Intelligence IA</w:t>
            </w:r>
          </w:p>
        </w:tc>
        <w:tc>
          <w:tcPr>
            <w:shd w:val="clear" w:color="auto" w:fill="F2F9F8"/>
          </w:tcPr>
          <w:p>
            <w:pPr>
              <w:pStyle w:val="Compact"/>
              <w:spacing w:after="20" w:before="20" w:line="240" w:lineRule="auto"/>
              <w:jc w:val="left"/>
            </w:pPr>
            <w:r>
              <w:rPr>
                <w:sz w:val="17"/>
              </w:rPr>
              <w:t xml:space="preserve">Découverte, signaux de fraude, prévision, copilotes</w:t>
            </w:r>
          </w:p>
        </w:tc>
        <w:tc>
          <w:tcPr>
            <w:shd w:val="clear" w:color="auto" w:fill="F2F9F8"/>
          </w:tcPr>
          <w:p>
            <w:pPr>
              <w:pStyle w:val="Compact"/>
              <w:spacing w:after="20" w:before="20" w:line="240" w:lineRule="auto"/>
              <w:jc w:val="left"/>
            </w:pPr>
            <w:r>
              <w:rPr>
                <w:sz w:val="17"/>
              </w:rPr>
              <w:t xml:space="preserve">R3</w:t>
            </w:r>
          </w:p>
        </w:tc>
      </w:tr>
      <w:tr>
        <w:tc>
          <w:tcPr/>
          <w:p>
            <w:pPr>
              <w:pStyle w:val="Compact"/>
              <w:spacing w:after="20" w:before="20" w:line="240" w:lineRule="auto"/>
              <w:jc w:val="left"/>
            </w:pPr>
            <w:r>
              <w:rPr>
                <w:sz w:val="17"/>
              </w:rPr>
              <w:t xml:space="preserve">Analytique exécutive</w:t>
            </w:r>
          </w:p>
        </w:tc>
        <w:tc>
          <w:tcPr/>
          <w:p>
            <w:pPr>
              <w:pStyle w:val="Compact"/>
              <w:spacing w:after="20" w:before="20" w:line="240" w:lineRule="auto"/>
              <w:jc w:val="left"/>
            </w:pPr>
            <w:r>
              <w:rPr>
                <w:sz w:val="17"/>
              </w:rPr>
              <w:t xml:space="preserve">Centre de commandement, cartes de chaleur, scénarios</w:t>
            </w:r>
          </w:p>
        </w:tc>
        <w:tc>
          <w:tcPr/>
          <w:p>
            <w:pPr>
              <w:pStyle w:val="Compact"/>
              <w:spacing w:after="20" w:before="20" w:line="240" w:lineRule="auto"/>
              <w:jc w:val="left"/>
            </w:pPr>
            <w:r>
              <w:rPr>
                <w:sz w:val="17"/>
              </w:rPr>
              <w:t xml:space="preserve">R2–R3</w:t>
            </w:r>
          </w:p>
        </w:tc>
      </w:tr>
      <w:tr>
        <w:tc>
          <w:tcPr>
            <w:shd w:val="clear" w:color="auto" w:fill="F2F9F8"/>
          </w:tcPr>
          <w:p>
            <w:pPr>
              <w:pStyle w:val="Compact"/>
              <w:spacing w:after="20" w:before="20" w:line="240" w:lineRule="auto"/>
              <w:jc w:val="left"/>
            </w:pPr>
            <w:r>
              <w:rPr>
                <w:sz w:val="17"/>
              </w:rPr>
              <w:t xml:space="preserve">Verticales</w:t>
            </w:r>
          </w:p>
        </w:tc>
        <w:tc>
          <w:tcPr>
            <w:shd w:val="clear" w:color="auto" w:fill="F2F9F8"/>
          </w:tcPr>
          <w:p>
            <w:pPr>
              <w:pStyle w:val="Compact"/>
              <w:spacing w:after="20" w:before="20" w:line="240" w:lineRule="auto"/>
              <w:jc w:val="left"/>
            </w:pPr>
            <w:r>
              <w:rPr>
                <w:sz w:val="17"/>
              </w:rPr>
              <w:t xml:space="preserve">Property, Rental, Mobility, Markets, AVIA, etc.</w:t>
            </w:r>
          </w:p>
        </w:tc>
        <w:tc>
          <w:tcPr>
            <w:shd w:val="clear" w:color="auto" w:fill="F2F9F8"/>
          </w:tcPr>
          <w:p>
            <w:pPr>
              <w:pStyle w:val="Compact"/>
              <w:spacing w:after="20" w:before="20" w:line="240" w:lineRule="auto"/>
              <w:jc w:val="left"/>
            </w:pPr>
            <w:r>
              <w:rPr>
                <w:sz w:val="17"/>
              </w:rPr>
              <w:t xml:space="preserve">R2–R4</w:t>
            </w:r>
          </w:p>
        </w:tc>
      </w:tr>
    </w:tbl>
    <w:bookmarkEnd w:id="299"/>
    <w:bookmarkStart w:id="300" w:name="récits-ajoutés-en-version-2.1"/>
    <w:p>
      <w:pPr>
        <w:pStyle w:val="Heading2"/>
      </w:pPr>
      <w:r>
        <w:t xml:space="preserve">42.3 Récits ajoutés en version 2.1</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Acteur</w:t>
            </w:r>
          </w:p>
        </w:tc>
        <w:tc>
          <w:tcPr>
            <w:shd w:val="clear" w:color="auto" w:fill="1BA996"/>
          </w:tcPr>
          <w:p>
            <w:pPr>
              <w:pStyle w:val="Compact"/>
              <w:spacing w:after="20" w:before="20" w:line="240" w:lineRule="auto"/>
              <w:jc w:val="left"/>
            </w:pPr>
            <w:r>
              <w:rPr>
                <w:b/>
                <w:color w:val="FFFFFF"/>
                <w:sz w:val="17"/>
              </w:rPr>
              <w:t xml:space="preserve">Je veux</w:t>
            </w:r>
          </w:p>
        </w:tc>
        <w:tc>
          <w:tcPr>
            <w:shd w:val="clear" w:color="auto" w:fill="1BA996"/>
          </w:tcPr>
          <w:p>
            <w:pPr>
              <w:pStyle w:val="Compact"/>
              <w:spacing w:after="20" w:before="20" w:line="240" w:lineRule="auto"/>
              <w:jc w:val="left"/>
            </w:pPr>
            <w:r>
              <w:rPr>
                <w:b/>
                <w:color w:val="FFFFFF"/>
                <w:sz w:val="17"/>
              </w:rPr>
              <w:t xml:space="preserve">Critère</w:t>
            </w:r>
          </w:p>
        </w:tc>
      </w:tr>
      <w:tr>
        <w:tc>
          <w:tcPr/>
          <w:p>
            <w:pPr>
              <w:pStyle w:val="Compact"/>
              <w:spacing w:after="20" w:before="20" w:line="240" w:lineRule="auto"/>
              <w:jc w:val="left"/>
            </w:pPr>
            <w:r>
              <w:rPr>
                <w:sz w:val="17"/>
              </w:rPr>
              <w:t xml:space="preserve">Personne sans téléphone</w:t>
            </w:r>
          </w:p>
        </w:tc>
        <w:tc>
          <w:tcPr/>
          <w:p>
            <w:pPr>
              <w:pStyle w:val="Compact"/>
              <w:spacing w:after="20" w:before="20" w:line="240" w:lineRule="auto"/>
              <w:jc w:val="left"/>
            </w:pPr>
            <w:r>
              <w:rPr>
                <w:sz w:val="17"/>
              </w:rPr>
              <w:t xml:space="preserve">être enregistrée et recevoir une preuve</w:t>
            </w:r>
          </w:p>
        </w:tc>
        <w:tc>
          <w:tcPr/>
          <w:p>
            <w:pPr>
              <w:pStyle w:val="Compact"/>
              <w:spacing w:after="20" w:before="20" w:line="240" w:lineRule="auto"/>
              <w:jc w:val="left"/>
            </w:pPr>
            <w:r>
              <w:rPr>
                <w:sz w:val="17"/>
              </w:rPr>
              <w:t xml:space="preserve">Étant donné un enrôlement assisté, lorsqu’il est terminé, alors une carte MOSOLO et un avis imprimé à pictogrammes sont remis et le consentement est horodaté</w:t>
            </w:r>
          </w:p>
        </w:tc>
      </w:tr>
      <w:tr>
        <w:tc>
          <w:tcPr>
            <w:shd w:val="clear" w:color="auto" w:fill="F2F9F8"/>
          </w:tcPr>
          <w:p>
            <w:pPr>
              <w:pStyle w:val="Compact"/>
              <w:spacing w:after="20" w:before="20" w:line="240" w:lineRule="auto"/>
              <w:jc w:val="left"/>
            </w:pPr>
            <w:r>
              <w:rPr>
                <w:sz w:val="17"/>
              </w:rPr>
              <w:t xml:space="preserve">Personne ne sachant pas lire</w:t>
            </w:r>
          </w:p>
        </w:tc>
        <w:tc>
          <w:tcPr>
            <w:shd w:val="clear" w:color="auto" w:fill="F2F9F8"/>
          </w:tcPr>
          <w:p>
            <w:pPr>
              <w:pStyle w:val="Compact"/>
              <w:spacing w:after="20" w:before="20" w:line="240" w:lineRule="auto"/>
              <w:jc w:val="left"/>
            </w:pPr>
            <w:r>
              <w:rPr>
                <w:sz w:val="17"/>
              </w:rPr>
              <w:t xml:space="preserve">connaître ce que je dois</w:t>
            </w:r>
          </w:p>
        </w:tc>
        <w:tc>
          <w:tcPr>
            <w:shd w:val="clear" w:color="auto" w:fill="F2F9F8"/>
          </w:tcPr>
          <w:p>
            <w:pPr>
              <w:pStyle w:val="Compact"/>
              <w:spacing w:after="20" w:before="20" w:line="240" w:lineRule="auto"/>
              <w:jc w:val="left"/>
            </w:pPr>
            <w:r>
              <w:rPr>
                <w:sz w:val="17"/>
              </w:rPr>
              <w:t xml:space="preserve">Étant donné un appel au SVI, lorsque je saisis mon numéro de carte, alors le montant, l’échéance et les lieux de paiement me sont lus dans ma langue</w:t>
            </w:r>
          </w:p>
        </w:tc>
      </w:tr>
      <w:tr>
        <w:tc>
          <w:tcPr/>
          <w:p>
            <w:pPr>
              <w:pStyle w:val="Compact"/>
              <w:spacing w:after="20" w:before="20" w:line="240" w:lineRule="auto"/>
              <w:jc w:val="left"/>
            </w:pPr>
            <w:r>
              <w:rPr>
                <w:sz w:val="17"/>
              </w:rPr>
              <w:t xml:space="preserve">Contribuable</w:t>
            </w:r>
          </w:p>
        </w:tc>
        <w:tc>
          <w:tcPr/>
          <w:p>
            <w:pPr>
              <w:pStyle w:val="Compact"/>
              <w:spacing w:after="20" w:before="20" w:line="240" w:lineRule="auto"/>
              <w:jc w:val="left"/>
            </w:pPr>
            <w:r>
              <w:rPr>
                <w:sz w:val="17"/>
              </w:rPr>
              <w:t xml:space="preserve">payer en espèces sans risque</w:t>
            </w:r>
          </w:p>
        </w:tc>
        <w:tc>
          <w:tcPr/>
          <w:p>
            <w:pPr>
              <w:pStyle w:val="Compact"/>
              <w:spacing w:after="20" w:before="20" w:line="240" w:lineRule="auto"/>
              <w:jc w:val="left"/>
            </w:pPr>
            <w:r>
              <w:rPr>
                <w:sz w:val="17"/>
              </w:rPr>
              <w:t xml:space="preserve">Étant donné une référence présentée à un point agréé, lorsque je paie, alors le montant n’est pas modifiable et je reçois une quittance imprimée et un SMS</w:t>
            </w:r>
          </w:p>
        </w:tc>
      </w:tr>
      <w:tr>
        <w:tc>
          <w:tcPr>
            <w:shd w:val="clear" w:color="auto" w:fill="F2F9F8"/>
          </w:tcPr>
          <w:p>
            <w:pPr>
              <w:pStyle w:val="Compact"/>
              <w:spacing w:after="20" w:before="20" w:line="240" w:lineRule="auto"/>
              <w:jc w:val="left"/>
            </w:pPr>
            <w:r>
              <w:rPr>
                <w:sz w:val="17"/>
              </w:rPr>
              <w:t xml:space="preserve">Citoyen</w:t>
            </w:r>
          </w:p>
        </w:tc>
        <w:tc>
          <w:tcPr>
            <w:shd w:val="clear" w:color="auto" w:fill="F2F9F8"/>
          </w:tcPr>
          <w:p>
            <w:pPr>
              <w:pStyle w:val="Compact"/>
              <w:spacing w:after="20" w:before="20" w:line="240" w:lineRule="auto"/>
              <w:jc w:val="left"/>
            </w:pPr>
            <w:r>
              <w:rPr>
                <w:sz w:val="17"/>
              </w:rPr>
              <w:t xml:space="preserve">vérifier un agent</w:t>
            </w:r>
          </w:p>
        </w:tc>
        <w:tc>
          <w:tcPr>
            <w:shd w:val="clear" w:color="auto" w:fill="F2F9F8"/>
          </w:tcPr>
          <w:p>
            <w:pPr>
              <w:pStyle w:val="Compact"/>
              <w:spacing w:after="20" w:before="20" w:line="240" w:lineRule="auto"/>
              <w:jc w:val="left"/>
            </w:pPr>
            <w:r>
              <w:rPr>
                <w:sz w:val="17"/>
              </w:rPr>
              <w:t xml:space="preserve">Étant donné un badge, lorsque j’envoie son code par SMS, alors je reçois son statut, son module, sa zone et sa structure</w:t>
            </w:r>
          </w:p>
        </w:tc>
      </w:tr>
      <w:tr>
        <w:tc>
          <w:tcPr/>
          <w:p>
            <w:pPr>
              <w:pStyle w:val="Compact"/>
              <w:spacing w:after="20" w:before="20" w:line="240" w:lineRule="auto"/>
              <w:jc w:val="left"/>
            </w:pPr>
            <w:r>
              <w:rPr>
                <w:sz w:val="17"/>
              </w:rPr>
              <w:t xml:space="preserve">Sous-traitant</w:t>
            </w:r>
          </w:p>
        </w:tc>
        <w:tc>
          <w:tcPr/>
          <w:p>
            <w:pPr>
              <w:pStyle w:val="Compact"/>
              <w:spacing w:after="20" w:before="20" w:line="240" w:lineRule="auto"/>
              <w:jc w:val="left"/>
            </w:pPr>
            <w:r>
              <w:rPr>
                <w:sz w:val="17"/>
              </w:rPr>
              <w:t xml:space="preserve">gérer mes agents</w:t>
            </w:r>
          </w:p>
        </w:tc>
        <w:tc>
          <w:tcPr/>
          <w:p>
            <w:pPr>
              <w:pStyle w:val="Compact"/>
              <w:spacing w:after="20" w:before="20" w:line="240" w:lineRule="auto"/>
              <w:jc w:val="left"/>
            </w:pPr>
            <w:r>
              <w:rPr>
                <w:sz w:val="17"/>
              </w:rPr>
              <w:t xml:space="preserve">Étant donné un lot attribué, lorsque j’invite des agents et répartis les missions, alors seuls les agents habilités par la régie peuvent agir dans ce lot</w:t>
            </w:r>
          </w:p>
        </w:tc>
      </w:tr>
      <w:tr>
        <w:tc>
          <w:tcPr>
            <w:shd w:val="clear" w:color="auto" w:fill="F2F9F8"/>
          </w:tcPr>
          <w:p>
            <w:pPr>
              <w:pStyle w:val="Compact"/>
              <w:spacing w:after="20" w:before="20" w:line="240" w:lineRule="auto"/>
              <w:jc w:val="left"/>
            </w:pPr>
            <w:r>
              <w:rPr>
                <w:sz w:val="17"/>
              </w:rPr>
              <w:t xml:space="preserve">Responsable de module</w:t>
            </w:r>
          </w:p>
        </w:tc>
        <w:tc>
          <w:tcPr>
            <w:shd w:val="clear" w:color="auto" w:fill="F2F9F8"/>
          </w:tcPr>
          <w:p>
            <w:pPr>
              <w:pStyle w:val="Compact"/>
              <w:spacing w:after="20" w:before="20" w:line="240" w:lineRule="auto"/>
              <w:jc w:val="left"/>
            </w:pPr>
            <w:r>
              <w:rPr>
                <w:sz w:val="17"/>
              </w:rPr>
              <w:t xml:space="preserve">piloter mes équipes</w:t>
            </w:r>
          </w:p>
        </w:tc>
        <w:tc>
          <w:tcPr>
            <w:shd w:val="clear" w:color="auto" w:fill="F2F9F8"/>
          </w:tcPr>
          <w:p>
            <w:pPr>
              <w:pStyle w:val="Compact"/>
              <w:spacing w:after="20" w:before="20" w:line="240" w:lineRule="auto"/>
              <w:jc w:val="left"/>
            </w:pPr>
            <w:r>
              <w:rPr>
                <w:sz w:val="17"/>
              </w:rPr>
              <w:t xml:space="preserve">Étant donné plusieurs équipes internes et sous-traitantes, lorsque j’ouvre mon tableau, alors je vois la production, la qualité et les alertes de chaque agent et je peux en suspendre un immédiatement</w:t>
            </w:r>
          </w:p>
        </w:tc>
      </w:tr>
    </w:tbl>
    <w:bookmarkEnd w:id="300"/>
    <w:bookmarkStart w:id="301" w:name="épopées-ajoutées-en-version-2.1"/>
    <w:p>
      <w:pPr>
        <w:pStyle w:val="Heading2"/>
      </w:pPr>
      <w:r>
        <w:t xml:space="preserve">42.4 Épopées ajoutées en version 2.1</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Épopée</w:t>
            </w:r>
          </w:p>
        </w:tc>
        <w:tc>
          <w:tcPr>
            <w:shd w:val="clear" w:color="auto" w:fill="1BA996"/>
          </w:tcPr>
          <w:p>
            <w:pPr>
              <w:pStyle w:val="Compact"/>
              <w:spacing w:after="20" w:before="20" w:line="240" w:lineRule="auto"/>
              <w:jc w:val="left"/>
            </w:pPr>
            <w:r>
              <w:rPr>
                <w:b/>
                <w:color w:val="FFFFFF"/>
                <w:sz w:val="17"/>
              </w:rPr>
              <w:t xml:space="preserve">Fonctionnalités prioritaires</w:t>
            </w:r>
          </w:p>
        </w:tc>
        <w:tc>
          <w:tcPr>
            <w:shd w:val="clear" w:color="auto" w:fill="1BA996"/>
          </w:tcPr>
          <w:p>
            <w:pPr>
              <w:pStyle w:val="Compact"/>
              <w:spacing w:after="20" w:before="20" w:line="240" w:lineRule="auto"/>
              <w:jc w:val="left"/>
            </w:pPr>
            <w:r>
              <w:rPr>
                <w:b/>
                <w:color w:val="FFFFFF"/>
                <w:sz w:val="17"/>
              </w:rPr>
              <w:t xml:space="preserve">Release</w:t>
            </w:r>
          </w:p>
        </w:tc>
      </w:tr>
      <w:tr>
        <w:tc>
          <w:tcPr/>
          <w:p>
            <w:pPr>
              <w:pStyle w:val="Compact"/>
              <w:spacing w:after="20" w:before="20" w:line="240" w:lineRule="auto"/>
              <w:jc w:val="left"/>
            </w:pPr>
            <w:r>
              <w:rPr>
                <w:sz w:val="17"/>
              </w:rPr>
              <w:t xml:space="preserve">Enrôlement inclusif</w:t>
            </w:r>
          </w:p>
        </w:tc>
        <w:tc>
          <w:tcPr/>
          <w:p>
            <w:pPr>
              <w:pStyle w:val="Compact"/>
              <w:spacing w:after="20" w:before="20" w:line="240" w:lineRule="auto"/>
              <w:jc w:val="left"/>
            </w:pPr>
            <w:r>
              <w:rPr>
                <w:sz w:val="17"/>
              </w:rPr>
              <w:t xml:space="preserve">Enrôlement assisté, carte MOSOLO, SVI multilingue, USSD, pictogrammes</w:t>
            </w:r>
          </w:p>
        </w:tc>
        <w:tc>
          <w:tcPr/>
          <w:p>
            <w:pPr>
              <w:pStyle w:val="Compact"/>
              <w:spacing w:after="20" w:before="20" w:line="240" w:lineRule="auto"/>
              <w:jc w:val="left"/>
            </w:pPr>
            <w:r>
              <w:rPr>
                <w:sz w:val="17"/>
              </w:rPr>
              <w:t xml:space="preserve">R1</w:t>
            </w:r>
          </w:p>
        </w:tc>
      </w:tr>
      <w:tr>
        <w:tc>
          <w:tcPr>
            <w:shd w:val="clear" w:color="auto" w:fill="F2F9F8"/>
          </w:tcPr>
          <w:p>
            <w:pPr>
              <w:pStyle w:val="Compact"/>
              <w:spacing w:after="20" w:before="20" w:line="240" w:lineRule="auto"/>
              <w:jc w:val="left"/>
            </w:pPr>
            <w:r>
              <w:rPr>
                <w:sz w:val="17"/>
              </w:rPr>
              <w:t xml:space="preserve">Réseau de paiement assisté</w:t>
            </w:r>
          </w:p>
        </w:tc>
        <w:tc>
          <w:tcPr>
            <w:shd w:val="clear" w:color="auto" w:fill="F2F9F8"/>
          </w:tcPr>
          <w:p>
            <w:pPr>
              <w:pStyle w:val="Compact"/>
              <w:spacing w:after="20" w:before="20" w:line="240" w:lineRule="auto"/>
              <w:jc w:val="left"/>
            </w:pPr>
            <w:r>
              <w:rPr>
                <w:sz w:val="17"/>
              </w:rPr>
              <w:t xml:space="preserve">Référencement des points, encaissement sur référence, preuves imprimées et SMS, vérification par code</w:t>
            </w:r>
          </w:p>
        </w:tc>
        <w:tc>
          <w:tcPr>
            <w:shd w:val="clear" w:color="auto" w:fill="F2F9F8"/>
          </w:tcPr>
          <w:p>
            <w:pPr>
              <w:pStyle w:val="Compact"/>
              <w:spacing w:after="20" w:before="20" w:line="240" w:lineRule="auto"/>
              <w:jc w:val="left"/>
            </w:pPr>
            <w:r>
              <w:rPr>
                <w:sz w:val="17"/>
              </w:rPr>
              <w:t xml:space="preserve">R1</w:t>
            </w:r>
          </w:p>
        </w:tc>
      </w:tr>
      <w:tr>
        <w:tc>
          <w:tcPr/>
          <w:p>
            <w:pPr>
              <w:pStyle w:val="Compact"/>
              <w:spacing w:after="20" w:before="20" w:line="240" w:lineRule="auto"/>
              <w:jc w:val="left"/>
            </w:pPr>
            <w:r>
              <w:rPr>
                <w:sz w:val="17"/>
              </w:rPr>
              <w:t xml:space="preserve">Sous-traitance et équipes</w:t>
            </w:r>
          </w:p>
        </w:tc>
        <w:tc>
          <w:tcPr/>
          <w:p>
            <w:pPr>
              <w:pStyle w:val="Compact"/>
              <w:spacing w:after="20" w:before="20" w:line="240" w:lineRule="auto"/>
              <w:jc w:val="left"/>
            </w:pPr>
            <w:r>
              <w:rPr>
                <w:sz w:val="17"/>
              </w:rPr>
              <w:t xml:space="preserve">Portail des partenaires, accréditation, invitation et habilitation des agents, répartition des missions, contrôle qualité</w:t>
            </w:r>
          </w:p>
        </w:tc>
        <w:tc>
          <w:tcPr/>
          <w:p>
            <w:pPr>
              <w:pStyle w:val="Compact"/>
              <w:spacing w:after="20" w:before="20" w:line="240" w:lineRule="auto"/>
              <w:jc w:val="left"/>
            </w:pPr>
            <w:r>
              <w:rPr>
                <w:sz w:val="17"/>
              </w:rPr>
              <w:t xml:space="preserve">R1–R2</w:t>
            </w:r>
          </w:p>
        </w:tc>
      </w:tr>
      <w:tr>
        <w:tc>
          <w:tcPr>
            <w:shd w:val="clear" w:color="auto" w:fill="F2F9F8"/>
          </w:tcPr>
          <w:p>
            <w:pPr>
              <w:pStyle w:val="Compact"/>
              <w:spacing w:after="20" w:before="20" w:line="240" w:lineRule="auto"/>
              <w:jc w:val="left"/>
            </w:pPr>
            <w:r>
              <w:rPr>
                <w:sz w:val="17"/>
              </w:rPr>
              <w:t xml:space="preserve">Signalement et contrôles</w:t>
            </w:r>
          </w:p>
        </w:tc>
        <w:tc>
          <w:tcPr>
            <w:shd w:val="clear" w:color="auto" w:fill="F2F9F8"/>
          </w:tcPr>
          <w:p>
            <w:pPr>
              <w:pStyle w:val="Compact"/>
              <w:spacing w:after="20" w:before="20" w:line="240" w:lineRule="auto"/>
              <w:jc w:val="left"/>
            </w:pPr>
            <w:r>
              <w:rPr>
                <w:sz w:val="17"/>
              </w:rPr>
              <w:t xml:space="preserve">Ligne de signalement, contrôles mystère, badges vérifiables</w:t>
            </w:r>
          </w:p>
        </w:tc>
        <w:tc>
          <w:tcPr>
            <w:shd w:val="clear" w:color="auto" w:fill="F2F9F8"/>
          </w:tcPr>
          <w:p>
            <w:pPr>
              <w:pStyle w:val="Compact"/>
              <w:spacing w:after="20" w:before="20" w:line="240" w:lineRule="auto"/>
              <w:jc w:val="left"/>
            </w:pPr>
            <w:r>
              <w:rPr>
                <w:sz w:val="17"/>
              </w:rPr>
              <w:t xml:space="preserve">R2</w:t>
            </w:r>
          </w:p>
        </w:tc>
      </w:tr>
    </w:tbl>
    <w:bookmarkEnd w:id="301"/>
    <w:bookmarkStart w:id="302" w:name="récits-ajoutés-en-version-2.2"/>
    <w:p>
      <w:pPr>
        <w:pStyle w:val="Heading2"/>
      </w:pPr>
      <w:r>
        <w:t xml:space="preserve">42.5 Récits ajoutés en version 2.2</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Acteur</w:t>
            </w:r>
          </w:p>
        </w:tc>
        <w:tc>
          <w:tcPr>
            <w:shd w:val="clear" w:color="auto" w:fill="1BA996"/>
          </w:tcPr>
          <w:p>
            <w:pPr>
              <w:pStyle w:val="Compact"/>
              <w:spacing w:after="20" w:before="20" w:line="240" w:lineRule="auto"/>
              <w:jc w:val="left"/>
            </w:pPr>
            <w:r>
              <w:rPr>
                <w:b/>
                <w:color w:val="FFFFFF"/>
                <w:sz w:val="17"/>
              </w:rPr>
              <w:t xml:space="preserve">Je veux</w:t>
            </w:r>
          </w:p>
        </w:tc>
        <w:tc>
          <w:tcPr>
            <w:shd w:val="clear" w:color="auto" w:fill="1BA996"/>
          </w:tcPr>
          <w:p>
            <w:pPr>
              <w:pStyle w:val="Compact"/>
              <w:spacing w:after="20" w:before="20" w:line="240" w:lineRule="auto"/>
              <w:jc w:val="left"/>
            </w:pPr>
            <w:r>
              <w:rPr>
                <w:b/>
                <w:color w:val="FFFFFF"/>
                <w:sz w:val="17"/>
              </w:rPr>
              <w:t xml:space="preserve">Critère</w:t>
            </w:r>
          </w:p>
        </w:tc>
      </w:tr>
      <w:tr>
        <w:tc>
          <w:tcPr/>
          <w:p>
            <w:pPr>
              <w:pStyle w:val="Compact"/>
              <w:spacing w:after="20" w:before="20" w:line="240" w:lineRule="auto"/>
              <w:jc w:val="left"/>
            </w:pPr>
            <w:r>
              <w:rPr>
                <w:sz w:val="17"/>
              </w:rPr>
              <w:t xml:space="preserve">Automobiliste</w:t>
            </w:r>
          </w:p>
        </w:tc>
        <w:tc>
          <w:tcPr/>
          <w:p>
            <w:pPr>
              <w:pStyle w:val="Compact"/>
              <w:spacing w:after="20" w:before="20" w:line="240" w:lineRule="auto"/>
              <w:jc w:val="left"/>
            </w:pPr>
            <w:r>
              <w:rPr>
                <w:sz w:val="17"/>
              </w:rPr>
              <w:t xml:space="preserve">acheter et prolonger un ticket de stationnement</w:t>
            </w:r>
          </w:p>
        </w:tc>
        <w:tc>
          <w:tcPr/>
          <w:p>
            <w:pPr>
              <w:pStyle w:val="Compact"/>
              <w:spacing w:after="20" w:before="20" w:line="240" w:lineRule="auto"/>
              <w:jc w:val="left"/>
            </w:pPr>
            <w:r>
              <w:rPr>
                <w:sz w:val="17"/>
              </w:rPr>
              <w:t xml:space="preserve">Étant donné un ticket horaire actif, lorsqu’il entre en phase ambre, alors je reçois un rappel et peux prolonger depuis mon téléphone ou par USSD</w:t>
            </w:r>
          </w:p>
        </w:tc>
      </w:tr>
      <w:tr>
        <w:tc>
          <w:tcPr>
            <w:shd w:val="clear" w:color="auto" w:fill="F2F9F8"/>
          </w:tcPr>
          <w:p>
            <w:pPr>
              <w:pStyle w:val="Compact"/>
              <w:spacing w:after="20" w:before="20" w:line="240" w:lineRule="auto"/>
              <w:jc w:val="left"/>
            </w:pPr>
            <w:r>
              <w:rPr>
                <w:sz w:val="17"/>
              </w:rPr>
              <w:t xml:space="preserve">Contrôleur</w:t>
            </w:r>
          </w:p>
        </w:tc>
        <w:tc>
          <w:tcPr>
            <w:shd w:val="clear" w:color="auto" w:fill="F2F9F8"/>
          </w:tcPr>
          <w:p>
            <w:pPr>
              <w:pStyle w:val="Compact"/>
              <w:spacing w:after="20" w:before="20" w:line="240" w:lineRule="auto"/>
              <w:jc w:val="left"/>
            </w:pPr>
            <w:r>
              <w:rPr>
                <w:sz w:val="17"/>
              </w:rPr>
              <w:t xml:space="preserve">vérifier un véhicule sans papier</w:t>
            </w:r>
          </w:p>
        </w:tc>
        <w:tc>
          <w:tcPr>
            <w:shd w:val="clear" w:color="auto" w:fill="F2F9F8"/>
          </w:tcPr>
          <w:p>
            <w:pPr>
              <w:pStyle w:val="Compact"/>
              <w:spacing w:after="20" w:before="20" w:line="240" w:lineRule="auto"/>
              <w:jc w:val="left"/>
            </w:pPr>
            <w:r>
              <w:rPr>
                <w:sz w:val="17"/>
              </w:rPr>
              <w:t xml:space="preserve">Étant donné une plaque saisie, lorsque je lance le contrôle, alors je vois tous les titres actifs de ce véhicule pour mon module, avec couleur, icône et temps restant</w:t>
            </w:r>
          </w:p>
        </w:tc>
      </w:tr>
      <w:tr>
        <w:tc>
          <w:tcPr/>
          <w:p>
            <w:pPr>
              <w:pStyle w:val="Compact"/>
              <w:spacing w:after="20" w:before="20" w:line="240" w:lineRule="auto"/>
              <w:jc w:val="left"/>
            </w:pPr>
            <w:r>
              <w:rPr>
                <w:sz w:val="17"/>
              </w:rPr>
              <w:t xml:space="preserve">Commerçant de marché</w:t>
            </w:r>
          </w:p>
        </w:tc>
        <w:tc>
          <w:tcPr/>
          <w:p>
            <w:pPr>
              <w:pStyle w:val="Compact"/>
              <w:spacing w:after="20" w:before="20" w:line="240" w:lineRule="auto"/>
              <w:jc w:val="left"/>
            </w:pPr>
            <w:r>
              <w:rPr>
                <w:sz w:val="17"/>
              </w:rPr>
              <w:t xml:space="preserve">prouver mon droit d’étal</w:t>
            </w:r>
          </w:p>
        </w:tc>
        <w:tc>
          <w:tcPr/>
          <w:p>
            <w:pPr>
              <w:pStyle w:val="Compact"/>
              <w:spacing w:after="20" w:before="20" w:line="240" w:lineRule="auto"/>
              <w:jc w:val="left"/>
            </w:pPr>
            <w:r>
              <w:rPr>
                <w:sz w:val="17"/>
              </w:rPr>
              <w:t xml:space="preserve">Étant donné un droit hebdomadaire, lorsque le contrôleur scanne la plaque de l’étal, alors le statut s’affiche sans que j’aie besoin d’un téléphone</w:t>
            </w:r>
          </w:p>
        </w:tc>
      </w:tr>
      <w:tr>
        <w:tc>
          <w:tcPr>
            <w:shd w:val="clear" w:color="auto" w:fill="F2F9F8"/>
          </w:tcPr>
          <w:p>
            <w:pPr>
              <w:pStyle w:val="Compact"/>
              <w:spacing w:after="20" w:before="20" w:line="240" w:lineRule="auto"/>
              <w:jc w:val="left"/>
            </w:pPr>
            <w:r>
              <w:rPr>
                <w:sz w:val="17"/>
              </w:rPr>
              <w:t xml:space="preserve">Agent portuaire</w:t>
            </w:r>
          </w:p>
        </w:tc>
        <w:tc>
          <w:tcPr>
            <w:shd w:val="clear" w:color="auto" w:fill="F2F9F8"/>
          </w:tcPr>
          <w:p>
            <w:pPr>
              <w:pStyle w:val="Compact"/>
              <w:spacing w:after="20" w:before="20" w:line="240" w:lineRule="auto"/>
              <w:jc w:val="left"/>
            </w:pPr>
            <w:r>
              <w:rPr>
                <w:sz w:val="17"/>
              </w:rPr>
              <w:t xml:space="preserve">refuser un titre réutilisé</w:t>
            </w:r>
          </w:p>
        </w:tc>
        <w:tc>
          <w:tcPr>
            <w:shd w:val="clear" w:color="auto" w:fill="F2F9F8"/>
          </w:tcPr>
          <w:p>
            <w:pPr>
              <w:pStyle w:val="Compact"/>
              <w:spacing w:after="20" w:before="20" w:line="240" w:lineRule="auto"/>
              <w:jc w:val="left"/>
            </w:pPr>
            <w:r>
              <w:rPr>
                <w:sz w:val="17"/>
              </w:rPr>
              <w:t xml:space="preserve">Étant donné un titre d’embarquement déjà consommé, lorsque je le scanne, alors « DÉJÀ UTILISÉ » s’affiche avec heure et lieu du premier usage</w:t>
            </w:r>
          </w:p>
        </w:tc>
      </w:tr>
      <w:tr>
        <w:tc>
          <w:tcPr/>
          <w:p>
            <w:pPr>
              <w:pStyle w:val="Compact"/>
              <w:spacing w:after="20" w:before="20" w:line="240" w:lineRule="auto"/>
              <w:jc w:val="left"/>
            </w:pPr>
            <w:r>
              <w:rPr>
                <w:sz w:val="17"/>
              </w:rPr>
              <w:t xml:space="preserve">Entité (commune, opérateur)</w:t>
            </w:r>
          </w:p>
        </w:tc>
        <w:tc>
          <w:tcPr/>
          <w:p>
            <w:pPr>
              <w:pStyle w:val="Compact"/>
              <w:spacing w:after="20" w:before="20" w:line="240" w:lineRule="auto"/>
              <w:jc w:val="left"/>
            </w:pPr>
            <w:r>
              <w:rPr>
                <w:sz w:val="17"/>
              </w:rPr>
              <w:t xml:space="preserve">configurer mon service</w:t>
            </w:r>
          </w:p>
        </w:tc>
        <w:tc>
          <w:tcPr/>
          <w:p>
            <w:pPr>
              <w:pStyle w:val="Compact"/>
              <w:spacing w:after="20" w:before="20" w:line="240" w:lineRule="auto"/>
              <w:jc w:val="left"/>
            </w:pPr>
            <w:r>
              <w:rPr>
                <w:sz w:val="17"/>
              </w:rPr>
              <w:t xml:space="preserve">Étant donné une fiche de configuration approuvée, lorsqu’elle est activée après recette, alors mes titres, règles et tableaux fonctionnent sans modification du socle</w:t>
            </w:r>
          </w:p>
        </w:tc>
      </w:tr>
    </w:tbl>
    <w:bookmarkEnd w:id="302"/>
    <w:bookmarkStart w:id="303" w:name="épopées-ajoutées-en-version-2.2"/>
    <w:p>
      <w:pPr>
        <w:pStyle w:val="Heading2"/>
      </w:pPr>
      <w:r>
        <w:t xml:space="preserve">42.6 Épopées ajoutées en version 2.2</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Épopée</w:t>
            </w:r>
          </w:p>
        </w:tc>
        <w:tc>
          <w:tcPr>
            <w:shd w:val="clear" w:color="auto" w:fill="1BA996"/>
          </w:tcPr>
          <w:p>
            <w:pPr>
              <w:pStyle w:val="Compact"/>
              <w:spacing w:after="20" w:before="20" w:line="240" w:lineRule="auto"/>
              <w:jc w:val="left"/>
            </w:pPr>
            <w:r>
              <w:rPr>
                <w:b/>
                <w:color w:val="FFFFFF"/>
                <w:sz w:val="17"/>
              </w:rPr>
              <w:t xml:space="preserve">Fonctionnalités prioritaires</w:t>
            </w:r>
          </w:p>
        </w:tc>
        <w:tc>
          <w:tcPr>
            <w:shd w:val="clear" w:color="auto" w:fill="1BA996"/>
          </w:tcPr>
          <w:p>
            <w:pPr>
              <w:pStyle w:val="Compact"/>
              <w:spacing w:after="20" w:before="20" w:line="240" w:lineRule="auto"/>
              <w:jc w:val="left"/>
            </w:pPr>
            <w:r>
              <w:rPr>
                <w:b/>
                <w:color w:val="FFFFFF"/>
                <w:sz w:val="17"/>
              </w:rPr>
              <w:t xml:space="preserve">Release</w:t>
            </w:r>
          </w:p>
        </w:tc>
      </w:tr>
      <w:tr>
        <w:tc>
          <w:tcPr/>
          <w:p>
            <w:pPr>
              <w:pStyle w:val="Compact"/>
              <w:spacing w:after="20" w:before="20" w:line="240" w:lineRule="auto"/>
              <w:jc w:val="left"/>
            </w:pPr>
            <w:r>
              <w:rPr>
                <w:sz w:val="17"/>
              </w:rPr>
              <w:t xml:space="preserve">Moteur de titres et de validité</w:t>
            </w:r>
          </w:p>
        </w:tc>
        <w:tc>
          <w:tcPr/>
          <w:p>
            <w:pPr>
              <w:pStyle w:val="Compact"/>
              <w:spacing w:after="20" w:before="20" w:line="240" w:lineRule="auto"/>
              <w:jc w:val="left"/>
            </w:pPr>
            <w:r>
              <w:rPr>
                <w:sz w:val="17"/>
              </w:rPr>
              <w:t xml:space="preserve">Types de titres, modèles de validité, statuts colorés, QR dynamiques et statiques, usage unique, rappels, prolongation</w:t>
            </w:r>
          </w:p>
        </w:tc>
        <w:tc>
          <w:tcPr/>
          <w:p>
            <w:pPr>
              <w:pStyle w:val="Compact"/>
              <w:spacing w:after="20" w:before="20" w:line="240" w:lineRule="auto"/>
              <w:jc w:val="left"/>
            </w:pPr>
            <w:r>
              <w:rPr>
                <w:sz w:val="17"/>
              </w:rPr>
              <w:t xml:space="preserve">R1–R2</w:t>
            </w:r>
          </w:p>
        </w:tc>
      </w:tr>
      <w:tr>
        <w:tc>
          <w:tcPr>
            <w:shd w:val="clear" w:color="auto" w:fill="F2F9F8"/>
          </w:tcPr>
          <w:p>
            <w:pPr>
              <w:pStyle w:val="Compact"/>
              <w:spacing w:after="20" w:before="20" w:line="240" w:lineRule="auto"/>
              <w:jc w:val="left"/>
            </w:pPr>
            <w:r>
              <w:rPr>
                <w:sz w:val="17"/>
              </w:rPr>
              <w:t xml:space="preserve">Contrôle des titres</w:t>
            </w:r>
          </w:p>
        </w:tc>
        <w:tc>
          <w:tcPr>
            <w:shd w:val="clear" w:color="auto" w:fill="F2F9F8"/>
          </w:tcPr>
          <w:p>
            <w:pPr>
              <w:pStyle w:val="Compact"/>
              <w:spacing w:after="20" w:before="20" w:line="240" w:lineRule="auto"/>
              <w:jc w:val="left"/>
            </w:pPr>
            <w:r>
              <w:rPr>
                <w:sz w:val="17"/>
              </w:rPr>
              <w:t xml:space="preserve">Contrôle par plaque, par QR et par code, mode hors ligne, liste de révocation, journal des contrôles</w:t>
            </w:r>
          </w:p>
        </w:tc>
        <w:tc>
          <w:tcPr>
            <w:shd w:val="clear" w:color="auto" w:fill="F2F9F8"/>
          </w:tcPr>
          <w:p>
            <w:pPr>
              <w:pStyle w:val="Compact"/>
              <w:spacing w:after="20" w:before="20" w:line="240" w:lineRule="auto"/>
              <w:jc w:val="left"/>
            </w:pPr>
            <w:r>
              <w:rPr>
                <w:sz w:val="17"/>
              </w:rPr>
              <w:t xml:space="preserve">R1–R2</w:t>
            </w:r>
          </w:p>
        </w:tc>
      </w:tr>
      <w:tr>
        <w:tc>
          <w:tcPr/>
          <w:p>
            <w:pPr>
              <w:pStyle w:val="Compact"/>
              <w:spacing w:after="20" w:before="20" w:line="240" w:lineRule="auto"/>
              <w:jc w:val="left"/>
            </w:pPr>
            <w:r>
              <w:rPr>
                <w:sz w:val="17"/>
              </w:rPr>
              <w:t xml:space="preserve">Multi-entités</w:t>
            </w:r>
          </w:p>
        </w:tc>
        <w:tc>
          <w:tcPr/>
          <w:p>
            <w:pPr>
              <w:pStyle w:val="Compact"/>
              <w:spacing w:after="20" w:before="20" w:line="240" w:lineRule="auto"/>
              <w:jc w:val="left"/>
            </w:pPr>
            <w:r>
              <w:rPr>
                <w:sz w:val="17"/>
              </w:rPr>
              <w:t xml:space="preserve">Espaces d’entité, cloisonnement, fiches de configuration de module, arbitrage, accords de niveau de service</w:t>
            </w:r>
          </w:p>
        </w:tc>
        <w:tc>
          <w:tcPr/>
          <w:p>
            <w:pPr>
              <w:pStyle w:val="Compact"/>
              <w:spacing w:after="20" w:before="20" w:line="240" w:lineRule="auto"/>
              <w:jc w:val="left"/>
            </w:pPr>
            <w:r>
              <w:rPr>
                <w:sz w:val="17"/>
              </w:rPr>
              <w:t xml:space="preserve">R1–R3</w:t>
            </w:r>
          </w:p>
        </w:tc>
      </w:tr>
    </w:tbl>
    <w:bookmarkEnd w:id="303"/>
    <w:bookmarkStart w:id="304" w:name="épopée-ajoutée-en-version-2.3"/>
    <w:p>
      <w:pPr>
        <w:pStyle w:val="Heading2"/>
      </w:pPr>
      <w:r>
        <w:t xml:space="preserve">42.7 Épopée ajoutée en version 2.3</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Épopée</w:t>
            </w:r>
          </w:p>
        </w:tc>
        <w:tc>
          <w:tcPr>
            <w:shd w:val="clear" w:color="auto" w:fill="1BA996"/>
          </w:tcPr>
          <w:p>
            <w:pPr>
              <w:pStyle w:val="Compact"/>
              <w:spacing w:after="20" w:before="20" w:line="240" w:lineRule="auto"/>
              <w:jc w:val="left"/>
            </w:pPr>
            <w:r>
              <w:rPr>
                <w:b/>
                <w:color w:val="FFFFFF"/>
                <w:sz w:val="17"/>
              </w:rPr>
              <w:t xml:space="preserve">Fonctionnalités prioritaires</w:t>
            </w:r>
          </w:p>
        </w:tc>
        <w:tc>
          <w:tcPr>
            <w:shd w:val="clear" w:color="auto" w:fill="1BA996"/>
          </w:tcPr>
          <w:p>
            <w:pPr>
              <w:pStyle w:val="Compact"/>
              <w:spacing w:after="20" w:before="20" w:line="240" w:lineRule="auto"/>
              <w:jc w:val="left"/>
            </w:pPr>
            <w:r>
              <w:rPr>
                <w:b/>
                <w:color w:val="FFFFFF"/>
                <w:sz w:val="17"/>
              </w:rPr>
              <w:t xml:space="preserve">Release</w:t>
            </w:r>
          </w:p>
        </w:tc>
      </w:tr>
      <w:tr>
        <w:tc>
          <w:tcPr/>
          <w:p>
            <w:pPr>
              <w:pStyle w:val="Compact"/>
              <w:spacing w:after="20" w:before="20" w:line="240" w:lineRule="auto"/>
              <w:jc w:val="left"/>
            </w:pPr>
            <w:r>
              <w:rPr>
                <w:sz w:val="17"/>
              </w:rPr>
              <w:t xml:space="preserve">Répartition des recettes</w:t>
            </w:r>
          </w:p>
        </w:tc>
        <w:tc>
          <w:tcPr/>
          <w:p>
            <w:pPr>
              <w:pStyle w:val="Compact"/>
              <w:spacing w:after="20" w:before="20" w:line="240" w:lineRule="auto"/>
              <w:jc w:val="left"/>
            </w:pPr>
            <w:r>
              <w:rPr>
                <w:sz w:val="17"/>
              </w:rPr>
              <w:t xml:space="preserve">Clé versionnée, calcul sur recettes rapprochées, deux flux, constatation des parts internes, réserve des agents par module, tableau de bord de répartition, régularisations</w:t>
            </w:r>
          </w:p>
        </w:tc>
        <w:tc>
          <w:tcPr/>
          <w:p>
            <w:pPr>
              <w:pStyle w:val="Compact"/>
              <w:spacing w:after="20" w:before="20" w:line="240" w:lineRule="auto"/>
              <w:jc w:val="left"/>
            </w:pPr>
            <w:r>
              <w:rPr>
                <w:sz w:val="17"/>
              </w:rPr>
              <w:t xml:space="preserve">R1</w:t>
            </w:r>
          </w:p>
        </w:tc>
      </w:tr>
    </w:tbl>
    <w:bookmarkEnd w:id="304"/>
    <w:bookmarkStart w:id="305" w:name="épopée-ajoutée-en-version-2.5"/>
    <w:p>
      <w:pPr>
        <w:pStyle w:val="Heading2"/>
      </w:pPr>
      <w:r>
        <w:t xml:space="preserve">42.8 Épopée ajoutée en version 2.5</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Épopée</w:t>
            </w:r>
          </w:p>
        </w:tc>
        <w:tc>
          <w:tcPr>
            <w:shd w:val="clear" w:color="auto" w:fill="1BA996"/>
          </w:tcPr>
          <w:p>
            <w:pPr>
              <w:pStyle w:val="Compact"/>
              <w:spacing w:after="20" w:before="20" w:line="240" w:lineRule="auto"/>
              <w:jc w:val="left"/>
            </w:pPr>
            <w:r>
              <w:rPr>
                <w:b/>
                <w:color w:val="FFFFFF"/>
                <w:sz w:val="17"/>
              </w:rPr>
              <w:t xml:space="preserve">Fonctionnalités prioritaires</w:t>
            </w:r>
          </w:p>
        </w:tc>
        <w:tc>
          <w:tcPr>
            <w:shd w:val="clear" w:color="auto" w:fill="1BA996"/>
          </w:tcPr>
          <w:p>
            <w:pPr>
              <w:pStyle w:val="Compact"/>
              <w:spacing w:after="20" w:before="20" w:line="240" w:lineRule="auto"/>
              <w:jc w:val="left"/>
            </w:pPr>
            <w:r>
              <w:rPr>
                <w:b/>
                <w:color w:val="FFFFFF"/>
                <w:sz w:val="17"/>
              </w:rPr>
              <w:t xml:space="preserve">Release</w:t>
            </w:r>
          </w:p>
        </w:tc>
      </w:tr>
      <w:tr>
        <w:tc>
          <w:tcPr/>
          <w:p>
            <w:pPr>
              <w:pStyle w:val="Compact"/>
              <w:spacing w:after="20" w:before="20" w:line="240" w:lineRule="auto"/>
              <w:jc w:val="left"/>
            </w:pPr>
            <w:r>
              <w:rPr>
                <w:sz w:val="17"/>
              </w:rPr>
              <w:t xml:space="preserve">Invitations et gestion des accès</w:t>
            </w:r>
          </w:p>
        </w:tc>
        <w:tc>
          <w:tcPr/>
          <w:p>
            <w:pPr>
              <w:pStyle w:val="Compact"/>
              <w:spacing w:after="20" w:before="20" w:line="240" w:lineRule="auto"/>
              <w:jc w:val="left"/>
            </w:pPr>
            <w:r>
              <w:rPr>
                <w:sz w:val="17"/>
              </w:rPr>
              <w:t xml:space="preserve">Espaces d’entité, rattachement des modules, invitations en cascade, finalisation par lien d’invitation, inscription assistée par l’opérateur d’accès désigné, niveaux d’accès standard, seconde validation, révocation en cascade, inscription publique réservée aux contribuables</w:t>
            </w:r>
          </w:p>
        </w:tc>
        <w:tc>
          <w:tcPr/>
          <w:p>
            <w:pPr>
              <w:pStyle w:val="Compact"/>
              <w:spacing w:after="20" w:before="20" w:line="240" w:lineRule="auto"/>
              <w:jc w:val="left"/>
            </w:pPr>
            <w:r>
              <w:rPr>
                <w:sz w:val="17"/>
              </w:rPr>
              <w:t xml:space="preserve">R1</w:t>
            </w:r>
          </w:p>
        </w:tc>
      </w:tr>
    </w:tbl>
    <w:bookmarkEnd w:id="305"/>
    <w:bookmarkStart w:id="306" w:name="épopées-ajoutées-en-version-2.7"/>
    <w:p>
      <w:pPr>
        <w:pStyle w:val="Heading2"/>
      </w:pPr>
      <w:r>
        <w:t xml:space="preserve">42.9 Épopées ajoutées en version 2.7</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Épopée</w:t>
            </w:r>
          </w:p>
        </w:tc>
        <w:tc>
          <w:tcPr>
            <w:shd w:val="clear" w:color="auto" w:fill="1BA996"/>
          </w:tcPr>
          <w:p>
            <w:pPr>
              <w:pStyle w:val="Compact"/>
              <w:spacing w:after="20" w:before="20" w:line="240" w:lineRule="auto"/>
              <w:jc w:val="left"/>
            </w:pPr>
            <w:r>
              <w:rPr>
                <w:b/>
                <w:color w:val="FFFFFF"/>
                <w:sz w:val="17"/>
              </w:rPr>
              <w:t xml:space="preserve">Fonctionnalités prioritaires</w:t>
            </w:r>
          </w:p>
        </w:tc>
        <w:tc>
          <w:tcPr>
            <w:shd w:val="clear" w:color="auto" w:fill="1BA996"/>
          </w:tcPr>
          <w:p>
            <w:pPr>
              <w:pStyle w:val="Compact"/>
              <w:spacing w:after="20" w:before="20" w:line="240" w:lineRule="auto"/>
              <w:jc w:val="left"/>
            </w:pPr>
            <w:r>
              <w:rPr>
                <w:b/>
                <w:color w:val="FFFFFF"/>
                <w:sz w:val="17"/>
              </w:rPr>
              <w:t xml:space="preserve">Release</w:t>
            </w:r>
          </w:p>
        </w:tc>
      </w:tr>
      <w:tr>
        <w:tc>
          <w:tcPr/>
          <w:p>
            <w:pPr>
              <w:pStyle w:val="Compact"/>
              <w:spacing w:after="20" w:before="20" w:line="240" w:lineRule="auto"/>
              <w:jc w:val="left"/>
            </w:pPr>
            <w:r>
              <w:rPr>
                <w:sz w:val="17"/>
              </w:rPr>
              <w:t xml:space="preserve">MOSOLO Parking (ParkSmart)</w:t>
            </w:r>
          </w:p>
        </w:tc>
        <w:tc>
          <w:tcPr/>
          <w:p>
            <w:pPr>
              <w:pStyle w:val="Compact"/>
              <w:spacing w:after="20" w:before="20" w:line="240" w:lineRule="auto"/>
              <w:jc w:val="left"/>
            </w:pPr>
            <w:r>
              <w:rPr>
                <w:sz w:val="17"/>
              </w:rPr>
              <w:t xml:space="preserve">Zones, tarification dynamique, titres liés à la plaque, réservations de voirie, constats, LPR (phase suivante)</w:t>
            </w:r>
          </w:p>
        </w:tc>
        <w:tc>
          <w:tcPr/>
          <w:p>
            <w:pPr>
              <w:pStyle w:val="Compact"/>
              <w:spacing w:after="20" w:before="20" w:line="240" w:lineRule="auto"/>
              <w:jc w:val="left"/>
            </w:pPr>
            <w:r>
              <w:rPr>
                <w:sz w:val="17"/>
              </w:rPr>
              <w:t xml:space="preserve">R1–R3</w:t>
            </w:r>
          </w:p>
        </w:tc>
      </w:tr>
      <w:tr>
        <w:tc>
          <w:tcPr>
            <w:shd w:val="clear" w:color="auto" w:fill="F2F9F8"/>
          </w:tcPr>
          <w:p>
            <w:pPr>
              <w:pStyle w:val="Compact"/>
              <w:spacing w:after="20" w:before="20" w:line="240" w:lineRule="auto"/>
              <w:jc w:val="left"/>
            </w:pPr>
            <w:r>
              <w:rPr>
                <w:sz w:val="17"/>
              </w:rPr>
              <w:t xml:space="preserve">Billetterie multi-opérateurs (RakaPay)</w:t>
            </w:r>
          </w:p>
        </w:tc>
        <w:tc>
          <w:tcPr>
            <w:shd w:val="clear" w:color="auto" w:fill="F2F9F8"/>
          </w:tcPr>
          <w:p>
            <w:pPr>
              <w:pStyle w:val="Compact"/>
              <w:spacing w:after="20" w:before="20" w:line="240" w:lineRule="auto"/>
              <w:jc w:val="left"/>
            </w:pPr>
            <w:r>
              <w:rPr>
                <w:sz w:val="17"/>
              </w:rPr>
              <w:t xml:space="preserve">Opérateurs, types de tickets, vente assistée, contrôle QR, pénalités réglementaires</w:t>
            </w:r>
          </w:p>
        </w:tc>
        <w:tc>
          <w:tcPr>
            <w:shd w:val="clear" w:color="auto" w:fill="F2F9F8"/>
          </w:tcPr>
          <w:p>
            <w:pPr>
              <w:pStyle w:val="Compact"/>
              <w:spacing w:after="20" w:before="20" w:line="240" w:lineRule="auto"/>
              <w:jc w:val="left"/>
            </w:pPr>
            <w:r>
              <w:rPr>
                <w:sz w:val="17"/>
              </w:rPr>
              <w:t xml:space="preserve">R1–R2</w:t>
            </w:r>
          </w:p>
        </w:tc>
      </w:tr>
      <w:tr>
        <w:tc>
          <w:tcPr/>
          <w:p>
            <w:pPr>
              <w:pStyle w:val="Compact"/>
              <w:spacing w:after="20" w:before="20" w:line="240" w:lineRule="auto"/>
              <w:jc w:val="left"/>
            </w:pPr>
            <w:r>
              <w:rPr>
                <w:sz w:val="17"/>
              </w:rPr>
              <w:t xml:space="preserve">MOSOLO Advertising (KIN PUB CONTROL)</w:t>
            </w:r>
          </w:p>
        </w:tc>
        <w:tc>
          <w:tcPr/>
          <w:p>
            <w:pPr>
              <w:pStyle w:val="Compact"/>
              <w:spacing w:after="20" w:before="20" w:line="240" w:lineRule="auto"/>
              <w:jc w:val="left"/>
            </w:pPr>
            <w:r>
              <w:rPr>
                <w:sz w:val="17"/>
              </w:rPr>
              <w:t xml:space="preserve">Registre des supports, OCR, dossiers de constat, notifications, tableau de supervision</w:t>
            </w:r>
          </w:p>
        </w:tc>
        <w:tc>
          <w:tcPr/>
          <w:p>
            <w:pPr>
              <w:pStyle w:val="Compact"/>
              <w:spacing w:after="20" w:before="20" w:line="240" w:lineRule="auto"/>
              <w:jc w:val="left"/>
            </w:pPr>
            <w:r>
              <w:rPr>
                <w:sz w:val="17"/>
              </w:rPr>
              <w:t xml:space="preserve">R2</w:t>
            </w:r>
          </w:p>
        </w:tc>
      </w:tr>
      <w:tr>
        <w:tc>
          <w:tcPr>
            <w:shd w:val="clear" w:color="auto" w:fill="F2F9F8"/>
          </w:tcPr>
          <w:p>
            <w:pPr>
              <w:pStyle w:val="Compact"/>
              <w:spacing w:after="20" w:before="20" w:line="240" w:lineRule="auto"/>
              <w:jc w:val="left"/>
            </w:pPr>
            <w:r>
              <w:rPr>
                <w:sz w:val="17"/>
              </w:rPr>
              <w:t xml:space="preserve">MOSOLO AVIA (KIN-AVIA FISCUS)</w:t>
            </w:r>
          </w:p>
        </w:tc>
        <w:tc>
          <w:tcPr>
            <w:shd w:val="clear" w:color="auto" w:fill="F2F9F8"/>
          </w:tcPr>
          <w:p>
            <w:pPr>
              <w:pStyle w:val="Compact"/>
              <w:spacing w:after="20" w:before="20" w:line="240" w:lineRule="auto"/>
              <w:jc w:val="left"/>
            </w:pPr>
            <w:r>
              <w:rPr>
                <w:sz w:val="17"/>
              </w:rPr>
              <w:t xml:space="preserve">RRH, connecteurs BSP/GDS, portail agences, IFA, rapprochement RVA/DGM</w:t>
            </w:r>
          </w:p>
        </w:tc>
        <w:tc>
          <w:tcPr>
            <w:shd w:val="clear" w:color="auto" w:fill="F2F9F8"/>
          </w:tcPr>
          <w:p>
            <w:pPr>
              <w:pStyle w:val="Compact"/>
              <w:spacing w:after="20" w:before="20" w:line="240" w:lineRule="auto"/>
              <w:jc w:val="left"/>
            </w:pPr>
            <w:r>
              <w:rPr>
                <w:sz w:val="17"/>
              </w:rPr>
              <w:t xml:space="preserve">R3–R4</w:t>
            </w:r>
          </w:p>
        </w:tc>
      </w:tr>
      <w:tr>
        <w:tc>
          <w:tcPr/>
          <w:p>
            <w:pPr>
              <w:pStyle w:val="Compact"/>
              <w:spacing w:after="20" w:before="20" w:line="240" w:lineRule="auto"/>
              <w:jc w:val="left"/>
            </w:pPr>
            <w:r>
              <w:rPr>
                <w:sz w:val="17"/>
              </w:rPr>
              <w:t xml:space="preserve">Plaque fiscale NFIU</w:t>
            </w:r>
          </w:p>
        </w:tc>
        <w:tc>
          <w:tcPr/>
          <w:p>
            <w:pPr>
              <w:pStyle w:val="Compact"/>
              <w:spacing w:after="20" w:before="20" w:line="240" w:lineRule="auto"/>
              <w:jc w:val="left"/>
            </w:pPr>
            <w:r>
              <w:rPr>
                <w:sz w:val="17"/>
              </w:rPr>
              <w:t xml:space="preserve">Émission, scan agent, statut occupé/loué, paiement sans smartphone</w:t>
            </w:r>
          </w:p>
        </w:tc>
        <w:tc>
          <w:tcPr/>
          <w:p>
            <w:pPr>
              <w:pStyle w:val="Compact"/>
              <w:spacing w:after="20" w:before="20" w:line="240" w:lineRule="auto"/>
              <w:jc w:val="left"/>
            </w:pPr>
            <w:r>
              <w:rPr>
                <w:sz w:val="17"/>
              </w:rPr>
              <w:t xml:space="preserve">R1–R2</w:t>
            </w:r>
          </w:p>
        </w:tc>
      </w:tr>
      <w:tr>
        <w:tc>
          <w:tcPr>
            <w:shd w:val="clear" w:color="auto" w:fill="F2F9F8"/>
          </w:tcPr>
          <w:p>
            <w:pPr>
              <w:pStyle w:val="Compact"/>
              <w:spacing w:after="20" w:before="20" w:line="240" w:lineRule="auto"/>
              <w:jc w:val="left"/>
            </w:pPr>
            <w:r>
              <w:rPr>
                <w:sz w:val="17"/>
              </w:rPr>
              <w:t xml:space="preserve">CALCU</w:t>
            </w:r>
          </w:p>
        </w:tc>
        <w:tc>
          <w:tcPr>
            <w:shd w:val="clear" w:color="auto" w:fill="F2F9F8"/>
          </w:tcPr>
          <w:p>
            <w:pPr>
              <w:pStyle w:val="Compact"/>
              <w:spacing w:after="20" w:before="20" w:line="240" w:lineRule="auto"/>
              <w:jc w:val="left"/>
            </w:pPr>
            <w:r>
              <w:rPr>
                <w:sz w:val="17"/>
              </w:rPr>
              <w:t xml:space="preserve">Registre des comptes publics, passerelle bancaire, justificatifs, moteur de correspondance, rapports</w:t>
            </w:r>
          </w:p>
        </w:tc>
        <w:tc>
          <w:tcPr>
            <w:shd w:val="clear" w:color="auto" w:fill="F2F9F8"/>
          </w:tcPr>
          <w:p>
            <w:pPr>
              <w:pStyle w:val="Compact"/>
              <w:spacing w:after="20" w:before="20" w:line="240" w:lineRule="auto"/>
              <w:jc w:val="left"/>
            </w:pPr>
            <w:r>
              <w:rPr>
                <w:sz w:val="17"/>
              </w:rPr>
              <w:t xml:space="preserve">R3–R4</w:t>
            </w:r>
          </w:p>
        </w:tc>
      </w:tr>
    </w:tbl>
    <w:bookmarkEnd w:id="306"/>
    <w:bookmarkStart w:id="307" w:name="épopée-ajoutée-en-versions-2.8-et-2.9"/>
    <w:p>
      <w:pPr>
        <w:pStyle w:val="Heading2"/>
      </w:pPr>
      <w:r>
        <w:t xml:space="preserve">42.10 Épopée ajoutée en versions 2.8 et 2.9</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Épopée</w:t>
            </w:r>
          </w:p>
        </w:tc>
        <w:tc>
          <w:tcPr>
            <w:shd w:val="clear" w:color="auto" w:fill="1BA996"/>
          </w:tcPr>
          <w:p>
            <w:pPr>
              <w:pStyle w:val="Compact"/>
              <w:spacing w:after="20" w:before="20" w:line="240" w:lineRule="auto"/>
              <w:jc w:val="left"/>
            </w:pPr>
            <w:r>
              <w:rPr>
                <w:b/>
                <w:color w:val="FFFFFF"/>
                <w:sz w:val="17"/>
              </w:rPr>
              <w:t xml:space="preserve">Fonctionnalités prioritaires</w:t>
            </w:r>
          </w:p>
        </w:tc>
        <w:tc>
          <w:tcPr>
            <w:shd w:val="clear" w:color="auto" w:fill="1BA996"/>
          </w:tcPr>
          <w:p>
            <w:pPr>
              <w:pStyle w:val="Compact"/>
              <w:spacing w:after="20" w:before="20" w:line="240" w:lineRule="auto"/>
              <w:jc w:val="left"/>
            </w:pPr>
            <w:r>
              <w:rPr>
                <w:b/>
                <w:color w:val="FFFFFF"/>
                <w:sz w:val="17"/>
              </w:rPr>
              <w:t xml:space="preserve">Release</w:t>
            </w:r>
          </w:p>
        </w:tc>
      </w:tr>
      <w:tr>
        <w:tc>
          <w:tcPr/>
          <w:p>
            <w:pPr>
              <w:pStyle w:val="Compact"/>
              <w:spacing w:after="20" w:before="20" w:line="240" w:lineRule="auto"/>
              <w:jc w:val="left"/>
            </w:pPr>
            <w:r>
              <w:rPr>
                <w:sz w:val="17"/>
              </w:rPr>
              <w:t xml:space="preserve">Pass wewa (billetterie RakaPay)</w:t>
            </w:r>
          </w:p>
        </w:tc>
        <w:tc>
          <w:tcPr/>
          <w:p>
            <w:pPr>
              <w:pStyle w:val="Compact"/>
              <w:spacing w:after="20" w:before="20" w:line="240" w:lineRule="auto"/>
              <w:jc w:val="left"/>
            </w:pPr>
            <w:r>
              <w:rPr>
                <w:sz w:val="17"/>
              </w:rPr>
              <w:t xml:space="preserve">Registre motos, conducteurs, stations ; pass jour, semaine, mois ; gilet et autocollant QR ; paiement groupé des coopératives ; contrôle protecteur ; vérification par le passager</w:t>
            </w:r>
          </w:p>
        </w:tc>
        <w:tc>
          <w:tcPr/>
          <w:p>
            <w:pPr>
              <w:pStyle w:val="Compact"/>
              <w:spacing w:after="20" w:before="20" w:line="240" w:lineRule="auto"/>
              <w:jc w:val="left"/>
            </w:pPr>
            <w:r>
              <w:rPr>
                <w:sz w:val="17"/>
              </w:rPr>
              <w:t xml:space="preserve">R1–R2</w:t>
            </w:r>
          </w:p>
        </w:tc>
      </w:tr>
    </w:tbl>
    <w:bookmarkEnd w:id="307"/>
    <w:bookmarkEnd w:id="308"/>
    <w:bookmarkStart w:id="309" w:name="plan-de-livraison-par-versions"/>
    <w:p>
      <w:pPr>
        <w:pStyle w:val="Heading1"/>
      </w:pPr>
      <w:r>
        <w:t xml:space="preserve">43. Plan de livraison par versions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726"/>
        <w:gridCol w:w="3756"/>
        <w:gridCol w:w="2233"/>
      </w:tblGrid>
      <w:tr>
        <w:trPr>
          <w:tblHeader w:val="true"/>
          <w:tblHeader/>
        </w:trPr>
        <w:tc>
          <w:tcPr>
            <w:shd w:val="clear" w:color="auto" w:fill="1BA996"/>
          </w:tcPr>
          <w:p>
            <w:pPr>
              <w:pStyle w:val="Compact"/>
              <w:spacing w:after="20" w:before="20" w:line="240" w:lineRule="auto"/>
              <w:jc w:val="left"/>
            </w:pPr>
            <w:r>
              <w:rPr>
                <w:b/>
                <w:bCs/>
                <w:color w:val="FFFFFF"/>
                <w:sz w:val="17"/>
              </w:rPr>
              <w:t xml:space="preserve">Version</w:t>
            </w:r>
          </w:p>
        </w:tc>
        <w:tc>
          <w:tcPr>
            <w:shd w:val="clear" w:color="auto" w:fill="1BA996"/>
          </w:tcPr>
          <w:p>
            <w:pPr>
              <w:pStyle w:val="Compact"/>
              <w:spacing w:after="20" w:before="20" w:line="240" w:lineRule="auto"/>
              <w:jc w:val="left"/>
            </w:pPr>
            <w:r>
              <w:rPr>
                <w:b/>
                <w:bCs/>
                <w:color w:val="FFFFFF"/>
                <w:sz w:val="17"/>
              </w:rPr>
              <w:t xml:space="preserve">Contenu</w:t>
            </w:r>
          </w:p>
        </w:tc>
        <w:tc>
          <w:tcPr>
            <w:shd w:val="clear" w:color="auto" w:fill="1BA996"/>
          </w:tcPr>
          <w:p>
            <w:pPr>
              <w:pStyle w:val="Compact"/>
              <w:spacing w:after="20" w:before="20" w:line="240" w:lineRule="auto"/>
              <w:jc w:val="left"/>
            </w:pPr>
            <w:r>
              <w:rPr>
                <w:b/>
                <w:bCs/>
                <w:color w:val="FFFFFF"/>
                <w:sz w:val="17"/>
              </w:rPr>
              <w:t xml:space="preserve">Public</w:t>
            </w:r>
          </w:p>
        </w:tc>
      </w:tr>
      <w:tr>
        <w:tc>
          <w:tcPr/>
          <w:p>
            <w:pPr>
              <w:pStyle w:val="Compact"/>
              <w:spacing w:after="20" w:before="20" w:line="240" w:lineRule="auto"/>
              <w:jc w:val="left"/>
            </w:pPr>
            <w:r>
              <w:rPr>
                <w:sz w:val="17"/>
              </w:rPr>
              <w:t xml:space="preserve">V0.1 socle</w:t>
            </w:r>
            <w:r>
              <w:rPr>
                <w:sz w:val="17"/>
              </w:rPr>
              <w:t xml:space="preserve"> </w:t>
            </w:r>
            <w:r>
              <w:rPr>
                <w:sz w:val="17"/>
              </w:rPr>
              <w:t xml:space="preserve">interne</w:t>
            </w:r>
          </w:p>
        </w:tc>
        <w:tc>
          <w:tcPr/>
          <w:p>
            <w:pPr>
              <w:pStyle w:val="Compact"/>
              <w:spacing w:after="20" w:before="20" w:line="240" w:lineRule="auto"/>
              <w:jc w:val="left"/>
            </w:pPr>
            <w:r>
              <w:rPr>
                <w:sz w:val="17"/>
              </w:rPr>
              <w:t xml:space="preserve">Identité, objets, référentiel, audit</w:t>
            </w:r>
          </w:p>
        </w:tc>
        <w:tc>
          <w:tcPr/>
          <w:p>
            <w:pPr>
              <w:pStyle w:val="Compact"/>
              <w:spacing w:after="20" w:before="20" w:line="240" w:lineRule="auto"/>
              <w:jc w:val="left"/>
            </w:pPr>
            <w:r>
              <w:rPr>
                <w:sz w:val="17"/>
              </w:rPr>
              <w:t xml:space="preserve">Équipes internes</w:t>
            </w:r>
          </w:p>
        </w:tc>
      </w:tr>
      <w:tr>
        <w:tc>
          <w:tcPr>
            <w:shd w:val="clear" w:color="auto" w:fill="F2F9F8"/>
          </w:tcPr>
          <w:p>
            <w:pPr>
              <w:pStyle w:val="Compact"/>
              <w:spacing w:after="20" w:before="20" w:line="240" w:lineRule="auto"/>
              <w:jc w:val="left"/>
            </w:pPr>
            <w:r>
              <w:rPr>
                <w:sz w:val="17"/>
              </w:rPr>
              <w:t xml:space="preserve">V0.5 pilote</w:t>
            </w:r>
            <w:r>
              <w:rPr>
                <w:sz w:val="17"/>
              </w:rPr>
              <w:t xml:space="preserve"> </w:t>
            </w:r>
            <w:r>
              <w:rPr>
                <w:sz w:val="17"/>
              </w:rPr>
              <w:t xml:space="preserve">restreint</w:t>
            </w:r>
          </w:p>
        </w:tc>
        <w:tc>
          <w:tcPr>
            <w:shd w:val="clear" w:color="auto" w:fill="F2F9F8"/>
          </w:tcPr>
          <w:p>
            <w:pPr>
              <w:pStyle w:val="Compact"/>
              <w:spacing w:after="20" w:before="20" w:line="240" w:lineRule="auto"/>
              <w:jc w:val="left"/>
            </w:pPr>
            <w:r>
              <w:rPr>
                <w:sz w:val="17"/>
              </w:rPr>
              <w:t xml:space="preserve">Déclaration, liquidation, paiement</w:t>
            </w:r>
            <w:r>
              <w:rPr>
                <w:sz w:val="17"/>
              </w:rPr>
              <w:t xml:space="preserve"> </w:t>
            </w:r>
            <w:r>
              <w:rPr>
                <w:sz w:val="17"/>
              </w:rPr>
              <w:t xml:space="preserve">mobile, quittance, application</w:t>
            </w:r>
            <w:r>
              <w:rPr>
                <w:sz w:val="17"/>
              </w:rPr>
              <w:t xml:space="preserve"> </w:t>
            </w:r>
            <w:r>
              <w:rPr>
                <w:sz w:val="17"/>
              </w:rPr>
              <w:t xml:space="preserve">terrain</w:t>
            </w:r>
          </w:p>
        </w:tc>
        <w:tc>
          <w:tcPr>
            <w:shd w:val="clear" w:color="auto" w:fill="F2F9F8"/>
          </w:tcPr>
          <w:p>
            <w:pPr>
              <w:pStyle w:val="Compact"/>
              <w:spacing w:after="20" w:before="20" w:line="240" w:lineRule="auto"/>
              <w:jc w:val="left"/>
            </w:pPr>
            <w:r>
              <w:rPr>
                <w:sz w:val="17"/>
              </w:rPr>
              <w:t xml:space="preserve">Une commune pilote</w:t>
            </w:r>
          </w:p>
        </w:tc>
      </w:tr>
      <w:tr>
        <w:tc>
          <w:tcPr/>
          <w:p>
            <w:pPr>
              <w:pStyle w:val="Compact"/>
              <w:spacing w:after="20" w:before="20" w:line="240" w:lineRule="auto"/>
              <w:jc w:val="left"/>
            </w:pPr>
            <w:r>
              <w:rPr>
                <w:sz w:val="17"/>
              </w:rPr>
              <w:t xml:space="preserve">V1.0 pilote</w:t>
            </w:r>
            <w:r>
              <w:rPr>
                <w:sz w:val="17"/>
              </w:rPr>
              <w:t xml:space="preserve"> </w:t>
            </w:r>
            <w:r>
              <w:rPr>
                <w:sz w:val="17"/>
              </w:rPr>
              <w:t xml:space="preserve">complet</w:t>
            </w:r>
          </w:p>
        </w:tc>
        <w:tc>
          <w:tcPr/>
          <w:p>
            <w:pPr>
              <w:pStyle w:val="Compact"/>
              <w:spacing w:after="20" w:before="20" w:line="240" w:lineRule="auto"/>
              <w:jc w:val="left"/>
            </w:pPr>
            <w:r>
              <w:rPr>
                <w:sz w:val="17"/>
              </w:rPr>
              <w:t xml:space="preserve">Quatre communes, tableaux de bord,</w:t>
            </w:r>
            <w:r>
              <w:rPr>
                <w:sz w:val="17"/>
              </w:rPr>
              <w:t xml:space="preserve"> </w:t>
            </w:r>
            <w:r>
              <w:rPr>
                <w:sz w:val="17"/>
              </w:rPr>
              <w:t xml:space="preserve">rapprochement, recours</w:t>
            </w:r>
          </w:p>
        </w:tc>
        <w:tc>
          <w:tcPr/>
          <w:p>
            <w:pPr>
              <w:pStyle w:val="Compact"/>
              <w:spacing w:after="20" w:before="20" w:line="240" w:lineRule="auto"/>
              <w:jc w:val="left"/>
            </w:pPr>
            <w:r>
              <w:rPr>
                <w:sz w:val="17"/>
              </w:rPr>
              <w:t xml:space="preserve">Régies et</w:t>
            </w:r>
            <w:r>
              <w:rPr>
                <w:sz w:val="17"/>
              </w:rPr>
              <w:t xml:space="preserve"> </w:t>
            </w:r>
            <w:r>
              <w:rPr>
                <w:sz w:val="17"/>
              </w:rPr>
              <w:t xml:space="preserve">Gouvernement</w:t>
            </w:r>
            <w:r>
              <w:rPr>
                <w:sz w:val="17"/>
              </w:rPr>
              <w:t xml:space="preserve"> </w:t>
            </w:r>
            <w:r>
              <w:rPr>
                <w:sz w:val="17"/>
              </w:rPr>
              <w:t xml:space="preserve">provincial</w:t>
            </w:r>
          </w:p>
        </w:tc>
      </w:tr>
      <w:tr>
        <w:tc>
          <w:tcPr>
            <w:shd w:val="clear" w:color="auto" w:fill="F2F9F8"/>
          </w:tcPr>
          <w:p>
            <w:pPr>
              <w:pStyle w:val="Compact"/>
              <w:spacing w:after="20" w:before="20" w:line="240" w:lineRule="auto"/>
              <w:jc w:val="left"/>
            </w:pPr>
            <w:r>
              <w:rPr>
                <w:sz w:val="17"/>
              </w:rPr>
              <w:t xml:space="preserve">V1.5 campagne</w:t>
            </w:r>
          </w:p>
        </w:tc>
        <w:tc>
          <w:tcPr>
            <w:shd w:val="clear" w:color="auto" w:fill="F2F9F8"/>
          </w:tcPr>
          <w:p>
            <w:pPr>
              <w:pStyle w:val="Compact"/>
              <w:spacing w:after="20" w:before="20" w:line="240" w:lineRule="auto"/>
              <w:jc w:val="left"/>
            </w:pPr>
            <w:r>
              <w:rPr>
                <w:sz w:val="17"/>
              </w:rPr>
              <w:t xml:space="preserve">Déclarations pré-remplies, relances,</w:t>
            </w:r>
            <w:r>
              <w:rPr>
                <w:sz w:val="17"/>
              </w:rPr>
              <w:t xml:space="preserve"> </w:t>
            </w:r>
            <w:r>
              <w:rPr>
                <w:sz w:val="17"/>
              </w:rPr>
              <w:t xml:space="preserve">quitus numérique</w:t>
            </w:r>
          </w:p>
        </w:tc>
        <w:tc>
          <w:tcPr>
            <w:shd w:val="clear" w:color="auto" w:fill="F2F9F8"/>
          </w:tcPr>
          <w:p>
            <w:pPr>
              <w:pStyle w:val="Compact"/>
              <w:spacing w:after="20" w:before="20" w:line="240" w:lineRule="auto"/>
              <w:jc w:val="left"/>
            </w:pPr>
            <w:r>
              <w:rPr>
                <w:sz w:val="17"/>
              </w:rPr>
              <w:t xml:space="preserve">Contribuables des</w:t>
            </w:r>
            <w:r>
              <w:rPr>
                <w:sz w:val="17"/>
              </w:rPr>
              <w:t xml:space="preserve"> </w:t>
            </w:r>
            <w:r>
              <w:rPr>
                <w:sz w:val="17"/>
              </w:rPr>
              <w:t xml:space="preserve">communes pilotes</w:t>
            </w:r>
          </w:p>
        </w:tc>
      </w:tr>
      <w:tr>
        <w:tc>
          <w:tcPr/>
          <w:p>
            <w:pPr>
              <w:pStyle w:val="Compact"/>
              <w:spacing w:after="20" w:before="20" w:line="240" w:lineRule="auto"/>
              <w:jc w:val="left"/>
            </w:pPr>
            <w:r>
              <w:rPr>
                <w:sz w:val="17"/>
              </w:rPr>
              <w:t xml:space="preserve">V2.0 extension</w:t>
            </w:r>
          </w:p>
        </w:tc>
        <w:tc>
          <w:tcPr/>
          <w:p>
            <w:pPr>
              <w:pStyle w:val="Compact"/>
              <w:spacing w:after="20" w:before="20" w:line="240" w:lineRule="auto"/>
              <w:jc w:val="left"/>
            </w:pPr>
            <w:r>
              <w:rPr>
                <w:sz w:val="17"/>
              </w:rPr>
              <w:t xml:space="preserve">Nouvelles communes, grands</w:t>
            </w:r>
            <w:r>
              <w:rPr>
                <w:sz w:val="17"/>
              </w:rPr>
              <w:t xml:space="preserve"> </w:t>
            </w:r>
            <w:r>
              <w:rPr>
                <w:sz w:val="17"/>
              </w:rPr>
              <w:t xml:space="preserve">redevables, publicité, antennes,</w:t>
            </w:r>
            <w:r>
              <w:rPr>
                <w:sz w:val="17"/>
              </w:rPr>
              <w:t xml:space="preserve"> </w:t>
            </w:r>
            <w:r>
              <w:rPr>
                <w:sz w:val="17"/>
              </w:rPr>
              <w:t xml:space="preserve">domaine public</w:t>
            </w:r>
          </w:p>
        </w:tc>
        <w:tc>
          <w:tcPr/>
          <w:p>
            <w:pPr>
              <w:pStyle w:val="Compact"/>
              <w:spacing w:after="20" w:before="20" w:line="240" w:lineRule="auto"/>
              <w:jc w:val="left"/>
            </w:pPr>
            <w:r>
              <w:rPr>
                <w:sz w:val="17"/>
              </w:rPr>
              <w:t xml:space="preserve">Ville</w:t>
            </w:r>
          </w:p>
        </w:tc>
      </w:tr>
      <w:tr>
        <w:tc>
          <w:tcPr>
            <w:shd w:val="clear" w:color="auto" w:fill="F2F9F8"/>
          </w:tcPr>
          <w:p>
            <w:pPr>
              <w:pStyle w:val="Compact"/>
              <w:spacing w:after="20" w:before="20" w:line="240" w:lineRule="auto"/>
              <w:jc w:val="left"/>
            </w:pPr>
            <w:r>
              <w:rPr>
                <w:sz w:val="17"/>
              </w:rPr>
              <w:t xml:space="preserve">V2.5</w:t>
            </w:r>
            <w:r>
              <w:rPr>
                <w:sz w:val="17"/>
              </w:rPr>
              <w:t xml:space="preserve"> </w:t>
            </w:r>
            <w:r>
              <w:rPr>
                <w:sz w:val="17"/>
              </w:rPr>
              <w:t xml:space="preserve">intelligence</w:t>
            </w:r>
          </w:p>
        </w:tc>
        <w:tc>
          <w:tcPr>
            <w:shd w:val="clear" w:color="auto" w:fill="F2F9F8"/>
          </w:tcPr>
          <w:p>
            <w:pPr>
              <w:pStyle w:val="Compact"/>
              <w:spacing w:after="20" w:before="20" w:line="240" w:lineRule="auto"/>
              <w:jc w:val="left"/>
            </w:pPr>
            <w:r>
              <w:rPr>
                <w:sz w:val="17"/>
              </w:rPr>
              <w:t xml:space="preserve">Agents IA de priorisation,</w:t>
            </w:r>
            <w:r>
              <w:rPr>
                <w:sz w:val="17"/>
              </w:rPr>
              <w:t xml:space="preserve"> </w:t>
            </w:r>
            <w:r>
              <w:rPr>
                <w:sz w:val="17"/>
              </w:rPr>
              <w:t xml:space="preserve">prévision, détection de fraude</w:t>
            </w:r>
          </w:p>
        </w:tc>
        <w:tc>
          <w:tcPr>
            <w:shd w:val="clear" w:color="auto" w:fill="F2F9F8"/>
          </w:tcPr>
          <w:p>
            <w:pPr>
              <w:pStyle w:val="Compact"/>
              <w:spacing w:after="20" w:before="20" w:line="240" w:lineRule="auto"/>
              <w:jc w:val="left"/>
            </w:pPr>
            <w:r>
              <w:rPr>
                <w:sz w:val="17"/>
              </w:rPr>
              <w:t xml:space="preserve">Régies et audit</w:t>
            </w:r>
          </w:p>
        </w:tc>
      </w:tr>
      <w:tr>
        <w:tc>
          <w:tcPr/>
          <w:p>
            <w:pPr>
              <w:pStyle w:val="Compact"/>
              <w:spacing w:after="20" w:before="20" w:line="240" w:lineRule="auto"/>
              <w:jc w:val="left"/>
            </w:pPr>
            <w:r>
              <w:rPr>
                <w:sz w:val="17"/>
              </w:rPr>
              <w:t xml:space="preserve">V3.0</w:t>
            </w:r>
            <w:r>
              <w:rPr>
                <w:sz w:val="17"/>
              </w:rPr>
              <w:t xml:space="preserve"> </w:t>
            </w:r>
            <w:r>
              <w:rPr>
                <w:sz w:val="17"/>
              </w:rPr>
              <w:t xml:space="preserve">généralisation</w:t>
            </w:r>
          </w:p>
        </w:tc>
        <w:tc>
          <w:tcPr/>
          <w:p>
            <w:pPr>
              <w:pStyle w:val="Compact"/>
              <w:spacing w:after="20" w:before="20" w:line="240" w:lineRule="auto"/>
              <w:jc w:val="left"/>
            </w:pPr>
            <w:r>
              <w:rPr>
                <w:sz w:val="17"/>
              </w:rPr>
              <w:t xml:space="preserve">24 communes, affectation et</w:t>
            </w:r>
            <w:r>
              <w:rPr>
                <w:sz w:val="17"/>
              </w:rPr>
              <w:t xml:space="preserve"> </w:t>
            </w:r>
            <w:r>
              <w:rPr>
                <w:sz w:val="17"/>
              </w:rPr>
              <w:t xml:space="preserve">transparence publique</w:t>
            </w:r>
          </w:p>
        </w:tc>
        <w:tc>
          <w:tcPr/>
          <w:p>
            <w:pPr>
              <w:pStyle w:val="Compact"/>
              <w:spacing w:after="20" w:before="20" w:line="240" w:lineRule="auto"/>
              <w:jc w:val="left"/>
            </w:pPr>
            <w:r>
              <w:rPr>
                <w:sz w:val="17"/>
              </w:rPr>
              <w:t xml:space="preserve">Ville et public</w:t>
            </w:r>
          </w:p>
        </w:tc>
      </w:tr>
    </w:tbl>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Release</w:t>
            </w:r>
          </w:p>
        </w:tc>
        <w:tc>
          <w:tcPr>
            <w:shd w:val="clear" w:color="auto" w:fill="1BA996"/>
          </w:tcPr>
          <w:p>
            <w:pPr>
              <w:pStyle w:val="Compact"/>
              <w:spacing w:after="20" w:before="20" w:line="240" w:lineRule="auto"/>
              <w:jc w:val="left"/>
            </w:pPr>
            <w:r>
              <w:rPr>
                <w:b/>
                <w:color w:val="FFFFFF"/>
                <w:sz w:val="17"/>
              </w:rPr>
              <w:t xml:space="preserve">Versions correspondantes</w:t>
            </w:r>
          </w:p>
        </w:tc>
      </w:tr>
      <w:tr>
        <w:tc>
          <w:tcPr/>
          <w:p>
            <w:pPr>
              <w:pStyle w:val="Compact"/>
              <w:spacing w:after="20" w:before="20" w:line="240" w:lineRule="auto"/>
              <w:jc w:val="left"/>
            </w:pPr>
            <w:r>
              <w:rPr>
                <w:sz w:val="17"/>
              </w:rPr>
              <w:t xml:space="preserve">R1</w:t>
            </w:r>
          </w:p>
        </w:tc>
        <w:tc>
          <w:tcPr/>
          <w:p>
            <w:pPr>
              <w:pStyle w:val="Compact"/>
              <w:spacing w:after="20" w:before="20" w:line="240" w:lineRule="auto"/>
              <w:jc w:val="left"/>
            </w:pPr>
            <w:r>
              <w:rPr>
                <w:sz w:val="17"/>
              </w:rPr>
              <w:t xml:space="preserve">V0.1 socle interne, V0.5 pilote restreint, V1.0 pilote complet</w:t>
            </w:r>
          </w:p>
        </w:tc>
      </w:tr>
      <w:tr>
        <w:tc>
          <w:tcPr>
            <w:shd w:val="clear" w:color="auto" w:fill="F2F9F8"/>
          </w:tcPr>
          <w:p>
            <w:pPr>
              <w:pStyle w:val="Compact"/>
              <w:spacing w:after="20" w:before="20" w:line="240" w:lineRule="auto"/>
              <w:jc w:val="left"/>
            </w:pPr>
            <w:r>
              <w:rPr>
                <w:sz w:val="17"/>
              </w:rPr>
              <w:t xml:space="preserve">R2</w:t>
            </w:r>
          </w:p>
        </w:tc>
        <w:tc>
          <w:tcPr>
            <w:shd w:val="clear" w:color="auto" w:fill="F2F9F8"/>
          </w:tcPr>
          <w:p>
            <w:pPr>
              <w:pStyle w:val="Compact"/>
              <w:spacing w:after="20" w:before="20" w:line="240" w:lineRule="auto"/>
              <w:jc w:val="left"/>
            </w:pPr>
            <w:r>
              <w:rPr>
                <w:sz w:val="17"/>
              </w:rPr>
              <w:t xml:space="preserve">V1.5 campagne, V2.0 extension</w:t>
            </w:r>
          </w:p>
        </w:tc>
      </w:tr>
      <w:tr>
        <w:tc>
          <w:tcPr/>
          <w:p>
            <w:pPr>
              <w:pStyle w:val="Compact"/>
              <w:spacing w:after="20" w:before="20" w:line="240" w:lineRule="auto"/>
              <w:jc w:val="left"/>
            </w:pPr>
            <w:r>
              <w:rPr>
                <w:sz w:val="17"/>
              </w:rPr>
              <w:t xml:space="preserve">R3</w:t>
            </w:r>
          </w:p>
        </w:tc>
        <w:tc>
          <w:tcPr/>
          <w:p>
            <w:pPr>
              <w:pStyle w:val="Compact"/>
              <w:spacing w:after="20" w:before="20" w:line="240" w:lineRule="auto"/>
              <w:jc w:val="left"/>
            </w:pPr>
            <w:r>
              <w:rPr>
                <w:sz w:val="17"/>
              </w:rPr>
              <w:t xml:space="preserve">V2.5 intelligence</w:t>
            </w:r>
          </w:p>
        </w:tc>
      </w:tr>
      <w:tr>
        <w:tc>
          <w:tcPr>
            <w:shd w:val="clear" w:color="auto" w:fill="F2F9F8"/>
          </w:tcPr>
          <w:p>
            <w:pPr>
              <w:pStyle w:val="Compact"/>
              <w:spacing w:after="20" w:before="20" w:line="240" w:lineRule="auto"/>
              <w:jc w:val="left"/>
            </w:pPr>
            <w:r>
              <w:rPr>
                <w:sz w:val="17"/>
              </w:rPr>
              <w:t xml:space="preserve">R4</w:t>
            </w:r>
          </w:p>
        </w:tc>
        <w:tc>
          <w:tcPr>
            <w:shd w:val="clear" w:color="auto" w:fill="F2F9F8"/>
          </w:tcPr>
          <w:p>
            <w:pPr>
              <w:pStyle w:val="Compact"/>
              <w:spacing w:after="20" w:before="20" w:line="240" w:lineRule="auto"/>
              <w:jc w:val="left"/>
            </w:pPr>
            <w:r>
              <w:rPr>
                <w:sz w:val="17"/>
              </w:rPr>
              <w:t xml:space="preserve">V3.0 généralisation et verticales suivantes</w:t>
            </w:r>
          </w:p>
        </w:tc>
      </w:tr>
    </w:tbl>
    <w:bookmarkEnd w:id="309"/>
    <w:bookmarkStart w:id="310" w:name="stratégie-de-tests"/>
    <w:p>
      <w:pPr>
        <w:pStyle w:val="Heading1"/>
      </w:pPr>
      <w:r>
        <w:t xml:space="preserve">44. Stratégie de tests</w:t>
      </w:r>
    </w:p>
    <w:p>
      <w:pPr>
        <w:numPr>
          <w:ilvl w:val="0"/>
          <w:numId w:val="1080"/>
        </w:numPr>
      </w:pPr>
      <w:r>
        <w:t xml:space="preserve">Tests unitaires et d'intégration sur le moteur de règles, avec jeux</w:t>
      </w:r>
      <w:r>
        <w:t xml:space="preserve"> </w:t>
      </w:r>
      <w:r>
        <w:t xml:space="preserve">de cas juridiques validés par les juristes provinciaux.</w:t>
      </w:r>
    </w:p>
    <w:p>
      <w:pPr>
        <w:numPr>
          <w:ilvl w:val="0"/>
          <w:numId w:val="1080"/>
        </w:numPr>
      </w:pPr>
      <w:r>
        <w:t xml:space="preserve">Tests de liquidation comparés à des dossiers réels anonymisés des</w:t>
      </w:r>
      <w:r>
        <w:t xml:space="preserve"> </w:t>
      </w:r>
      <w:r>
        <w:t xml:space="preserve">campagnes précédentes.</w:t>
      </w:r>
    </w:p>
    <w:p>
      <w:pPr>
        <w:numPr>
          <w:ilvl w:val="0"/>
          <w:numId w:val="1080"/>
        </w:numPr>
      </w:pPr>
      <w:r>
        <w:t xml:space="preserve">Tests de bout en bout du paiement avec chaque prestataire, en</w:t>
      </w:r>
      <w:r>
        <w:t xml:space="preserve"> </w:t>
      </w:r>
      <w:r>
        <w:t xml:space="preserve">environnement de recette, y compris scénarios d'échec, de doublon</w:t>
      </w:r>
      <w:r>
        <w:t xml:space="preserve"> </w:t>
      </w:r>
      <w:r>
        <w:t xml:space="preserve">et de rappel frauduleux.</w:t>
      </w:r>
    </w:p>
    <w:p>
      <w:pPr>
        <w:numPr>
          <w:ilvl w:val="0"/>
          <w:numId w:val="1080"/>
        </w:numPr>
      </w:pPr>
      <w:r>
        <w:t xml:space="preserve">Tests de charge calés sur les pics de campagne de fin janvier.</w:t>
      </w:r>
    </w:p>
    <w:p>
      <w:pPr>
        <w:numPr>
          <w:ilvl w:val="0"/>
          <w:numId w:val="1080"/>
        </w:numPr>
      </w:pPr>
      <w:r>
        <w:t xml:space="preserve">Tests hors ligne : journée complète sans réseau, perte d'appareil,</w:t>
      </w:r>
      <w:r>
        <w:t xml:space="preserve"> </w:t>
      </w:r>
      <w:r>
        <w:t xml:space="preserve">conflit de synchronisation.</w:t>
      </w:r>
    </w:p>
    <w:p>
      <w:pPr>
        <w:numPr>
          <w:ilvl w:val="0"/>
          <w:numId w:val="1080"/>
        </w:numPr>
      </w:pPr>
      <w:r>
        <w:t xml:space="preserve">Tests de sécurité : intrusion externe, élévation de privilèges,</w:t>
      </w:r>
      <w:r>
        <w:t xml:space="preserve"> </w:t>
      </w:r>
      <w:r>
        <w:t xml:space="preserve">tentative d'altération du journal d'audit, exfiltration massive.</w:t>
      </w:r>
    </w:p>
    <w:p>
      <w:pPr>
        <w:numPr>
          <w:ilvl w:val="0"/>
          <w:numId w:val="1080"/>
        </w:numPr>
      </w:pPr>
      <w:r>
        <w:t xml:space="preserve">Tests d'accessibilité et d'usage sur terminaux d'entrée de gamme</w:t>
      </w:r>
      <w:r>
        <w:t xml:space="preserve"> </w:t>
      </w:r>
      <w:r>
        <w:t xml:space="preserve">et connexions lentes.</w:t>
      </w:r>
    </w:p>
    <w:p>
      <w:pPr>
        <w:numPr>
          <w:ilvl w:val="0"/>
          <w:numId w:val="1080"/>
        </w:numPr>
      </w:pPr>
      <w:r>
        <w:t xml:space="preserve">Recette utilisateur avec agents réels dans une commune, avant toute</w:t>
      </w:r>
      <w:r>
        <w:t xml:space="preserve"> </w:t>
      </w:r>
      <w:r>
        <w:t xml:space="preserve">mise en production.</w:t>
      </w:r>
    </w:p>
    <w:p>
      <w:pPr>
        <w:numPr>
          <w:ilvl w:val="0"/>
          <w:numId w:val="1080"/>
        </w:numPr>
      </w:pPr>
      <w:r>
        <w:t xml:space="preserve">Répétition de la reprise après sinistre avec restauration complète</w:t>
      </w:r>
      <w:r>
        <w:t xml:space="preserve"> </w:t>
      </w:r>
      <w:r>
        <w:t xml:space="preserve">et vérification d'intégrité.</w:t>
      </w:r>
    </w:p>
    <w:p>
      <w:pPr>
        <w:pStyle w:val="FirstParagraph"/>
      </w:pPr>
      <w:r>
        <w:t xml:space="preserve">Chaque livraison combine tests unitaires, d’intégration, de sécurité, recette utilisateur, cas négatifs et test de retour arrière (rollback).</w:t>
      </w:r>
    </w:p>
    <w:p>
      <w:pPr>
        <w:numPr>
          <w:ilvl w:val="0"/>
          <w:numId w:val="1081"/>
        </w:numPr>
      </w:pPr>
      <w:r>
        <w:t xml:space="preserve">Tests d’usage avec des personnes non alphabétisées et avec des téléphones basiques, dans chaque langue retenue pour le SVI.</w:t>
      </w:r>
    </w:p>
    <w:p>
      <w:pPr>
        <w:numPr>
          <w:ilvl w:val="0"/>
          <w:numId w:val="1081"/>
        </w:numPr>
      </w:pPr>
      <w:r>
        <w:t xml:space="preserve">Tests de paiement en espèces de bout en bout chez chaque type de point agréé, y compris retard de règlement et tentative de modification du montant.</w:t>
      </w:r>
    </w:p>
    <w:p>
      <w:pPr>
        <w:numPr>
          <w:ilvl w:val="0"/>
          <w:numId w:val="1081"/>
        </w:numPr>
      </w:pPr>
      <w:r>
        <w:t xml:space="preserve">Tests de gestion d’équipes : invitation, habilitation, affectation hors lot refusée, révocation en masse d’un sous-traitant.</w:t>
      </w:r>
    </w:p>
    <w:p>
      <w:pPr>
        <w:numPr>
          <w:ilvl w:val="0"/>
          <w:numId w:val="1081"/>
        </w:numPr>
      </w:pPr>
      <w:r>
        <w:t xml:space="preserve">Tests des titres : passage vert → ambre → rouge à l’heure du serveur, horloge client volontairement faussée, capture d’écran de QR dynamique, réutilisation d’un titre à usage unique en ligne et hors ligne.</w:t>
      </w:r>
    </w:p>
    <w:p>
      <w:pPr>
        <w:numPr>
          <w:ilvl w:val="0"/>
          <w:numId w:val="1081"/>
        </w:numPr>
      </w:pPr>
      <w:r>
        <w:t xml:space="preserve">Tests multi-entités : tentative d’accès d’une entité au périmètre d’une autre, double revendication d’un même fait générateur, activation d’un module à partir d’une fiche de configuration.</w:t>
      </w:r>
    </w:p>
    <w:bookmarkEnd w:id="310"/>
    <w:bookmarkStart w:id="317" w:name="plan-de-pilote-de-180-jours"/>
    <w:p>
      <w:pPr>
        <w:pStyle w:val="Heading1"/>
      </w:pPr>
      <w:r>
        <w:t xml:space="preserve">45. Plan de pilote de 180 jours</w:t>
      </w:r>
    </w:p>
    <w:bookmarkStart w:id="311" w:name="communes-proposées"/>
    <w:p>
      <w:pPr>
        <w:pStyle w:val="Heading2"/>
      </w:pPr>
      <w:r>
        <w:t xml:space="preserve">45.1 Communes proposées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458"/>
        <w:gridCol w:w="3438"/>
        <w:gridCol w:w="2813"/>
      </w:tblGrid>
      <w:tr>
        <w:trPr>
          <w:tblHeader w:val="true"/>
          <w:tblHeader/>
        </w:trPr>
        <w:tc>
          <w:tcPr>
            <w:shd w:val="clear" w:color="auto" w:fill="1BA996"/>
          </w:tcPr>
          <w:p>
            <w:pPr>
              <w:pStyle w:val="Compact"/>
              <w:spacing w:after="20" w:before="20" w:line="240" w:lineRule="auto"/>
              <w:jc w:val="left"/>
            </w:pPr>
            <w:r>
              <w:rPr>
                <w:b/>
                <w:bCs/>
                <w:color w:val="FFFFFF"/>
                <w:sz w:val="17"/>
              </w:rPr>
              <w:t xml:space="preserve">Commune</w:t>
            </w:r>
          </w:p>
        </w:tc>
        <w:tc>
          <w:tcPr>
            <w:shd w:val="clear" w:color="auto" w:fill="1BA996"/>
          </w:tcPr>
          <w:p>
            <w:pPr>
              <w:pStyle w:val="Compact"/>
              <w:spacing w:after="20" w:before="20" w:line="240" w:lineRule="auto"/>
              <w:jc w:val="left"/>
            </w:pPr>
            <w:r>
              <w:rPr>
                <w:b/>
                <w:bCs/>
                <w:color w:val="FFFFFF"/>
                <w:sz w:val="17"/>
              </w:rPr>
              <w:t xml:space="preserve">Raison du choix</w:t>
            </w:r>
          </w:p>
        </w:tc>
        <w:tc>
          <w:tcPr>
            <w:shd w:val="clear" w:color="auto" w:fill="1BA996"/>
          </w:tcPr>
          <w:p>
            <w:pPr>
              <w:pStyle w:val="Compact"/>
              <w:spacing w:after="20" w:before="20" w:line="240" w:lineRule="auto"/>
              <w:jc w:val="left"/>
            </w:pPr>
            <w:r>
              <w:rPr>
                <w:b/>
                <w:bCs/>
                <w:color w:val="FFFFFF"/>
                <w:sz w:val="17"/>
              </w:rPr>
              <w:t xml:space="preserve">Objets prioritaires</w:t>
            </w:r>
          </w:p>
        </w:tc>
      </w:tr>
      <w:tr>
        <w:tc>
          <w:tcPr/>
          <w:p>
            <w:pPr>
              <w:pStyle w:val="Compact"/>
              <w:spacing w:after="20" w:before="20" w:line="240" w:lineRule="auto"/>
              <w:jc w:val="left"/>
            </w:pPr>
            <w:r>
              <w:rPr>
                <w:sz w:val="17"/>
              </w:rPr>
              <w:t xml:space="preserve">Gombe</w:t>
            </w:r>
          </w:p>
        </w:tc>
        <w:tc>
          <w:tcPr/>
          <w:p>
            <w:pPr>
              <w:pStyle w:val="Compact"/>
              <w:spacing w:after="20" w:before="20" w:line="240" w:lineRule="auto"/>
              <w:jc w:val="left"/>
            </w:pPr>
            <w:r>
              <w:rPr>
                <w:sz w:val="17"/>
              </w:rPr>
              <w:t xml:space="preserve">Localité de premier rang,</w:t>
            </w:r>
            <w:r>
              <w:rPr>
                <w:sz w:val="17"/>
              </w:rPr>
              <w:t xml:space="preserve"> </w:t>
            </w:r>
            <w:r>
              <w:rPr>
                <w:sz w:val="17"/>
              </w:rPr>
              <w:t xml:space="preserve">bureaux, forte valeur locative,</w:t>
            </w:r>
            <w:r>
              <w:rPr>
                <w:sz w:val="17"/>
              </w:rPr>
              <w:t xml:space="preserve"> </w:t>
            </w:r>
            <w:r>
              <w:rPr>
                <w:sz w:val="17"/>
              </w:rPr>
              <w:t xml:space="preserve">publicité, point fluvial</w:t>
            </w:r>
          </w:p>
        </w:tc>
        <w:tc>
          <w:tcPr/>
          <w:p>
            <w:pPr>
              <w:pStyle w:val="Compact"/>
              <w:spacing w:after="20" w:before="20" w:line="240" w:lineRule="auto"/>
              <w:jc w:val="left"/>
            </w:pPr>
            <w:r>
              <w:rPr>
                <w:sz w:val="17"/>
              </w:rPr>
              <w:t xml:space="preserve">IRL, IF, publicité,</w:t>
            </w:r>
            <w:r>
              <w:rPr>
                <w:sz w:val="17"/>
              </w:rPr>
              <w:t xml:space="preserve"> </w:t>
            </w:r>
            <w:r>
              <w:rPr>
                <w:sz w:val="17"/>
              </w:rPr>
              <w:t xml:space="preserve">embarquement</w:t>
            </w:r>
          </w:p>
        </w:tc>
      </w:tr>
      <w:tr>
        <w:tc>
          <w:tcPr>
            <w:shd w:val="clear" w:color="auto" w:fill="F2F9F8"/>
          </w:tcPr>
          <w:p>
            <w:pPr>
              <w:pStyle w:val="Compact"/>
              <w:spacing w:after="20" w:before="20" w:line="240" w:lineRule="auto"/>
              <w:jc w:val="left"/>
            </w:pPr>
            <w:r>
              <w:rPr>
                <w:sz w:val="17"/>
              </w:rPr>
              <w:t xml:space="preserve">Limete</w:t>
            </w:r>
          </w:p>
        </w:tc>
        <w:tc>
          <w:tcPr>
            <w:shd w:val="clear" w:color="auto" w:fill="F2F9F8"/>
          </w:tcPr>
          <w:p>
            <w:pPr>
              <w:pStyle w:val="Compact"/>
              <w:spacing w:after="20" w:before="20" w:line="240" w:lineRule="auto"/>
              <w:jc w:val="left"/>
            </w:pPr>
            <w:r>
              <w:rPr>
                <w:sz w:val="17"/>
              </w:rPr>
              <w:t xml:space="preserve">Tissu industriel et logistique,</w:t>
            </w:r>
            <w:r>
              <w:rPr>
                <w:sz w:val="17"/>
              </w:rPr>
              <w:t xml:space="preserve"> </w:t>
            </w:r>
            <w:r>
              <w:rPr>
                <w:sz w:val="17"/>
              </w:rPr>
              <w:t xml:space="preserve">entrepôts, poids lourds</w:t>
            </w:r>
          </w:p>
        </w:tc>
        <w:tc>
          <w:tcPr>
            <w:shd w:val="clear" w:color="auto" w:fill="F2F9F8"/>
          </w:tcPr>
          <w:p>
            <w:pPr>
              <w:pStyle w:val="Compact"/>
              <w:spacing w:after="20" w:before="20" w:line="240" w:lineRule="auto"/>
              <w:jc w:val="left"/>
            </w:pPr>
            <w:r>
              <w:rPr>
                <w:sz w:val="17"/>
              </w:rPr>
              <w:t xml:space="preserve">IF, patente, véhicules,</w:t>
            </w:r>
            <w:r>
              <w:rPr>
                <w:sz w:val="17"/>
              </w:rPr>
              <w:t xml:space="preserve"> </w:t>
            </w:r>
            <w:r>
              <w:rPr>
                <w:sz w:val="17"/>
              </w:rPr>
              <w:t xml:space="preserve">domaine public</w:t>
            </w:r>
          </w:p>
        </w:tc>
      </w:tr>
      <w:tr>
        <w:tc>
          <w:tcPr/>
          <w:p>
            <w:pPr>
              <w:pStyle w:val="Compact"/>
              <w:spacing w:after="20" w:before="20" w:line="240" w:lineRule="auto"/>
              <w:jc w:val="left"/>
            </w:pPr>
            <w:r>
              <w:rPr>
                <w:sz w:val="17"/>
              </w:rPr>
              <w:t xml:space="preserve">Kalamu</w:t>
            </w:r>
          </w:p>
        </w:tc>
        <w:tc>
          <w:tcPr/>
          <w:p>
            <w:pPr>
              <w:pStyle w:val="Compact"/>
              <w:spacing w:after="20" w:before="20" w:line="240" w:lineRule="auto"/>
              <w:jc w:val="left"/>
            </w:pPr>
            <w:r>
              <w:rPr>
                <w:sz w:val="17"/>
              </w:rPr>
              <w:t xml:space="preserve">Commerce dense de Matonge,</w:t>
            </w:r>
            <w:r>
              <w:rPr>
                <w:sz w:val="17"/>
              </w:rPr>
              <w:t xml:space="preserve"> </w:t>
            </w:r>
            <w:r>
              <w:rPr>
                <w:sz w:val="17"/>
              </w:rPr>
              <w:t xml:space="preserve">habitat locatif compact</w:t>
            </w:r>
          </w:p>
        </w:tc>
        <w:tc>
          <w:tcPr/>
          <w:p>
            <w:pPr>
              <w:pStyle w:val="Compact"/>
              <w:spacing w:after="20" w:before="20" w:line="240" w:lineRule="auto"/>
              <w:jc w:val="left"/>
            </w:pPr>
            <w:r>
              <w:rPr>
                <w:sz w:val="17"/>
              </w:rPr>
              <w:t xml:space="preserve">IRL, patente, débits de</w:t>
            </w:r>
            <w:r>
              <w:rPr>
                <w:sz w:val="17"/>
              </w:rPr>
              <w:t xml:space="preserve"> </w:t>
            </w:r>
            <w:r>
              <w:rPr>
                <w:sz w:val="17"/>
              </w:rPr>
              <w:t xml:space="preserve">boissons</w:t>
            </w:r>
          </w:p>
        </w:tc>
      </w:tr>
      <w:tr>
        <w:tc>
          <w:tcPr>
            <w:shd w:val="clear" w:color="auto" w:fill="F2F9F8"/>
          </w:tcPr>
          <w:p>
            <w:pPr>
              <w:pStyle w:val="Compact"/>
              <w:spacing w:after="20" w:before="20" w:line="240" w:lineRule="auto"/>
              <w:jc w:val="left"/>
            </w:pPr>
            <w:r>
              <w:rPr>
                <w:sz w:val="17"/>
              </w:rPr>
              <w:t xml:space="preserve">Ngaliema</w:t>
            </w:r>
          </w:p>
        </w:tc>
        <w:tc>
          <w:tcPr>
            <w:shd w:val="clear" w:color="auto" w:fill="F2F9F8"/>
          </w:tcPr>
          <w:p>
            <w:pPr>
              <w:pStyle w:val="Compact"/>
              <w:spacing w:after="20" w:before="20" w:line="240" w:lineRule="auto"/>
              <w:jc w:val="left"/>
            </w:pPr>
            <w:r>
              <w:rPr>
                <w:sz w:val="17"/>
              </w:rPr>
              <w:t xml:space="preserve">Habitat résidentiel de valeur</w:t>
            </w:r>
            <w:r>
              <w:rPr>
                <w:sz w:val="17"/>
              </w:rPr>
              <w:t xml:space="preserve"> </w:t>
            </w:r>
            <w:r>
              <w:rPr>
                <w:sz w:val="17"/>
              </w:rPr>
              <w:t xml:space="preserve">élevée, bailleurs</w:t>
            </w:r>
            <w:r>
              <w:rPr>
                <w:sz w:val="17"/>
              </w:rPr>
              <w:t xml:space="preserve"> </w:t>
            </w:r>
            <w:r>
              <w:rPr>
                <w:sz w:val="17"/>
              </w:rPr>
              <w:t xml:space="preserve">institutionnels</w:t>
            </w:r>
          </w:p>
        </w:tc>
        <w:tc>
          <w:tcPr>
            <w:shd w:val="clear" w:color="auto" w:fill="F2F9F8"/>
          </w:tcPr>
          <w:p>
            <w:pPr>
              <w:pStyle w:val="Compact"/>
              <w:spacing w:after="20" w:before="20" w:line="240" w:lineRule="auto"/>
              <w:jc w:val="left"/>
            </w:pPr>
            <w:r>
              <w:rPr>
                <w:sz w:val="17"/>
              </w:rPr>
              <w:t xml:space="preserve">IRL, IF</w:t>
            </w:r>
          </w:p>
        </w:tc>
      </w:tr>
    </w:tbl>
    <w:bookmarkEnd w:id="311"/>
    <w:bookmarkStart w:id="312" w:name="séquence"/>
    <w:p>
      <w:pPr>
        <w:pStyle w:val="Heading2"/>
      </w:pPr>
      <w:r>
        <w:t xml:space="preserve">45.2 Séquence</w:t>
      </w:r>
    </w:p>
    <w:p>
      <w:pPr>
        <w:pStyle w:val="BlockText"/>
      </w:pPr>
      <w:r>
        <w:rPr>
          <w:b/>
          <w:bCs/>
        </w:rPr>
        <w:t xml:space="preserve">1.</w:t>
      </w:r>
      <w:r>
        <w:t xml:space="preserve"> </w:t>
      </w:r>
      <w:r>
        <w:t xml:space="preserve">Semaines 1 à 4 : paramétrage du référentiel des recettes</w:t>
      </w:r>
      <w:r>
        <w:t xml:space="preserve"> </w:t>
      </w:r>
      <w:r>
        <w:t xml:space="preserve">pilotes, conventions de données, recrutement et certification des</w:t>
      </w:r>
      <w:r>
        <w:t xml:space="preserve"> </w:t>
      </w:r>
      <w:r>
        <w:t xml:space="preserve">agents.</w:t>
      </w:r>
    </w:p>
    <w:p>
      <w:pPr>
        <w:pStyle w:val="BlockText"/>
      </w:pPr>
      <w:r>
        <w:rPr>
          <w:b/>
          <w:bCs/>
        </w:rPr>
        <w:t xml:space="preserve">2.</w:t>
      </w:r>
      <w:r>
        <w:t xml:space="preserve"> </w:t>
      </w:r>
      <w:r>
        <w:t xml:space="preserve">Semaines 5 à 12 : recensement locatif et commercial, création</w:t>
      </w:r>
      <w:r>
        <w:t xml:space="preserve"> </w:t>
      </w:r>
      <w:r>
        <w:t xml:space="preserve">des objets, plaques QR sur les commerces et panneaux.</w:t>
      </w:r>
    </w:p>
    <w:p>
      <w:pPr>
        <w:pStyle w:val="BlockText"/>
      </w:pPr>
      <w:r>
        <w:rPr>
          <w:b/>
          <w:bCs/>
        </w:rPr>
        <w:t xml:space="preserve">3.</w:t>
      </w:r>
      <w:r>
        <w:t xml:space="preserve"> </w:t>
      </w:r>
      <w:r>
        <w:t xml:space="preserve">Semaines 13 à 16 : ouverture des paiements électroniques,</w:t>
      </w:r>
      <w:r>
        <w:t xml:space="preserve"> </w:t>
      </w:r>
      <w:r>
        <w:t xml:space="preserve">quittance vérifiable, assistance en centres communaux.</w:t>
      </w:r>
    </w:p>
    <w:p>
      <w:pPr>
        <w:pStyle w:val="BlockText"/>
      </w:pPr>
      <w:r>
        <w:rPr>
          <w:b/>
          <w:bCs/>
        </w:rPr>
        <w:t xml:space="preserve">4.</w:t>
      </w:r>
      <w:r>
        <w:t xml:space="preserve"> </w:t>
      </w:r>
      <w:r>
        <w:t xml:space="preserve">Semaines 17 à 22 : campagne de déclaration pré-remplie calée</w:t>
      </w:r>
      <w:r>
        <w:t xml:space="preserve"> </w:t>
      </w:r>
      <w:r>
        <w:t xml:space="preserve">sur l'échéance de début février, relances graduées.</w:t>
      </w:r>
    </w:p>
    <w:p>
      <w:pPr>
        <w:pStyle w:val="BlockText"/>
      </w:pPr>
      <w:r>
        <w:rPr>
          <w:b/>
          <w:bCs/>
        </w:rPr>
        <w:t xml:space="preserve">5.</w:t>
      </w:r>
      <w:r>
        <w:t xml:space="preserve"> </w:t>
      </w:r>
      <w:r>
        <w:t xml:space="preserve">Semaines 23 à 26 : évaluation indépendante, comparaison avec</w:t>
      </w:r>
      <w:r>
        <w:t xml:space="preserve"> </w:t>
      </w:r>
      <w:r>
        <w:t xml:space="preserve">les communes non pilotes, décision d'extension.</w:t>
      </w:r>
    </w:p>
    <w:bookmarkEnd w:id="312"/>
    <w:bookmarkStart w:id="313" w:name="critères-de-succès-du-pilote"/>
    <w:p>
      <w:pPr>
        <w:pStyle w:val="Heading2"/>
      </w:pPr>
      <w:r>
        <w:t xml:space="preserve">45.3 Critères de succès du pilote</w:t>
      </w:r>
    </w:p>
    <w:p>
      <w:pPr>
        <w:pStyle w:val="FirstParagraph"/>
      </w:pPr>
      <w:r>
        <w:t xml:space="preserve">Couverture des objets prioritaires supérieure à 80 % dans les zones</w:t>
      </w:r>
      <w:r>
        <w:t xml:space="preserve"> </w:t>
      </w:r>
      <w:r>
        <w:t xml:space="preserve">traitées ; part électronique des encaissements supérieure à 90 % sur le</w:t>
      </w:r>
      <w:r>
        <w:t xml:space="preserve"> </w:t>
      </w:r>
      <w:r>
        <w:t xml:space="preserve">périmètre ; aucun encaissement d'espèces par un agent ; écart de</w:t>
      </w:r>
      <w:r>
        <w:t xml:space="preserve"> </w:t>
      </w:r>
      <w:r>
        <w:t xml:space="preserve">rapprochement inférieur à 1 % ; délai moyen de quittance inférieur à une</w:t>
      </w:r>
      <w:r>
        <w:t xml:space="preserve"> </w:t>
      </w:r>
      <w:r>
        <w:t xml:space="preserve">minute ; taux de contestation traité dans le délai légal supérieur à 90</w:t>
      </w:r>
      <w:r>
        <w:t xml:space="preserve"> </w:t>
      </w:r>
      <w:r>
        <w:t xml:space="preserve">% ; progression des recettes des communes pilotes significativement</w:t>
      </w:r>
      <w:r>
        <w:t xml:space="preserve"> </w:t>
      </w:r>
      <w:r>
        <w:t xml:space="preserve">supérieure à celle des communes témoins.</w:t>
      </w:r>
    </w:p>
    <w:bookmarkEnd w:id="313"/>
    <w:bookmarkStart w:id="314" w:name="X25c8b7fb2c048a3cbb0b9b46c4e4b834a00614a"/>
    <w:p>
      <w:pPr>
        <w:pStyle w:val="Heading2"/>
      </w:pPr>
      <w:r>
        <w:t xml:space="preserve">45.4 Matrice de priorité des domaines du pilote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990"/>
        <w:gridCol w:w="990"/>
        <w:gridCol w:w="990"/>
        <w:gridCol w:w="990"/>
        <w:gridCol w:w="990"/>
        <w:gridCol w:w="990"/>
        <w:gridCol w:w="990"/>
        <w:gridCol w:w="990"/>
      </w:tblGrid>
      <w:tr>
        <w:trPr>
          <w:tblHeader w:val="true"/>
          <w:tblHeader/>
        </w:trPr>
        <w:tc>
          <w:tcPr>
            <w:shd w:val="clear" w:color="auto" w:fill="1BA996"/>
          </w:tcPr>
          <w:p>
            <w:pPr>
              <w:pStyle w:val="Compact"/>
              <w:spacing w:after="20" w:before="20" w:line="240" w:lineRule="auto"/>
              <w:jc w:val="left"/>
            </w:pPr>
            <w:r>
              <w:rPr>
                <w:b/>
                <w:color w:val="FFFFFF"/>
                <w:sz w:val="17"/>
              </w:rPr>
              <w:t xml:space="preserve">Domaine</w:t>
            </w:r>
          </w:p>
        </w:tc>
        <w:tc>
          <w:tcPr>
            <w:shd w:val="clear" w:color="auto" w:fill="1BA996"/>
          </w:tcPr>
          <w:p>
            <w:pPr>
              <w:pStyle w:val="Compact"/>
              <w:spacing w:after="20" w:before="20" w:line="240" w:lineRule="auto"/>
              <w:jc w:val="left"/>
            </w:pPr>
            <w:r>
              <w:rPr>
                <w:b/>
                <w:color w:val="FFFFFF"/>
                <w:sz w:val="17"/>
              </w:rPr>
              <w:t xml:space="preserve">Pourquoi maintenant</w:t>
            </w:r>
          </w:p>
        </w:tc>
        <w:tc>
          <w:tcPr>
            <w:shd w:val="clear" w:color="auto" w:fill="1BA996"/>
          </w:tcPr>
          <w:p>
            <w:pPr>
              <w:pStyle w:val="Compact"/>
              <w:spacing w:after="20" w:before="20" w:line="240" w:lineRule="auto"/>
              <w:jc w:val="left"/>
            </w:pPr>
            <w:r>
              <w:rPr>
                <w:b/>
                <w:color w:val="FFFFFF"/>
                <w:sz w:val="17"/>
              </w:rPr>
              <w:t xml:space="preserve">Validation préalable</w:t>
            </w:r>
          </w:p>
        </w:tc>
        <w:tc>
          <w:tcPr>
            <w:shd w:val="clear" w:color="auto" w:fill="1BA996"/>
          </w:tcPr>
          <w:p>
            <w:pPr>
              <w:pStyle w:val="Compact"/>
              <w:spacing w:after="20" w:before="20" w:line="240" w:lineRule="auto"/>
              <w:jc w:val="left"/>
            </w:pPr>
            <w:r>
              <w:rPr>
                <w:b/>
                <w:color w:val="FFFFFF"/>
                <w:sz w:val="17"/>
              </w:rPr>
              <w:t xml:space="preserve">Données</w:t>
            </w:r>
          </w:p>
        </w:tc>
        <w:tc>
          <w:tcPr>
            <w:shd w:val="clear" w:color="auto" w:fill="1BA996"/>
          </w:tcPr>
          <w:p>
            <w:pPr>
              <w:pStyle w:val="Compact"/>
              <w:spacing w:after="20" w:before="20" w:line="240" w:lineRule="auto"/>
              <w:jc w:val="left"/>
            </w:pPr>
            <w:r>
              <w:rPr>
                <w:b/>
                <w:color w:val="FFFFFF"/>
                <w:sz w:val="17"/>
              </w:rPr>
              <w:t xml:space="preserve">Risque de fraude</w:t>
            </w:r>
          </w:p>
        </w:tc>
        <w:tc>
          <w:tcPr>
            <w:shd w:val="clear" w:color="auto" w:fill="1BA996"/>
          </w:tcPr>
          <w:p>
            <w:pPr>
              <w:pStyle w:val="Compact"/>
              <w:spacing w:after="20" w:before="20" w:line="240" w:lineRule="auto"/>
              <w:jc w:val="left"/>
            </w:pPr>
            <w:r>
              <w:rPr>
                <w:b/>
                <w:color w:val="FFFFFF"/>
                <w:sz w:val="17"/>
              </w:rPr>
              <w:t xml:space="preserve">Pilote</w:t>
            </w:r>
          </w:p>
        </w:tc>
        <w:tc>
          <w:tcPr>
            <w:shd w:val="clear" w:color="auto" w:fill="1BA996"/>
          </w:tcPr>
          <w:p>
            <w:pPr>
              <w:pStyle w:val="Compact"/>
              <w:spacing w:after="20" w:before="20" w:line="240" w:lineRule="auto"/>
              <w:jc w:val="left"/>
            </w:pPr>
            <w:r>
              <w:rPr>
                <w:b/>
                <w:color w:val="FFFFFF"/>
                <w:sz w:val="17"/>
              </w:rPr>
              <w:t xml:space="preserve">Mesure du succès</w:t>
            </w:r>
          </w:p>
        </w:tc>
        <w:tc>
          <w:tcPr>
            <w:shd w:val="clear" w:color="auto" w:fill="1BA996"/>
          </w:tcPr>
          <w:p>
            <w:pPr>
              <w:pStyle w:val="Compact"/>
              <w:spacing w:after="20" w:before="20" w:line="240" w:lineRule="auto"/>
              <w:jc w:val="left"/>
            </w:pPr>
            <w:r>
              <w:rPr>
                <w:b/>
                <w:color w:val="FFFFFF"/>
                <w:sz w:val="17"/>
              </w:rPr>
              <w:t xml:space="preserve">Priorité</w:t>
            </w:r>
          </w:p>
        </w:tc>
      </w:tr>
      <w:tr>
        <w:tc>
          <w:tcPr/>
          <w:p>
            <w:pPr>
              <w:pStyle w:val="Compact"/>
              <w:spacing w:after="20" w:before="20" w:line="240" w:lineRule="auto"/>
              <w:jc w:val="left"/>
            </w:pPr>
            <w:r>
              <w:rPr>
                <w:sz w:val="17"/>
              </w:rPr>
              <w:t xml:space="preserve">Immobilier et foncier</w:t>
            </w:r>
          </w:p>
        </w:tc>
        <w:tc>
          <w:tcPr/>
          <w:p>
            <w:pPr>
              <w:pStyle w:val="Compact"/>
              <w:spacing w:after="20" w:before="20" w:line="240" w:lineRule="auto"/>
              <w:jc w:val="left"/>
            </w:pPr>
            <w:r>
              <w:rPr>
                <w:sz w:val="17"/>
              </w:rPr>
              <w:t xml:space="preserve">Base territoriale structurante</w:t>
            </w:r>
          </w:p>
        </w:tc>
        <w:tc>
          <w:tcPr/>
          <w:p>
            <w:pPr>
              <w:pStyle w:val="Compact"/>
              <w:spacing w:after="20" w:before="20" w:line="240" w:lineRule="auto"/>
              <w:jc w:val="left"/>
            </w:pPr>
            <w:r>
              <w:rPr>
                <w:sz w:val="17"/>
              </w:rPr>
              <w:t xml:space="preserve">Cadastre, règles, qualité des titres et données</w:t>
            </w:r>
          </w:p>
        </w:tc>
        <w:tc>
          <w:tcPr/>
          <w:p>
            <w:pPr>
              <w:pStyle w:val="Compact"/>
              <w:spacing w:after="20" w:before="20" w:line="240" w:lineRule="auto"/>
              <w:jc w:val="left"/>
            </w:pPr>
            <w:r>
              <w:rPr>
                <w:sz w:val="17"/>
              </w:rPr>
              <w:t xml:space="preserve">GIS, titres, terrain</w:t>
            </w:r>
          </w:p>
        </w:tc>
        <w:tc>
          <w:tcPr/>
          <w:p>
            <w:pPr>
              <w:pStyle w:val="Compact"/>
              <w:spacing w:after="20" w:before="20" w:line="240" w:lineRule="auto"/>
              <w:jc w:val="left"/>
            </w:pPr>
            <w:r>
              <w:rPr>
                <w:sz w:val="17"/>
              </w:rPr>
              <w:t xml:space="preserve">Élevé</w:t>
            </w:r>
          </w:p>
        </w:tc>
        <w:tc>
          <w:tcPr/>
          <w:p>
            <w:pPr>
              <w:pStyle w:val="Compact"/>
              <w:spacing w:after="20" w:before="20" w:line="240" w:lineRule="auto"/>
              <w:jc w:val="left"/>
            </w:pPr>
            <w:r>
              <w:rPr>
                <w:sz w:val="17"/>
              </w:rPr>
              <w:t xml:space="preserve">Oui</w:t>
            </w:r>
          </w:p>
        </w:tc>
        <w:tc>
          <w:tcPr/>
          <w:p>
            <w:pPr>
              <w:pStyle w:val="Compact"/>
              <w:spacing w:after="20" w:before="20" w:line="240" w:lineRule="auto"/>
              <w:jc w:val="left"/>
            </w:pPr>
            <w:r>
              <w:rPr>
                <w:sz w:val="17"/>
              </w:rPr>
              <w:t xml:space="preserve">Objets vérifiés, obligations valides, taux de paiement</w:t>
            </w:r>
          </w:p>
        </w:tc>
        <w:tc>
          <w:tcPr/>
          <w:p>
            <w:pPr>
              <w:pStyle w:val="Compact"/>
              <w:spacing w:after="20" w:before="20" w:line="240" w:lineRule="auto"/>
              <w:jc w:val="left"/>
            </w:pPr>
            <w:r>
              <w:rPr>
                <w:sz w:val="17"/>
              </w:rPr>
              <w:t xml:space="preserve">Très haute</w:t>
            </w:r>
          </w:p>
        </w:tc>
      </w:tr>
      <w:tr>
        <w:tc>
          <w:tcPr>
            <w:shd w:val="clear" w:color="auto" w:fill="F2F9F8"/>
          </w:tcPr>
          <w:p>
            <w:pPr>
              <w:pStyle w:val="Compact"/>
              <w:spacing w:after="20" w:before="20" w:line="240" w:lineRule="auto"/>
              <w:jc w:val="left"/>
            </w:pPr>
            <w:r>
              <w:rPr>
                <w:sz w:val="17"/>
              </w:rPr>
              <w:t xml:space="preserve">Revenus locatifs</w:t>
            </w:r>
          </w:p>
        </w:tc>
        <w:tc>
          <w:tcPr>
            <w:shd w:val="clear" w:color="auto" w:fill="F2F9F8"/>
          </w:tcPr>
          <w:p>
            <w:pPr>
              <w:pStyle w:val="Compact"/>
              <w:spacing w:after="20" w:before="20" w:line="240" w:lineRule="auto"/>
              <w:jc w:val="left"/>
            </w:pPr>
            <w:r>
              <w:rPr>
                <w:sz w:val="17"/>
              </w:rPr>
              <w:t xml:space="preserve">Assiette potentiellement sous-déclarée</w:t>
            </w:r>
          </w:p>
        </w:tc>
        <w:tc>
          <w:tcPr>
            <w:shd w:val="clear" w:color="auto" w:fill="F2F9F8"/>
          </w:tcPr>
          <w:p>
            <w:pPr>
              <w:pStyle w:val="Compact"/>
              <w:spacing w:after="20" w:before="20" w:line="240" w:lineRule="auto"/>
              <w:jc w:val="left"/>
            </w:pPr>
            <w:r>
              <w:rPr>
                <w:sz w:val="17"/>
              </w:rPr>
              <w:t xml:space="preserve">Régime IRL, taux et procédures 2026</w:t>
            </w:r>
          </w:p>
        </w:tc>
        <w:tc>
          <w:tcPr>
            <w:shd w:val="clear" w:color="auto" w:fill="F2F9F8"/>
          </w:tcPr>
          <w:p>
            <w:pPr>
              <w:pStyle w:val="Compact"/>
              <w:spacing w:after="20" w:before="20" w:line="240" w:lineRule="auto"/>
              <w:jc w:val="left"/>
            </w:pPr>
            <w:r>
              <w:rPr>
                <w:sz w:val="17"/>
              </w:rPr>
              <w:t xml:space="preserve">Baux, occupation, preuves</w:t>
            </w:r>
          </w:p>
        </w:tc>
        <w:tc>
          <w:tcPr>
            <w:shd w:val="clear" w:color="auto" w:fill="F2F9F8"/>
          </w:tcPr>
          <w:p>
            <w:pPr>
              <w:pStyle w:val="Compact"/>
              <w:spacing w:after="20" w:before="20" w:line="240" w:lineRule="auto"/>
              <w:jc w:val="left"/>
            </w:pPr>
            <w:r>
              <w:rPr>
                <w:sz w:val="17"/>
              </w:rPr>
              <w:t xml:space="preserve">Élevé</w:t>
            </w:r>
          </w:p>
        </w:tc>
        <w:tc>
          <w:tcPr>
            <w:shd w:val="clear" w:color="auto" w:fill="F2F9F8"/>
          </w:tcPr>
          <w:p>
            <w:pPr>
              <w:pStyle w:val="Compact"/>
              <w:spacing w:after="20" w:before="20" w:line="240" w:lineRule="auto"/>
              <w:jc w:val="left"/>
            </w:pPr>
            <w:r>
              <w:rPr>
                <w:sz w:val="17"/>
              </w:rPr>
              <w:t xml:space="preserve">Oui, ciblé</w:t>
            </w:r>
          </w:p>
        </w:tc>
        <w:tc>
          <w:tcPr>
            <w:shd w:val="clear" w:color="auto" w:fill="F2F9F8"/>
          </w:tcPr>
          <w:p>
            <w:pPr>
              <w:pStyle w:val="Compact"/>
              <w:spacing w:after="20" w:before="20" w:line="240" w:lineRule="auto"/>
              <w:jc w:val="left"/>
            </w:pPr>
            <w:r>
              <w:rPr>
                <w:sz w:val="17"/>
              </w:rPr>
              <w:t xml:space="preserve">Baux et occupations vérifiés, assiette vérifiée, conformité</w:t>
            </w:r>
          </w:p>
        </w:tc>
        <w:tc>
          <w:tcPr>
            <w:shd w:val="clear" w:color="auto" w:fill="F2F9F8"/>
          </w:tcPr>
          <w:p>
            <w:pPr>
              <w:pStyle w:val="Compact"/>
              <w:spacing w:after="20" w:before="20" w:line="240" w:lineRule="auto"/>
              <w:jc w:val="left"/>
            </w:pPr>
            <w:r>
              <w:rPr>
                <w:sz w:val="17"/>
              </w:rPr>
              <w:t xml:space="preserve">Très haute</w:t>
            </w:r>
          </w:p>
        </w:tc>
      </w:tr>
      <w:tr>
        <w:tc>
          <w:tcPr/>
          <w:p>
            <w:pPr>
              <w:pStyle w:val="Compact"/>
              <w:spacing w:after="20" w:before="20" w:line="240" w:lineRule="auto"/>
              <w:jc w:val="left"/>
            </w:pPr>
            <w:r>
              <w:rPr>
                <w:sz w:val="17"/>
              </w:rPr>
              <w:t xml:space="preserve">Mobilité et véhicules</w:t>
            </w:r>
          </w:p>
        </w:tc>
        <w:tc>
          <w:tcPr/>
          <w:p>
            <w:pPr>
              <w:pStyle w:val="Compact"/>
              <w:spacing w:after="20" w:before="20" w:line="240" w:lineRule="auto"/>
              <w:jc w:val="left"/>
            </w:pPr>
            <w:r>
              <w:rPr>
                <w:sz w:val="17"/>
              </w:rPr>
              <w:t xml:space="preserve">Population d’objets identifiable</w:t>
            </w:r>
          </w:p>
        </w:tc>
        <w:tc>
          <w:tcPr/>
          <w:p>
            <w:pPr>
              <w:pStyle w:val="Compact"/>
              <w:spacing w:after="20" w:before="20" w:line="240" w:lineRule="auto"/>
              <w:jc w:val="left"/>
            </w:pPr>
            <w:r>
              <w:rPr>
                <w:sz w:val="17"/>
              </w:rPr>
              <w:t xml:space="preserve">Référentiels véhicules et compétence</w:t>
            </w:r>
          </w:p>
        </w:tc>
        <w:tc>
          <w:tcPr/>
          <w:p>
            <w:pPr>
              <w:pStyle w:val="Compact"/>
              <w:spacing w:after="20" w:before="20" w:line="240" w:lineRule="auto"/>
              <w:jc w:val="left"/>
            </w:pPr>
            <w:r>
              <w:rPr>
                <w:sz w:val="17"/>
              </w:rPr>
              <w:t xml:space="preserve">Immatriculations, terrain</w:t>
            </w:r>
          </w:p>
        </w:tc>
        <w:tc>
          <w:tcPr/>
          <w:p>
            <w:pPr>
              <w:pStyle w:val="Compact"/>
              <w:spacing w:after="20" w:before="20" w:line="240" w:lineRule="auto"/>
              <w:jc w:val="left"/>
            </w:pPr>
            <w:r>
              <w:rPr>
                <w:sz w:val="17"/>
              </w:rPr>
              <w:t xml:space="preserve">Moyen</w:t>
            </w:r>
          </w:p>
        </w:tc>
        <w:tc>
          <w:tcPr/>
          <w:p>
            <w:pPr>
              <w:pStyle w:val="Compact"/>
              <w:spacing w:after="20" w:before="20" w:line="240" w:lineRule="auto"/>
              <w:jc w:val="left"/>
            </w:pPr>
            <w:r>
              <w:rPr>
                <w:sz w:val="17"/>
              </w:rPr>
              <w:t xml:space="preserve">Oui</w:t>
            </w:r>
          </w:p>
        </w:tc>
        <w:tc>
          <w:tcPr/>
          <w:p>
            <w:pPr>
              <w:pStyle w:val="Compact"/>
              <w:spacing w:after="20" w:before="20" w:line="240" w:lineRule="auto"/>
              <w:jc w:val="left"/>
            </w:pPr>
            <w:r>
              <w:rPr>
                <w:sz w:val="17"/>
              </w:rPr>
              <w:t xml:space="preserve">Couverture, paiement, rapprochement</w:t>
            </w:r>
          </w:p>
        </w:tc>
        <w:tc>
          <w:tcPr/>
          <w:p>
            <w:pPr>
              <w:pStyle w:val="Compact"/>
              <w:spacing w:after="20" w:before="20" w:line="240" w:lineRule="auto"/>
              <w:jc w:val="left"/>
            </w:pPr>
            <w:r>
              <w:rPr>
                <w:sz w:val="17"/>
              </w:rPr>
              <w:t xml:space="preserve">Haute</w:t>
            </w:r>
          </w:p>
        </w:tc>
      </w:tr>
      <w:tr>
        <w:tc>
          <w:tcPr>
            <w:shd w:val="clear" w:color="auto" w:fill="F2F9F8"/>
          </w:tcPr>
          <w:p>
            <w:pPr>
              <w:pStyle w:val="Compact"/>
              <w:spacing w:after="20" w:before="20" w:line="240" w:lineRule="auto"/>
              <w:jc w:val="left"/>
            </w:pPr>
            <w:r>
              <w:rPr>
                <w:sz w:val="17"/>
              </w:rPr>
              <w:t xml:space="preserve">Publicité et antennes</w:t>
            </w:r>
          </w:p>
        </w:tc>
        <w:tc>
          <w:tcPr>
            <w:shd w:val="clear" w:color="auto" w:fill="F2F9F8"/>
          </w:tcPr>
          <w:p>
            <w:pPr>
              <w:pStyle w:val="Compact"/>
              <w:spacing w:after="20" w:before="20" w:line="240" w:lineRule="auto"/>
              <w:jc w:val="left"/>
            </w:pPr>
            <w:r>
              <w:rPr>
                <w:sz w:val="17"/>
              </w:rPr>
              <w:t xml:space="preserve">Objets visibles et géolocalisables</w:t>
            </w:r>
          </w:p>
        </w:tc>
        <w:tc>
          <w:tcPr>
            <w:shd w:val="clear" w:color="auto" w:fill="F2F9F8"/>
          </w:tcPr>
          <w:p>
            <w:pPr>
              <w:pStyle w:val="Compact"/>
              <w:spacing w:after="20" w:before="20" w:line="240" w:lineRule="auto"/>
              <w:jc w:val="left"/>
            </w:pPr>
            <w:r>
              <w:rPr>
                <w:sz w:val="17"/>
              </w:rPr>
              <w:t xml:space="preserve">Tarifs et autorisations applicables</w:t>
            </w:r>
          </w:p>
        </w:tc>
        <w:tc>
          <w:tcPr>
            <w:shd w:val="clear" w:color="auto" w:fill="F2F9F8"/>
          </w:tcPr>
          <w:p>
            <w:pPr>
              <w:pStyle w:val="Compact"/>
              <w:spacing w:after="20" w:before="20" w:line="240" w:lineRule="auto"/>
              <w:jc w:val="left"/>
            </w:pPr>
            <w:r>
              <w:rPr>
                <w:sz w:val="17"/>
              </w:rPr>
              <w:t xml:space="preserve">Inventaire GIS</w:t>
            </w:r>
          </w:p>
        </w:tc>
        <w:tc>
          <w:tcPr>
            <w:shd w:val="clear" w:color="auto" w:fill="F2F9F8"/>
          </w:tcPr>
          <w:p>
            <w:pPr>
              <w:pStyle w:val="Compact"/>
              <w:spacing w:after="20" w:before="20" w:line="240" w:lineRule="auto"/>
              <w:jc w:val="left"/>
            </w:pPr>
            <w:r>
              <w:rPr>
                <w:sz w:val="17"/>
              </w:rPr>
              <w:t xml:space="preserve">Moyen</w:t>
            </w:r>
          </w:p>
        </w:tc>
        <w:tc>
          <w:tcPr>
            <w:shd w:val="clear" w:color="auto" w:fill="F2F9F8"/>
          </w:tcPr>
          <w:p>
            <w:pPr>
              <w:pStyle w:val="Compact"/>
              <w:spacing w:after="20" w:before="20" w:line="240" w:lineRule="auto"/>
              <w:jc w:val="left"/>
            </w:pPr>
            <w:r>
              <w:rPr>
                <w:sz w:val="17"/>
              </w:rPr>
              <w:t xml:space="preserve">Oui</w:t>
            </w:r>
          </w:p>
        </w:tc>
        <w:tc>
          <w:tcPr>
            <w:shd w:val="clear" w:color="auto" w:fill="F2F9F8"/>
          </w:tcPr>
          <w:p>
            <w:pPr>
              <w:pStyle w:val="Compact"/>
              <w:spacing w:after="20" w:before="20" w:line="240" w:lineRule="auto"/>
              <w:jc w:val="left"/>
            </w:pPr>
            <w:r>
              <w:rPr>
                <w:sz w:val="17"/>
              </w:rPr>
              <w:t xml:space="preserve">Objets observés vs autorisés vs payés</w:t>
            </w:r>
          </w:p>
        </w:tc>
        <w:tc>
          <w:tcPr>
            <w:shd w:val="clear" w:color="auto" w:fill="F2F9F8"/>
          </w:tcPr>
          <w:p>
            <w:pPr>
              <w:pStyle w:val="Compact"/>
              <w:spacing w:after="20" w:before="20" w:line="240" w:lineRule="auto"/>
              <w:jc w:val="left"/>
            </w:pPr>
            <w:r>
              <w:rPr>
                <w:sz w:val="17"/>
              </w:rPr>
              <w:t xml:space="preserve">Haute</w:t>
            </w:r>
          </w:p>
        </w:tc>
      </w:tr>
      <w:tr>
        <w:tc>
          <w:tcPr/>
          <w:p>
            <w:pPr>
              <w:pStyle w:val="Compact"/>
              <w:spacing w:after="20" w:before="20" w:line="240" w:lineRule="auto"/>
              <w:jc w:val="left"/>
            </w:pPr>
            <w:r>
              <w:rPr>
                <w:sz w:val="17"/>
              </w:rPr>
              <w:t xml:space="preserve">Marchés et domaine public</w:t>
            </w:r>
          </w:p>
        </w:tc>
        <w:tc>
          <w:tcPr/>
          <w:p>
            <w:pPr>
              <w:pStyle w:val="Compact"/>
              <w:spacing w:after="20" w:before="20" w:line="240" w:lineRule="auto"/>
              <w:jc w:val="left"/>
            </w:pPr>
            <w:r>
              <w:rPr>
                <w:sz w:val="17"/>
              </w:rPr>
              <w:t xml:space="preserve">Flux nombreux et fragmentés</w:t>
            </w:r>
          </w:p>
        </w:tc>
        <w:tc>
          <w:tcPr/>
          <w:p>
            <w:pPr>
              <w:pStyle w:val="Compact"/>
              <w:spacing w:after="20" w:before="20" w:line="240" w:lineRule="auto"/>
              <w:jc w:val="left"/>
            </w:pPr>
            <w:r>
              <w:rPr>
                <w:sz w:val="17"/>
              </w:rPr>
              <w:t xml:space="preserve">Compétence, tarifs, modes de collecte</w:t>
            </w:r>
          </w:p>
        </w:tc>
        <w:tc>
          <w:tcPr/>
          <w:p>
            <w:pPr>
              <w:pStyle w:val="Compact"/>
              <w:spacing w:after="20" w:before="20" w:line="240" w:lineRule="auto"/>
              <w:jc w:val="left"/>
            </w:pPr>
            <w:r>
              <w:rPr>
                <w:sz w:val="17"/>
              </w:rPr>
              <w:t xml:space="preserve">Stands, occupations</w:t>
            </w:r>
          </w:p>
        </w:tc>
        <w:tc>
          <w:tcPr/>
          <w:p>
            <w:pPr>
              <w:pStyle w:val="Compact"/>
              <w:spacing w:after="20" w:before="20" w:line="240" w:lineRule="auto"/>
              <w:jc w:val="left"/>
            </w:pPr>
            <w:r>
              <w:rPr>
                <w:sz w:val="17"/>
              </w:rPr>
              <w:t xml:space="preserve">Élevé</w:t>
            </w:r>
          </w:p>
        </w:tc>
        <w:tc>
          <w:tcPr/>
          <w:p>
            <w:pPr>
              <w:pStyle w:val="Compact"/>
              <w:spacing w:after="20" w:before="20" w:line="240" w:lineRule="auto"/>
              <w:jc w:val="left"/>
            </w:pPr>
            <w:r>
              <w:rPr>
                <w:sz w:val="17"/>
              </w:rPr>
              <w:t xml:space="preserve">Oui</w:t>
            </w:r>
          </w:p>
        </w:tc>
        <w:tc>
          <w:tcPr/>
          <w:p>
            <w:pPr>
              <w:pStyle w:val="Compact"/>
              <w:spacing w:after="20" w:before="20" w:line="240" w:lineRule="auto"/>
              <w:jc w:val="left"/>
            </w:pPr>
            <w:r>
              <w:rPr>
                <w:sz w:val="17"/>
              </w:rPr>
              <w:t xml:space="preserve">Référencement, paiement numérique, baisse des écarts</w:t>
            </w:r>
          </w:p>
        </w:tc>
        <w:tc>
          <w:tcPr/>
          <w:p>
            <w:pPr>
              <w:pStyle w:val="Compact"/>
              <w:spacing w:after="20" w:before="20" w:line="240" w:lineRule="auto"/>
              <w:jc w:val="left"/>
            </w:pPr>
            <w:r>
              <w:rPr>
                <w:sz w:val="17"/>
              </w:rPr>
              <w:t xml:space="preserve">Haute</w:t>
            </w:r>
          </w:p>
        </w:tc>
      </w:tr>
      <w:tr>
        <w:tc>
          <w:tcPr>
            <w:shd w:val="clear" w:color="auto" w:fill="F2F9F8"/>
          </w:tcPr>
          <w:p>
            <w:pPr>
              <w:pStyle w:val="Compact"/>
              <w:spacing w:after="20" w:before="20" w:line="240" w:lineRule="auto"/>
              <w:jc w:val="left"/>
            </w:pPr>
            <w:r>
              <w:rPr>
                <w:sz w:val="17"/>
              </w:rPr>
              <w:t xml:space="preserve">Stationnement</w:t>
            </w:r>
          </w:p>
        </w:tc>
        <w:tc>
          <w:tcPr>
            <w:shd w:val="clear" w:color="auto" w:fill="F2F9F8"/>
          </w:tcPr>
          <w:p>
            <w:pPr>
              <w:pStyle w:val="Compact"/>
              <w:spacing w:after="20" w:before="20" w:line="240" w:lineRule="auto"/>
              <w:jc w:val="left"/>
            </w:pPr>
            <w:r>
              <w:rPr>
                <w:sz w:val="17"/>
              </w:rPr>
              <w:t xml:space="preserve">Digitalisable et mesurable</w:t>
            </w:r>
          </w:p>
        </w:tc>
        <w:tc>
          <w:tcPr>
            <w:shd w:val="clear" w:color="auto" w:fill="F2F9F8"/>
          </w:tcPr>
          <w:p>
            <w:pPr>
              <w:pStyle w:val="Compact"/>
              <w:spacing w:after="20" w:before="20" w:line="240" w:lineRule="auto"/>
              <w:jc w:val="left"/>
            </w:pPr>
            <w:r>
              <w:rPr>
                <w:sz w:val="17"/>
              </w:rPr>
              <w:t xml:space="preserve">Base réglementaire et zonage</w:t>
            </w:r>
          </w:p>
        </w:tc>
        <w:tc>
          <w:tcPr>
            <w:shd w:val="clear" w:color="auto" w:fill="F2F9F8"/>
          </w:tcPr>
          <w:p>
            <w:pPr>
              <w:pStyle w:val="Compact"/>
              <w:spacing w:after="20" w:before="20" w:line="240" w:lineRule="auto"/>
              <w:jc w:val="left"/>
            </w:pPr>
            <w:r>
              <w:rPr>
                <w:sz w:val="17"/>
              </w:rPr>
              <w:t xml:space="preserve">Sessions, zones</w:t>
            </w:r>
          </w:p>
        </w:tc>
        <w:tc>
          <w:tcPr>
            <w:shd w:val="clear" w:color="auto" w:fill="F2F9F8"/>
          </w:tcPr>
          <w:p>
            <w:pPr>
              <w:pStyle w:val="Compact"/>
              <w:spacing w:after="20" w:before="20" w:line="240" w:lineRule="auto"/>
              <w:jc w:val="left"/>
            </w:pPr>
            <w:r>
              <w:rPr>
                <w:sz w:val="17"/>
              </w:rPr>
              <w:t xml:space="preserve">Moyen</w:t>
            </w:r>
          </w:p>
        </w:tc>
        <w:tc>
          <w:tcPr>
            <w:shd w:val="clear" w:color="auto" w:fill="F2F9F8"/>
          </w:tcPr>
          <w:p>
            <w:pPr>
              <w:pStyle w:val="Compact"/>
              <w:spacing w:after="20" w:before="20" w:line="240" w:lineRule="auto"/>
              <w:jc w:val="left"/>
            </w:pPr>
            <w:r>
              <w:rPr>
                <w:sz w:val="17"/>
              </w:rPr>
              <w:t xml:space="preserve">Oui, ciblé</w:t>
            </w:r>
          </w:p>
        </w:tc>
        <w:tc>
          <w:tcPr>
            <w:shd w:val="clear" w:color="auto" w:fill="F2F9F8"/>
          </w:tcPr>
          <w:p>
            <w:pPr>
              <w:pStyle w:val="Compact"/>
              <w:spacing w:after="20" w:before="20" w:line="240" w:lineRule="auto"/>
              <w:jc w:val="left"/>
            </w:pPr>
            <w:r>
              <w:rPr>
                <w:sz w:val="17"/>
              </w:rPr>
              <w:t xml:space="preserve">Transactions rapprochées, occupation</w:t>
            </w:r>
          </w:p>
        </w:tc>
        <w:tc>
          <w:tcPr>
            <w:shd w:val="clear" w:color="auto" w:fill="F2F9F8"/>
          </w:tcPr>
          <w:p>
            <w:pPr>
              <w:pStyle w:val="Compact"/>
              <w:spacing w:after="20" w:before="20" w:line="240" w:lineRule="auto"/>
              <w:jc w:val="left"/>
            </w:pPr>
            <w:r>
              <w:rPr>
                <w:sz w:val="17"/>
              </w:rPr>
              <w:t xml:space="preserve">Pilote ciblé</w:t>
            </w:r>
          </w:p>
        </w:tc>
      </w:tr>
      <w:tr>
        <w:tc>
          <w:tcPr/>
          <w:p>
            <w:pPr>
              <w:pStyle w:val="Compact"/>
              <w:spacing w:after="20" w:before="20" w:line="240" w:lineRule="auto"/>
              <w:jc w:val="left"/>
            </w:pPr>
            <w:r>
              <w:rPr>
                <w:sz w:val="17"/>
              </w:rPr>
              <w:t xml:space="preserve">Ports et fluvial</w:t>
            </w:r>
          </w:p>
        </w:tc>
        <w:tc>
          <w:tcPr/>
          <w:p>
            <w:pPr>
              <w:pStyle w:val="Compact"/>
              <w:spacing w:after="20" w:before="20" w:line="240" w:lineRule="auto"/>
              <w:jc w:val="left"/>
            </w:pPr>
            <w:r>
              <w:rPr>
                <w:sz w:val="17"/>
              </w:rPr>
              <w:t xml:space="preserve">Flux à fort enjeu</w:t>
            </w:r>
          </w:p>
        </w:tc>
        <w:tc>
          <w:tcPr/>
          <w:p>
            <w:pPr>
              <w:pStyle w:val="Compact"/>
              <w:spacing w:after="20" w:before="20" w:line="240" w:lineRule="auto"/>
              <w:jc w:val="left"/>
            </w:pPr>
            <w:r>
              <w:rPr>
                <w:sz w:val="17"/>
              </w:rPr>
              <w:t xml:space="preserve">Validation sectorielle</w:t>
            </w:r>
          </w:p>
        </w:tc>
        <w:tc>
          <w:tcPr/>
          <w:p>
            <w:pPr>
              <w:pStyle w:val="Compact"/>
              <w:spacing w:after="20" w:before="20" w:line="240" w:lineRule="auto"/>
              <w:jc w:val="left"/>
            </w:pPr>
            <w:r>
              <w:rPr>
                <w:sz w:val="17"/>
              </w:rPr>
              <w:t xml:space="preserve">Opérateurs, mouvements</w:t>
            </w:r>
          </w:p>
        </w:tc>
        <w:tc>
          <w:tcPr/>
          <w:p>
            <w:pPr>
              <w:pStyle w:val="Compact"/>
              <w:spacing w:after="20" w:before="20" w:line="240" w:lineRule="auto"/>
              <w:jc w:val="left"/>
            </w:pPr>
            <w:r>
              <w:rPr>
                <w:sz w:val="17"/>
              </w:rPr>
              <w:t xml:space="preserve">Élevé</w:t>
            </w:r>
          </w:p>
        </w:tc>
        <w:tc>
          <w:tcPr/>
          <w:p>
            <w:pPr>
              <w:pStyle w:val="Compact"/>
              <w:spacing w:after="20" w:before="20" w:line="240" w:lineRule="auto"/>
              <w:jc w:val="left"/>
            </w:pPr>
            <w:r>
              <w:rPr>
                <w:sz w:val="17"/>
              </w:rPr>
              <w:t xml:space="preserve">Après cadrage</w:t>
            </w:r>
          </w:p>
        </w:tc>
        <w:tc>
          <w:tcPr/>
          <w:p>
            <w:pPr>
              <w:pStyle w:val="Compact"/>
              <w:spacing w:after="20" w:before="20" w:line="240" w:lineRule="auto"/>
              <w:jc w:val="left"/>
            </w:pPr>
            <w:r>
              <w:rPr>
                <w:sz w:val="17"/>
              </w:rPr>
              <w:t xml:space="preserve">Recettes rapprochées</w:t>
            </w:r>
          </w:p>
        </w:tc>
        <w:tc>
          <w:tcPr/>
          <w:p>
            <w:pPr>
              <w:pStyle w:val="Compact"/>
              <w:spacing w:after="20" w:before="20" w:line="240" w:lineRule="auto"/>
              <w:jc w:val="left"/>
            </w:pPr>
            <w:r>
              <w:rPr>
                <w:sz w:val="17"/>
              </w:rPr>
              <w:t xml:space="preserve">À cadrer</w:t>
            </w:r>
          </w:p>
        </w:tc>
      </w:tr>
      <w:tr>
        <w:tc>
          <w:tcPr>
            <w:shd w:val="clear" w:color="auto" w:fill="F2F9F8"/>
          </w:tcPr>
          <w:p>
            <w:pPr>
              <w:pStyle w:val="Compact"/>
              <w:spacing w:after="20" w:before="20" w:line="240" w:lineRule="auto"/>
              <w:jc w:val="left"/>
            </w:pPr>
            <w:r>
              <w:rPr>
                <w:sz w:val="17"/>
              </w:rPr>
              <w:t xml:space="preserve">AVIA</w:t>
            </w:r>
          </w:p>
        </w:tc>
        <w:tc>
          <w:tcPr>
            <w:shd w:val="clear" w:color="auto" w:fill="F2F9F8"/>
          </w:tcPr>
          <w:p>
            <w:pPr>
              <w:pStyle w:val="Compact"/>
              <w:spacing w:after="20" w:before="20" w:line="240" w:lineRule="auto"/>
              <w:jc w:val="left"/>
            </w:pPr>
            <w:r>
              <w:rPr>
                <w:sz w:val="17"/>
              </w:rPr>
              <w:t xml:space="preserve">Rapprochement de flux déclarés</w:t>
            </w:r>
          </w:p>
        </w:tc>
        <w:tc>
          <w:tcPr>
            <w:shd w:val="clear" w:color="auto" w:fill="F2F9F8"/>
          </w:tcPr>
          <w:p>
            <w:pPr>
              <w:pStyle w:val="Compact"/>
              <w:spacing w:after="20" w:before="20" w:line="240" w:lineRule="auto"/>
              <w:jc w:val="left"/>
            </w:pPr>
            <w:r>
              <w:rPr>
                <w:sz w:val="17"/>
              </w:rPr>
              <w:t xml:space="preserve">Validation des mécanismes spécifiques</w:t>
            </w:r>
          </w:p>
        </w:tc>
        <w:tc>
          <w:tcPr>
            <w:shd w:val="clear" w:color="auto" w:fill="F2F9F8"/>
          </w:tcPr>
          <w:p>
            <w:pPr>
              <w:pStyle w:val="Compact"/>
              <w:spacing w:after="20" w:before="20" w:line="240" w:lineRule="auto"/>
              <w:jc w:val="left"/>
            </w:pPr>
            <w:r>
              <w:rPr>
                <w:sz w:val="17"/>
              </w:rPr>
              <w:t xml:space="preserve">BSP, GDS, opérateurs</w:t>
            </w:r>
          </w:p>
        </w:tc>
        <w:tc>
          <w:tcPr>
            <w:shd w:val="clear" w:color="auto" w:fill="F2F9F8"/>
          </w:tcPr>
          <w:p>
            <w:pPr>
              <w:pStyle w:val="Compact"/>
              <w:spacing w:after="20" w:before="20" w:line="240" w:lineRule="auto"/>
              <w:jc w:val="left"/>
            </w:pPr>
            <w:r>
              <w:rPr>
                <w:sz w:val="17"/>
              </w:rPr>
              <w:t xml:space="preserve">Élevé</w:t>
            </w:r>
          </w:p>
        </w:tc>
        <w:tc>
          <w:tcPr>
            <w:shd w:val="clear" w:color="auto" w:fill="F2F9F8"/>
          </w:tcPr>
          <w:p>
            <w:pPr>
              <w:pStyle w:val="Compact"/>
              <w:spacing w:after="20" w:before="20" w:line="240" w:lineRule="auto"/>
              <w:jc w:val="left"/>
            </w:pPr>
            <w:r>
              <w:rPr>
                <w:sz w:val="17"/>
              </w:rPr>
              <w:t xml:space="preserve">Après cadrage</w:t>
            </w:r>
          </w:p>
        </w:tc>
        <w:tc>
          <w:tcPr>
            <w:shd w:val="clear" w:color="auto" w:fill="F2F9F8"/>
          </w:tcPr>
          <w:p>
            <w:pPr>
              <w:pStyle w:val="Compact"/>
              <w:spacing w:after="20" w:before="20" w:line="240" w:lineRule="auto"/>
              <w:jc w:val="left"/>
            </w:pPr>
            <w:r>
              <w:rPr>
                <w:sz w:val="17"/>
              </w:rPr>
              <w:t xml:space="preserve">Écarts identifiés et résolus</w:t>
            </w:r>
          </w:p>
        </w:tc>
        <w:tc>
          <w:tcPr>
            <w:shd w:val="clear" w:color="auto" w:fill="F2F9F8"/>
          </w:tcPr>
          <w:p>
            <w:pPr>
              <w:pStyle w:val="Compact"/>
              <w:spacing w:after="20" w:before="20" w:line="240" w:lineRule="auto"/>
              <w:jc w:val="left"/>
            </w:pPr>
            <w:r>
              <w:rPr>
                <w:sz w:val="17"/>
              </w:rPr>
              <w:t xml:space="preserve">À cadrer</w:t>
            </w:r>
          </w:p>
        </w:tc>
      </w:tr>
    </w:tbl>
    <w:bookmarkEnd w:id="314"/>
    <w:bookmarkStart w:id="315" w:name="protocole-dévaluation"/>
    <w:p>
      <w:pPr>
        <w:pStyle w:val="Heading2"/>
      </w:pPr>
      <w:r>
        <w:t xml:space="preserve">45.5 Protocole d’évaluation</w:t>
      </w:r>
    </w:p>
    <w:p>
      <w:pPr>
        <w:pStyle w:val="FirstParagraph"/>
      </w:pPr>
      <w:r>
        <w:t xml:space="preserve">Base de référence auditée avant démarrage ; communes et segments représentatifs ; groupe de comparaison lorsque pertinent ; instrumentation complète ; revues à J30, J60, J90, J120 et J180. La décision de généralisation se fonde sur des résultats vérifiés de façon indépendante : recettes additionnelles nettes, amélioration du rapprochement, réduction des anomalies et maîtrise du coût de collecte.</w:t>
      </w:r>
    </w:p>
    <w:bookmarkEnd w:id="315"/>
    <w:bookmarkStart w:id="316" w:name="Xa51f930aa1b55a0fe645f675ef668899ffdb716"/>
    <w:p>
      <w:pPr>
        <w:pStyle w:val="Heading2"/>
      </w:pPr>
      <w:r>
        <w:t xml:space="preserve">45.6 Volet inclusion et sous-traitance du pilote</w:t>
      </w:r>
    </w:p>
    <w:p>
      <w:pPr>
        <w:pStyle w:val="FirstParagraph"/>
      </w:pPr>
      <w:r>
        <w:t xml:space="preserve">Chaque commune pilote dispose d’au moins un guichet MOSOLO avec guichet bancaire partenaire, du SVI et du code USSD dès l’ouverture des paiements. Un ou deux sous-traitants terrain sont accrédités en période probatoire par commune, à côté des équipes internes, afin de comparer la qualité et le coût. Les indicateurs d’inclusion du § 39 font partie des critères de succès du pilote.</w:t>
      </w:r>
    </w:p>
    <w:bookmarkEnd w:id="316"/>
    <w:bookmarkEnd w:id="317"/>
    <w:bookmarkStart w:id="320" w:name="plan-des-100-premiers-jours"/>
    <w:p>
      <w:pPr>
        <w:pStyle w:val="Heading1"/>
      </w:pPr>
      <w:r>
        <w:t xml:space="preserve">46. Plan des 100 premiers jours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218"/>
        <w:gridCol w:w="4670"/>
        <w:gridCol w:w="1827"/>
      </w:tblGrid>
      <w:tr>
        <w:trPr>
          <w:tblHeader w:val="true"/>
          <w:tblHeader/>
        </w:trPr>
        <w:tc>
          <w:tcPr>
            <w:shd w:val="clear" w:color="auto" w:fill="1BA996"/>
          </w:tcPr>
          <w:p>
            <w:pPr>
              <w:pStyle w:val="Compact"/>
              <w:spacing w:after="20" w:before="20" w:line="240" w:lineRule="auto"/>
              <w:jc w:val="left"/>
            </w:pPr>
            <w:r>
              <w:rPr>
                <w:b/>
                <w:bCs/>
                <w:color w:val="FFFFFF"/>
                <w:sz w:val="17"/>
              </w:rPr>
              <w:t xml:space="preserve">Jours</w:t>
            </w:r>
          </w:p>
        </w:tc>
        <w:tc>
          <w:tcPr>
            <w:shd w:val="clear" w:color="auto" w:fill="1BA996"/>
          </w:tcPr>
          <w:p>
            <w:pPr>
              <w:pStyle w:val="Compact"/>
              <w:spacing w:after="20" w:before="20" w:line="240" w:lineRule="auto"/>
              <w:jc w:val="left"/>
            </w:pPr>
            <w:r>
              <w:rPr>
                <w:b/>
                <w:bCs/>
                <w:color w:val="FFFFFF"/>
                <w:sz w:val="17"/>
              </w:rPr>
              <w:t xml:space="preserve">Actions</w:t>
            </w:r>
          </w:p>
        </w:tc>
        <w:tc>
          <w:tcPr>
            <w:shd w:val="clear" w:color="auto" w:fill="1BA996"/>
          </w:tcPr>
          <w:p>
            <w:pPr>
              <w:pStyle w:val="Compact"/>
              <w:spacing w:after="20" w:before="20" w:line="240" w:lineRule="auto"/>
              <w:jc w:val="left"/>
            </w:pPr>
            <w:r>
              <w:rPr>
                <w:b/>
                <w:bCs/>
                <w:color w:val="FFFFFF"/>
                <w:sz w:val="17"/>
              </w:rPr>
              <w:t xml:space="preserve">Responsable</w:t>
            </w:r>
          </w:p>
        </w:tc>
      </w:tr>
      <w:tr>
        <w:tc>
          <w:tcPr/>
          <w:p>
            <w:pPr>
              <w:pStyle w:val="Compact"/>
              <w:spacing w:after="20" w:before="20" w:line="240" w:lineRule="auto"/>
              <w:jc w:val="left"/>
            </w:pPr>
            <w:r>
              <w:rPr>
                <w:sz w:val="17"/>
              </w:rPr>
              <w:t xml:space="preserve">1 à 15</w:t>
            </w:r>
          </w:p>
        </w:tc>
        <w:tc>
          <w:tcPr/>
          <w:p>
            <w:pPr>
              <w:pStyle w:val="Compact"/>
              <w:spacing w:after="20" w:before="20" w:line="240" w:lineRule="auto"/>
              <w:jc w:val="left"/>
            </w:pPr>
            <w:r>
              <w:rPr>
                <w:sz w:val="17"/>
              </w:rPr>
              <w:t xml:space="preserve">Décision provinciale, nomination du directeur</w:t>
            </w:r>
            <w:r>
              <w:rPr>
                <w:sz w:val="17"/>
              </w:rPr>
              <w:t xml:space="preserve"> </w:t>
            </w:r>
            <w:r>
              <w:rPr>
                <w:sz w:val="17"/>
              </w:rPr>
              <w:t xml:space="preserve">de programme et du comité de pilotage, lettre</w:t>
            </w:r>
            <w:r>
              <w:rPr>
                <w:sz w:val="17"/>
              </w:rPr>
              <w:t xml:space="preserve"> </w:t>
            </w:r>
            <w:r>
              <w:rPr>
                <w:sz w:val="17"/>
              </w:rPr>
              <w:t xml:space="preserve">de mission</w:t>
            </w:r>
          </w:p>
        </w:tc>
        <w:tc>
          <w:tcPr/>
          <w:p>
            <w:pPr>
              <w:pStyle w:val="Compact"/>
              <w:spacing w:after="20" w:before="20" w:line="240" w:lineRule="auto"/>
              <w:jc w:val="left"/>
            </w:pPr>
            <w:r>
              <w:rPr>
                <w:sz w:val="17"/>
              </w:rPr>
              <w:t xml:space="preserve">Gouverneur et</w:t>
            </w:r>
            <w:r>
              <w:rPr>
                <w:sz w:val="17"/>
              </w:rPr>
              <w:t xml:space="preserve"> </w:t>
            </w:r>
            <w:r>
              <w:rPr>
                <w:sz w:val="17"/>
              </w:rPr>
              <w:t xml:space="preserve">ministre</w:t>
            </w:r>
            <w:r>
              <w:rPr>
                <w:sz w:val="17"/>
              </w:rPr>
              <w:t xml:space="preserve"> </w:t>
            </w:r>
            <w:r>
              <w:rPr>
                <w:sz w:val="17"/>
              </w:rPr>
              <w:t xml:space="preserve">provincial des</w:t>
            </w:r>
            <w:r>
              <w:rPr>
                <w:sz w:val="17"/>
              </w:rPr>
              <w:t xml:space="preserve"> </w:t>
            </w:r>
            <w:r>
              <w:rPr>
                <w:sz w:val="17"/>
              </w:rPr>
              <w:t xml:space="preserve">Finances</w:t>
            </w:r>
          </w:p>
        </w:tc>
      </w:tr>
      <w:tr>
        <w:tc>
          <w:tcPr>
            <w:shd w:val="clear" w:color="auto" w:fill="F2F9F8"/>
          </w:tcPr>
          <w:p>
            <w:pPr>
              <w:pStyle w:val="Compact"/>
              <w:spacing w:after="20" w:before="20" w:line="240" w:lineRule="auto"/>
              <w:jc w:val="left"/>
            </w:pPr>
            <w:r>
              <w:rPr>
                <w:sz w:val="17"/>
              </w:rPr>
              <w:t xml:space="preserve">16 à 30</w:t>
            </w:r>
          </w:p>
        </w:tc>
        <w:tc>
          <w:tcPr>
            <w:shd w:val="clear" w:color="auto" w:fill="F2F9F8"/>
          </w:tcPr>
          <w:p>
            <w:pPr>
              <w:pStyle w:val="Compact"/>
              <w:spacing w:after="20" w:before="20" w:line="240" w:lineRule="auto"/>
              <w:jc w:val="left"/>
            </w:pPr>
            <w:r>
              <w:rPr>
                <w:sz w:val="17"/>
              </w:rPr>
              <w:t xml:space="preserve">Relevé juridique certifié sur la base de</w:t>
            </w:r>
            <w:r>
              <w:rPr>
                <w:sz w:val="17"/>
              </w:rPr>
              <w:t xml:space="preserve"> </w:t>
            </w:r>
            <w:r>
              <w:rPr>
                <w:sz w:val="17"/>
              </w:rPr>
              <w:t xml:space="preserve">l'Ordonnance-loi n° 18/004 et de l'édit en</w:t>
            </w:r>
            <w:r>
              <w:rPr>
                <w:sz w:val="17"/>
              </w:rPr>
              <w:t xml:space="preserve"> </w:t>
            </w:r>
            <w:r>
              <w:rPr>
                <w:sz w:val="17"/>
              </w:rPr>
              <w:t xml:space="preserve">vigueur ; inventaire des systèmes et bases</w:t>
            </w:r>
            <w:r>
              <w:rPr>
                <w:sz w:val="17"/>
              </w:rPr>
              <w:t xml:space="preserve"> </w:t>
            </w:r>
            <w:r>
              <w:rPr>
                <w:sz w:val="17"/>
              </w:rPr>
              <w:t xml:space="preserve">existants ; base de référence des recettes</w:t>
            </w:r>
          </w:p>
        </w:tc>
        <w:tc>
          <w:tcPr>
            <w:shd w:val="clear" w:color="auto" w:fill="F2F9F8"/>
          </w:tcPr>
          <w:p>
            <w:pPr>
              <w:pStyle w:val="Compact"/>
              <w:spacing w:after="20" w:before="20" w:line="240" w:lineRule="auto"/>
              <w:jc w:val="left"/>
            </w:pPr>
            <w:r>
              <w:rPr>
                <w:sz w:val="17"/>
              </w:rPr>
              <w:t xml:space="preserve">Services</w:t>
            </w:r>
            <w:r>
              <w:rPr>
                <w:sz w:val="17"/>
              </w:rPr>
              <w:t xml:space="preserve"> </w:t>
            </w:r>
            <w:r>
              <w:rPr>
                <w:sz w:val="17"/>
              </w:rPr>
              <w:t xml:space="preserve">juridiques,</w:t>
            </w:r>
            <w:r>
              <w:rPr>
                <w:sz w:val="17"/>
              </w:rPr>
              <w:t xml:space="preserve"> </w:t>
            </w:r>
            <w:r>
              <w:rPr>
                <w:sz w:val="17"/>
              </w:rPr>
              <w:t xml:space="preserve">régies, programme</w:t>
            </w:r>
          </w:p>
        </w:tc>
      </w:tr>
      <w:tr>
        <w:tc>
          <w:tcPr/>
          <w:p>
            <w:pPr>
              <w:pStyle w:val="Compact"/>
              <w:spacing w:after="20" w:before="20" w:line="240" w:lineRule="auto"/>
              <w:jc w:val="left"/>
            </w:pPr>
            <w:r>
              <w:rPr>
                <w:sz w:val="17"/>
              </w:rPr>
              <w:t xml:space="preserve">31 à 45</w:t>
            </w:r>
          </w:p>
        </w:tc>
        <w:tc>
          <w:tcPr/>
          <w:p>
            <w:pPr>
              <w:pStyle w:val="Compact"/>
              <w:spacing w:after="20" w:before="20" w:line="240" w:lineRule="auto"/>
              <w:jc w:val="left"/>
            </w:pPr>
            <w:r>
              <w:rPr>
                <w:sz w:val="17"/>
              </w:rPr>
              <w:t xml:space="preserve">Signature des protocoles de données</w:t>
            </w:r>
            <w:r>
              <w:rPr>
                <w:sz w:val="17"/>
              </w:rPr>
              <w:t xml:space="preserve"> </w:t>
            </w:r>
            <w:r>
              <w:rPr>
                <w:sz w:val="17"/>
              </w:rPr>
              <w:t xml:space="preserve">prioritaires ; sélection des communes pilotes</w:t>
            </w:r>
            <w:r>
              <w:rPr>
                <w:sz w:val="17"/>
              </w:rPr>
              <w:t xml:space="preserve"> </w:t>
            </w:r>
            <w:r>
              <w:rPr>
                <w:sz w:val="17"/>
              </w:rPr>
              <w:t xml:space="preserve">; cadrage de l'architecture et de la</w:t>
            </w:r>
            <w:r>
              <w:rPr>
                <w:sz w:val="17"/>
              </w:rPr>
              <w:t xml:space="preserve"> </w:t>
            </w:r>
            <w:r>
              <w:rPr>
                <w:sz w:val="17"/>
              </w:rPr>
              <w:t xml:space="preserve">sécurité</w:t>
            </w:r>
          </w:p>
        </w:tc>
        <w:tc>
          <w:tcPr/>
          <w:p>
            <w:pPr>
              <w:pStyle w:val="Compact"/>
              <w:spacing w:after="20" w:before="20" w:line="240" w:lineRule="auto"/>
              <w:jc w:val="left"/>
            </w:pPr>
            <w:r>
              <w:rPr>
                <w:sz w:val="17"/>
              </w:rPr>
              <w:t xml:space="preserve">Comité de</w:t>
            </w:r>
            <w:r>
              <w:rPr>
                <w:sz w:val="17"/>
              </w:rPr>
              <w:t xml:space="preserve"> </w:t>
            </w:r>
            <w:r>
              <w:rPr>
                <w:sz w:val="17"/>
              </w:rPr>
              <w:t xml:space="preserve">pilotage</w:t>
            </w:r>
          </w:p>
        </w:tc>
      </w:tr>
      <w:tr>
        <w:tc>
          <w:tcPr>
            <w:shd w:val="clear" w:color="auto" w:fill="F2F9F8"/>
          </w:tcPr>
          <w:p>
            <w:pPr>
              <w:pStyle w:val="Compact"/>
              <w:spacing w:after="20" w:before="20" w:line="240" w:lineRule="auto"/>
              <w:jc w:val="left"/>
            </w:pPr>
            <w:r>
              <w:rPr>
                <w:sz w:val="17"/>
              </w:rPr>
              <w:t xml:space="preserve">46 à 60</w:t>
            </w:r>
          </w:p>
        </w:tc>
        <w:tc>
          <w:tcPr>
            <w:shd w:val="clear" w:color="auto" w:fill="F2F9F8"/>
          </w:tcPr>
          <w:p>
            <w:pPr>
              <w:pStyle w:val="Compact"/>
              <w:spacing w:after="20" w:before="20" w:line="240" w:lineRule="auto"/>
              <w:jc w:val="left"/>
            </w:pPr>
            <w:r>
              <w:rPr>
                <w:sz w:val="17"/>
              </w:rPr>
              <w:t xml:space="preserve">Paramétrage des premières fiches de recettes</w:t>
            </w:r>
            <w:r>
              <w:rPr>
                <w:sz w:val="17"/>
              </w:rPr>
              <w:t xml:space="preserve"> </w:t>
            </w:r>
            <w:r>
              <w:rPr>
                <w:sz w:val="17"/>
              </w:rPr>
              <w:t xml:space="preserve">; conventions avec les prestataires de</w:t>
            </w:r>
            <w:r>
              <w:rPr>
                <w:sz w:val="17"/>
              </w:rPr>
              <w:t xml:space="preserve"> </w:t>
            </w:r>
            <w:r>
              <w:rPr>
                <w:sz w:val="17"/>
              </w:rPr>
              <w:t xml:space="preserve">paiement ; recrutement des agents</w:t>
            </w:r>
          </w:p>
        </w:tc>
        <w:tc>
          <w:tcPr>
            <w:shd w:val="clear" w:color="auto" w:fill="F2F9F8"/>
          </w:tcPr>
          <w:p>
            <w:pPr>
              <w:pStyle w:val="Compact"/>
              <w:spacing w:after="20" w:before="20" w:line="240" w:lineRule="auto"/>
              <w:jc w:val="left"/>
            </w:pPr>
            <w:r>
              <w:rPr>
                <w:sz w:val="17"/>
              </w:rPr>
              <w:t xml:space="preserve">Programme et</w:t>
            </w:r>
            <w:r>
              <w:rPr>
                <w:sz w:val="17"/>
              </w:rPr>
              <w:t xml:space="preserve"> </w:t>
            </w:r>
            <w:r>
              <w:rPr>
                <w:sz w:val="17"/>
              </w:rPr>
              <w:t xml:space="preserve">régies</w:t>
            </w:r>
          </w:p>
        </w:tc>
      </w:tr>
      <w:tr>
        <w:tc>
          <w:tcPr/>
          <w:p>
            <w:pPr>
              <w:pStyle w:val="Compact"/>
              <w:spacing w:after="20" w:before="20" w:line="240" w:lineRule="auto"/>
              <w:jc w:val="left"/>
            </w:pPr>
            <w:r>
              <w:rPr>
                <w:sz w:val="17"/>
              </w:rPr>
              <w:t xml:space="preserve">61 à 80</w:t>
            </w:r>
          </w:p>
        </w:tc>
        <w:tc>
          <w:tcPr/>
          <w:p>
            <w:pPr>
              <w:pStyle w:val="Compact"/>
              <w:spacing w:after="20" w:before="20" w:line="240" w:lineRule="auto"/>
              <w:jc w:val="left"/>
            </w:pPr>
            <w:r>
              <w:rPr>
                <w:sz w:val="17"/>
              </w:rPr>
              <w:t xml:space="preserve">Développement du socle ; formation et</w:t>
            </w:r>
            <w:r>
              <w:rPr>
                <w:sz w:val="17"/>
              </w:rPr>
              <w:t xml:space="preserve"> </w:t>
            </w:r>
            <w:r>
              <w:rPr>
                <w:sz w:val="17"/>
              </w:rPr>
              <w:t xml:space="preserve">certification des agents recenseurs ;</w:t>
            </w:r>
            <w:r>
              <w:rPr>
                <w:sz w:val="17"/>
              </w:rPr>
              <w:t xml:space="preserve"> </w:t>
            </w:r>
            <w:r>
              <w:rPr>
                <w:sz w:val="17"/>
              </w:rPr>
              <w:t xml:space="preserve">préparation des terminaux</w:t>
            </w:r>
          </w:p>
        </w:tc>
        <w:tc>
          <w:tcPr/>
          <w:p>
            <w:pPr>
              <w:pStyle w:val="Compact"/>
              <w:spacing w:after="20" w:before="20" w:line="240" w:lineRule="auto"/>
              <w:jc w:val="left"/>
            </w:pPr>
            <w:r>
              <w:rPr>
                <w:sz w:val="17"/>
              </w:rPr>
              <w:t xml:space="preserve">Programme</w:t>
            </w:r>
          </w:p>
        </w:tc>
      </w:tr>
      <w:tr>
        <w:tc>
          <w:tcPr>
            <w:shd w:val="clear" w:color="auto" w:fill="F2F9F8"/>
          </w:tcPr>
          <w:p>
            <w:pPr>
              <w:pStyle w:val="Compact"/>
              <w:spacing w:after="20" w:before="20" w:line="240" w:lineRule="auto"/>
              <w:jc w:val="left"/>
            </w:pPr>
            <w:r>
              <w:rPr>
                <w:sz w:val="17"/>
              </w:rPr>
              <w:t xml:space="preserve">81 à 100</w:t>
            </w:r>
          </w:p>
        </w:tc>
        <w:tc>
          <w:tcPr>
            <w:shd w:val="clear" w:color="auto" w:fill="F2F9F8"/>
          </w:tcPr>
          <w:p>
            <w:pPr>
              <w:pStyle w:val="Compact"/>
              <w:spacing w:after="20" w:before="20" w:line="240" w:lineRule="auto"/>
              <w:jc w:val="left"/>
            </w:pPr>
            <w:r>
              <w:rPr>
                <w:sz w:val="17"/>
              </w:rPr>
              <w:t xml:space="preserve">Recette technique et test d'intrusion ;</w:t>
            </w:r>
            <w:r>
              <w:rPr>
                <w:sz w:val="17"/>
              </w:rPr>
              <w:t xml:space="preserve"> </w:t>
            </w:r>
            <w:r>
              <w:rPr>
                <w:sz w:val="17"/>
              </w:rPr>
              <w:t xml:space="preserve">démarrage du recensement dans la première</w:t>
            </w:r>
            <w:r>
              <w:rPr>
                <w:sz w:val="17"/>
              </w:rPr>
              <w:t xml:space="preserve"> </w:t>
            </w:r>
            <w:r>
              <w:rPr>
                <w:sz w:val="17"/>
              </w:rPr>
              <w:t xml:space="preserve">commune ; premier tableau de bord en service</w:t>
            </w:r>
          </w:p>
        </w:tc>
        <w:tc>
          <w:tcPr>
            <w:shd w:val="clear" w:color="auto" w:fill="F2F9F8"/>
          </w:tcPr>
          <w:p>
            <w:pPr>
              <w:pStyle w:val="Compact"/>
              <w:spacing w:after="20" w:before="20" w:line="240" w:lineRule="auto"/>
              <w:jc w:val="left"/>
            </w:pPr>
            <w:r>
              <w:rPr>
                <w:sz w:val="17"/>
              </w:rPr>
              <w:t xml:space="preserve">Programme,</w:t>
            </w:r>
            <w:r>
              <w:rPr>
                <w:sz w:val="17"/>
              </w:rPr>
              <w:t xml:space="preserve"> </w:t>
            </w:r>
            <w:r>
              <w:rPr>
                <w:sz w:val="17"/>
              </w:rPr>
              <w:t xml:space="preserve">sécurité, régie</w:t>
            </w:r>
          </w:p>
        </w:tc>
      </w:tr>
    </w:tbl>
    <w:bookmarkStart w:id="318" w:name="vue-synthétique-par-jalons"/>
    <w:p>
      <w:pPr>
        <w:pStyle w:val="Heading3"/>
      </w:pPr>
      <w:r>
        <w:t xml:space="preserve">Vue synthétique par jalons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Jalon</w:t>
            </w:r>
          </w:p>
        </w:tc>
        <w:tc>
          <w:tcPr>
            <w:shd w:val="clear" w:color="auto" w:fill="1BA996"/>
          </w:tcPr>
          <w:p>
            <w:pPr>
              <w:pStyle w:val="Compact"/>
              <w:spacing w:after="20" w:before="20" w:line="240" w:lineRule="auto"/>
              <w:jc w:val="left"/>
            </w:pPr>
            <w:r>
              <w:rPr>
                <w:b/>
                <w:color w:val="FFFFFF"/>
                <w:sz w:val="17"/>
              </w:rPr>
              <w:t xml:space="preserve">Contenu</w:t>
            </w:r>
          </w:p>
        </w:tc>
      </w:tr>
      <w:tr>
        <w:tc>
          <w:tcPr/>
          <w:p>
            <w:pPr>
              <w:pStyle w:val="Compact"/>
              <w:spacing w:after="20" w:before="20" w:line="240" w:lineRule="auto"/>
              <w:jc w:val="left"/>
            </w:pPr>
            <w:r>
              <w:rPr>
                <w:sz w:val="17"/>
              </w:rPr>
              <w:t xml:space="preserve">J0–30</w:t>
            </w:r>
          </w:p>
        </w:tc>
        <w:tc>
          <w:tcPr/>
          <w:p>
            <w:pPr>
              <w:pStyle w:val="Compact"/>
              <w:spacing w:after="20" w:before="20" w:line="240" w:lineRule="auto"/>
              <w:jc w:val="left"/>
            </w:pPr>
            <w:r>
              <w:rPr>
                <w:sz w:val="17"/>
              </w:rPr>
              <w:t xml:space="preserve">Gouvernance, registre juridique, base de référence, architecture, données prioritaires</w:t>
            </w:r>
          </w:p>
        </w:tc>
      </w:tr>
      <w:tr>
        <w:tc>
          <w:tcPr>
            <w:shd w:val="clear" w:color="auto" w:fill="F2F9F8"/>
          </w:tcPr>
          <w:p>
            <w:pPr>
              <w:pStyle w:val="Compact"/>
              <w:spacing w:after="20" w:before="20" w:line="240" w:lineRule="auto"/>
              <w:jc w:val="left"/>
            </w:pPr>
            <w:r>
              <w:rPr>
                <w:sz w:val="17"/>
              </w:rPr>
              <w:t xml:space="preserve">J31–60</w:t>
            </w:r>
          </w:p>
        </w:tc>
        <w:tc>
          <w:tcPr>
            <w:shd w:val="clear" w:color="auto" w:fill="F2F9F8"/>
          </w:tcPr>
          <w:p>
            <w:pPr>
              <w:pStyle w:val="Compact"/>
              <w:spacing w:after="20" w:before="20" w:line="240" w:lineRule="auto"/>
              <w:jc w:val="left"/>
            </w:pPr>
            <w:r>
              <w:rPr>
                <w:sz w:val="17"/>
              </w:rPr>
              <w:t xml:space="preserve">Identité et GIS, règles, paiement et grand livre, intégrations du pilote, application terrain</w:t>
            </w:r>
          </w:p>
        </w:tc>
      </w:tr>
      <w:tr>
        <w:tc>
          <w:tcPr/>
          <w:p>
            <w:pPr>
              <w:pStyle w:val="Compact"/>
              <w:spacing w:after="20" w:before="20" w:line="240" w:lineRule="auto"/>
              <w:jc w:val="left"/>
            </w:pPr>
            <w:r>
              <w:rPr>
                <w:sz w:val="17"/>
              </w:rPr>
              <w:t xml:space="preserve">J61–100</w:t>
            </w:r>
          </w:p>
        </w:tc>
        <w:tc>
          <w:tcPr/>
          <w:p>
            <w:pPr>
              <w:pStyle w:val="Compact"/>
              <w:spacing w:after="20" w:before="20" w:line="240" w:lineRule="auto"/>
              <w:jc w:val="left"/>
            </w:pPr>
            <w:r>
              <w:rPr>
                <w:sz w:val="17"/>
              </w:rPr>
              <w:t xml:space="preserve">Recensement ciblé, premières obligations du pilote, rapprochement, tableaux de bord, contrôles, audit indépendant, préparation du pilote complet</w:t>
            </w:r>
          </w:p>
        </w:tc>
      </w:tr>
      <w:tr>
        <w:tc>
          <w:tcPr>
            <w:shd w:val="clear" w:color="auto" w:fill="F2F9F8"/>
          </w:tcPr>
          <w:p>
            <w:pPr>
              <w:pStyle w:val="Compact"/>
              <w:spacing w:after="20" w:before="20" w:line="240" w:lineRule="auto"/>
              <w:jc w:val="left"/>
            </w:pPr>
            <w:r>
              <w:rPr>
                <w:sz w:val="17"/>
              </w:rPr>
              <w:t xml:space="preserve">J101–180</w:t>
            </w:r>
          </w:p>
        </w:tc>
        <w:tc>
          <w:tcPr>
            <w:shd w:val="clear" w:color="auto" w:fill="F2F9F8"/>
          </w:tcPr>
          <w:p>
            <w:pPr>
              <w:pStyle w:val="Compact"/>
              <w:spacing w:after="20" w:before="20" w:line="240" w:lineRule="auto"/>
              <w:jc w:val="left"/>
            </w:pPr>
            <w:r>
              <w:rPr>
                <w:sz w:val="17"/>
              </w:rPr>
              <w:t xml:space="preserve">Montée en charge contrôlée, recouvrement, IA assistive, évaluation indépendante</w:t>
            </w:r>
          </w:p>
        </w:tc>
      </w:tr>
      <w:tr>
        <w:tc>
          <w:tcPr/>
          <w:p>
            <w:pPr>
              <w:pStyle w:val="Compact"/>
              <w:spacing w:after="20" w:before="20" w:line="240" w:lineRule="auto"/>
              <w:jc w:val="left"/>
            </w:pPr>
            <w:r>
              <w:rPr>
                <w:sz w:val="17"/>
              </w:rPr>
              <w:t xml:space="preserve">12–24 mois</w:t>
            </w:r>
          </w:p>
        </w:tc>
        <w:tc>
          <w:tcPr/>
          <w:p>
            <w:pPr>
              <w:pStyle w:val="Compact"/>
              <w:spacing w:after="20" w:before="20" w:line="240" w:lineRule="auto"/>
              <w:jc w:val="left"/>
            </w:pPr>
            <w:r>
              <w:rPr>
                <w:sz w:val="17"/>
              </w:rPr>
              <w:t xml:space="preserve">Verticales, industrialisation et extension</w:t>
            </w:r>
          </w:p>
        </w:tc>
      </w:tr>
    </w:tbl>
    <w:bookmarkEnd w:id="318"/>
    <w:bookmarkStart w:id="319" w:name="X3d32b7587122c77fba1c0dc9b680c251b74bd73"/>
    <w:p>
      <w:pPr>
        <w:pStyle w:val="Heading3"/>
      </w:pPr>
      <w:r>
        <w:t xml:space="preserve">Portefeuille complémentaire des 100 premiers jours</w:t>
      </w:r>
    </w:p>
    <w:p>
      <w:pPr>
        <w:pStyle w:val="FirstParagraph"/>
      </w:pPr>
      <w:r>
        <w:t xml:space="preserve">Créer le registre unique des recettes et suspendre toute règle sans propriétaire juridique ; cartographier tous les comptes bénéficiaires et sécuriser leur modification ; établir la base de référence ; lancer le registre locatif et le registre des commerces pilotes ; connecter au moins deux canaux de paiement et tester le règlement réel de bout en bout ; déployer le QR de quittance et l’application de vérification ; mettre en place le rapprochement quotidien et une cellule d’exceptions ; lancer la revue des accès et supprimer les comptes partagés ; former les agents au non-encaissement, aux preuves et aux recours ; publier un tableau de bord public agrégé sans données personnelles.</w:t>
      </w:r>
    </w:p>
    <w:bookmarkEnd w:id="319"/>
    <w:bookmarkEnd w:id="320"/>
    <w:bookmarkStart w:id="325" w:name="X6cd11b2f19838e194b6445197a7bdfffe33e645"/>
    <w:p>
      <w:pPr>
        <w:pStyle w:val="Heading1"/>
      </w:pPr>
      <w:r>
        <w:t xml:space="preserve">47. Décisions requises du Gouvernement provincial</w:t>
      </w:r>
    </w:p>
    <w:bookmarkStart w:id="321" w:name="dix-décisions-immédiates"/>
    <w:p>
      <w:pPr>
        <w:pStyle w:val="Heading2"/>
      </w:pPr>
      <w:r>
        <w:t xml:space="preserve">47.1 Dix décisions immédiates</w:t>
      </w:r>
    </w:p>
    <w:p>
      <w:pPr>
        <w:pStyle w:val="BlockText"/>
      </w:pPr>
      <w:r>
        <w:rPr>
          <w:b/>
          <w:bCs/>
        </w:rPr>
        <w:t xml:space="preserve">1.</w:t>
      </w:r>
      <w:r>
        <w:t xml:space="preserve"> </w:t>
      </w:r>
      <w:r>
        <w:t xml:space="preserve">Approuver KINSHASA MOSOLO comme système unique de recensement,</w:t>
      </w:r>
      <w:r>
        <w:t xml:space="preserve"> </w:t>
      </w:r>
      <w:r>
        <w:t xml:space="preserve">de liquidation, de paiement, de contrôle et d'audit des recettes</w:t>
      </w:r>
      <w:r>
        <w:t xml:space="preserve"> </w:t>
      </w:r>
      <w:r>
        <w:t xml:space="preserve">provinciales.</w:t>
      </w:r>
    </w:p>
    <w:p>
      <w:pPr>
        <w:pStyle w:val="BlockText"/>
      </w:pPr>
      <w:r>
        <w:rPr>
          <w:b/>
          <w:bCs/>
        </w:rPr>
        <w:t xml:space="preserve">2.</w:t>
      </w:r>
      <w:r>
        <w:t xml:space="preserve"> </w:t>
      </w:r>
      <w:r>
        <w:t xml:space="preserve">Désigner l'autorité porteuse et installer le comité de</w:t>
      </w:r>
      <w:r>
        <w:t xml:space="preserve"> </w:t>
      </w:r>
      <w:r>
        <w:t xml:space="preserve">pilotage, avec un mandat écrit.</w:t>
      </w:r>
    </w:p>
    <w:p>
      <w:pPr>
        <w:pStyle w:val="BlockText"/>
      </w:pPr>
      <w:r>
        <w:rPr>
          <w:b/>
          <w:bCs/>
        </w:rPr>
        <w:t xml:space="preserve">3.</w:t>
      </w:r>
      <w:r>
        <w:t xml:space="preserve"> </w:t>
      </w:r>
      <w:r>
        <w:t xml:space="preserve">Ordonner la refondation du référentiel sur l'Ordonnance-loi n°</w:t>
      </w:r>
      <w:r>
        <w:t xml:space="preserve"> </w:t>
      </w:r>
      <w:r>
        <w:t xml:space="preserve">18/004 du 13 mars 2018 et sur l'édit budgétaire en vigueur, en</w:t>
      </w:r>
      <w:r>
        <w:t xml:space="preserve"> </w:t>
      </w:r>
      <w:r>
        <w:t xml:space="preserve">écartant expressément l'Ordonnance-loi n° 13/001 abrogée.</w:t>
      </w:r>
    </w:p>
    <w:p>
      <w:pPr>
        <w:pStyle w:val="BlockText"/>
      </w:pPr>
      <w:r>
        <w:rPr>
          <w:b/>
          <w:bCs/>
        </w:rPr>
        <w:t xml:space="preserve">4.</w:t>
      </w:r>
      <w:r>
        <w:t xml:space="preserve"> </w:t>
      </w:r>
      <w:r>
        <w:t xml:space="preserve">Faire certifier par les services juridiques les taux</w:t>
      </w:r>
      <w:r>
        <w:t xml:space="preserve"> </w:t>
      </w:r>
      <w:r>
        <w:t xml:space="preserve">applicables, notamment le taux de l'impôt sur les revenus locatifs et</w:t>
      </w:r>
      <w:r>
        <w:t xml:space="preserve"> </w:t>
      </w:r>
      <w:r>
        <w:t xml:space="preserve">la retenue par rang de localité.</w:t>
      </w:r>
    </w:p>
    <w:p>
      <w:pPr>
        <w:pStyle w:val="BlockText"/>
      </w:pPr>
      <w:r>
        <w:rPr>
          <w:b/>
          <w:bCs/>
        </w:rPr>
        <w:t xml:space="preserve">5.</w:t>
      </w:r>
      <w:r>
        <w:t xml:space="preserve"> </w:t>
      </w:r>
      <w:r>
        <w:t xml:space="preserve">Autoriser la signature des protocoles d'échange de données</w:t>
      </w:r>
      <w:r>
        <w:t xml:space="preserve"> </w:t>
      </w:r>
      <w:r>
        <w:t xml:space="preserve">avec les distributeurs d'énergie et d'eau, le registre des</w:t>
      </w:r>
      <w:r>
        <w:t xml:space="preserve"> </w:t>
      </w:r>
      <w:r>
        <w:t xml:space="preserve">immatriculations, les opérateurs télécoms et les brasseries.</w:t>
      </w:r>
    </w:p>
    <w:p>
      <w:pPr>
        <w:pStyle w:val="BlockText"/>
      </w:pPr>
      <w:r>
        <w:rPr>
          <w:b/>
          <w:bCs/>
        </w:rPr>
        <w:t xml:space="preserve">6.</w:t>
      </w:r>
      <w:r>
        <w:t xml:space="preserve"> </w:t>
      </w:r>
      <w:r>
        <w:t xml:space="preserve">Approuver les quatre communes pilotes et l'objectif de</w:t>
      </w:r>
      <w:r>
        <w:t xml:space="preserve"> </w:t>
      </w:r>
      <w:r>
        <w:t xml:space="preserve">campagne de février 2027.</w:t>
      </w:r>
    </w:p>
    <w:p>
      <w:pPr>
        <w:pStyle w:val="BlockText"/>
      </w:pPr>
      <w:r>
        <w:rPr>
          <w:b/>
          <w:bCs/>
        </w:rPr>
        <w:t xml:space="preserve">7.</w:t>
      </w:r>
      <w:r>
        <w:t xml:space="preserve"> </w:t>
      </w:r>
      <w:r>
        <w:t xml:space="preserve">Adopter l'acte autorisant le paiement fractionné par voie</w:t>
      </w:r>
      <w:r>
        <w:t xml:space="preserve"> </w:t>
      </w:r>
      <w:r>
        <w:t xml:space="preserve">mobile pour l'impôt foncier et l'impôt sur les revenus locatifs.</w:t>
      </w:r>
    </w:p>
    <w:p>
      <w:pPr>
        <w:pStyle w:val="BlockText"/>
      </w:pPr>
      <w:r>
        <w:rPr>
          <w:b/>
          <w:bCs/>
        </w:rPr>
        <w:t xml:space="preserve">8.</w:t>
      </w:r>
      <w:r>
        <w:t xml:space="preserve"> </w:t>
      </w:r>
      <w:r>
        <w:t xml:space="preserve">Étendre l'exigence du quitus fiscal numérique aux permis de</w:t>
      </w:r>
      <w:r>
        <w:t xml:space="preserve"> </w:t>
      </w:r>
      <w:r>
        <w:t xml:space="preserve">bâtir, aux mutations foncières et aux mutations de véhicules.</w:t>
      </w:r>
    </w:p>
    <w:p>
      <w:pPr>
        <w:pStyle w:val="BlockText"/>
      </w:pPr>
      <w:r>
        <w:rPr>
          <w:b/>
          <w:bCs/>
        </w:rPr>
        <w:t xml:space="preserve">9.</w:t>
      </w:r>
      <w:r>
        <w:t xml:space="preserve"> </w:t>
      </w:r>
      <w:r>
        <w:t xml:space="preserve">Interdire formellement toute manipulation d'espèces par les</w:t>
      </w:r>
      <w:r>
        <w:t xml:space="preserve"> </w:t>
      </w:r>
      <w:r>
        <w:t xml:space="preserve">agents dans les circuits couverts par la plateforme et fixer le régime</w:t>
      </w:r>
      <w:r>
        <w:t xml:space="preserve"> </w:t>
      </w:r>
      <w:r>
        <w:t xml:space="preserve">légal des primes de performance.</w:t>
      </w:r>
      <w:r>
        <w:t xml:space="preserve"> </w:t>
      </w:r>
      <w:r>
        <w:rPr>
          <w:b/>
          <w:bCs/>
        </w:rPr>
        <w:t xml:space="preserve">10.</w:t>
      </w:r>
      <w:r>
        <w:t xml:space="preserve"> </w:t>
      </w:r>
      <w:r>
        <w:t xml:space="preserve">Approuver le modèle de financement intégral du système d’exploitation numérique par Groupe Nseya avec partage des recettes sur 30 ans (§ 37A), adopter l’acte juridique qui l’autorise, et exiger le séquestre du code source et la réversibilité.</w:t>
      </w:r>
    </w:p>
    <w:bookmarkEnd w:id="321"/>
    <w:bookmarkStart w:id="322" w:name="synthèse-finale"/>
    <w:p>
      <w:pPr>
        <w:pStyle w:val="Heading2"/>
      </w:pPr>
      <w:r>
        <w:t xml:space="preserve">47.2 Synthèse finale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140"/>
        <w:gridCol w:w="5565"/>
      </w:tblGrid>
      <w:tr>
        <w:trPr>
          <w:tblHeader w:val="true"/>
          <w:tblHeader/>
        </w:trPr>
        <w:tc>
          <w:tcPr>
            <w:shd w:val="clear" w:color="auto" w:fill="1BA996"/>
          </w:tcPr>
          <w:p>
            <w:pPr>
              <w:pStyle w:val="Compact"/>
              <w:spacing w:after="20" w:before="20" w:line="240" w:lineRule="auto"/>
              <w:jc w:val="left"/>
            </w:pPr>
            <w:r>
              <w:rPr>
                <w:b/>
                <w:bCs/>
                <w:color w:val="FFFFFF"/>
                <w:sz w:val="17"/>
              </w:rPr>
              <w:t xml:space="preserve">Objet</w:t>
            </w:r>
          </w:p>
        </w:tc>
        <w:tc>
          <w:tcPr>
            <w:shd w:val="clear" w:color="auto" w:fill="1BA996"/>
          </w:tcPr>
          <w:p>
            <w:pPr>
              <w:pStyle w:val="Compact"/>
              <w:spacing w:after="20" w:before="20" w:line="240" w:lineRule="auto"/>
              <w:jc w:val="left"/>
            </w:pPr>
            <w:r>
              <w:rPr>
                <w:b/>
                <w:bCs/>
                <w:color w:val="FFFFFF"/>
                <w:sz w:val="17"/>
              </w:rPr>
              <w:t xml:space="preserve">Position recommandée</w:t>
            </w:r>
          </w:p>
        </w:tc>
      </w:tr>
      <w:tr>
        <w:tc>
          <w:tcPr/>
          <w:p>
            <w:pPr>
              <w:pStyle w:val="Compact"/>
              <w:spacing w:after="20" w:before="20" w:line="240" w:lineRule="auto"/>
              <w:jc w:val="left"/>
            </w:pPr>
            <w:r>
              <w:rPr>
                <w:sz w:val="17"/>
              </w:rPr>
              <w:t xml:space="preserve">Pilote</w:t>
            </w:r>
          </w:p>
        </w:tc>
        <w:tc>
          <w:tcPr/>
          <w:p>
            <w:pPr>
              <w:pStyle w:val="Compact"/>
              <w:spacing w:after="20" w:before="20" w:line="240" w:lineRule="auto"/>
              <w:jc w:val="left"/>
            </w:pPr>
            <w:r>
              <w:rPr>
                <w:sz w:val="17"/>
              </w:rPr>
              <w:t xml:space="preserve">180 jours à Gombe, Limete, Kalamu et Ngaliema, calé</w:t>
            </w:r>
            <w:r>
              <w:rPr>
                <w:sz w:val="17"/>
              </w:rPr>
              <w:t xml:space="preserve"> </w:t>
            </w:r>
            <w:r>
              <w:rPr>
                <w:sz w:val="17"/>
              </w:rPr>
              <w:t xml:space="preserve">sur la campagne de février</w:t>
            </w:r>
          </w:p>
        </w:tc>
      </w:tr>
      <w:tr>
        <w:tc>
          <w:tcPr>
            <w:shd w:val="clear" w:color="auto" w:fill="F2F9F8"/>
          </w:tcPr>
          <w:p>
            <w:pPr>
              <w:pStyle w:val="Compact"/>
              <w:spacing w:after="20" w:before="20" w:line="240" w:lineRule="auto"/>
              <w:jc w:val="left"/>
            </w:pPr>
            <w:r>
              <w:rPr>
                <w:sz w:val="17"/>
              </w:rPr>
              <w:t xml:space="preserve">Gouvernance</w:t>
            </w:r>
          </w:p>
        </w:tc>
        <w:tc>
          <w:tcPr>
            <w:shd w:val="clear" w:color="auto" w:fill="F2F9F8"/>
          </w:tcPr>
          <w:p>
            <w:pPr>
              <w:pStyle w:val="Compact"/>
              <w:spacing w:after="20" w:before="20" w:line="240" w:lineRule="auto"/>
              <w:jc w:val="left"/>
            </w:pPr>
            <w:r>
              <w:rPr>
                <w:sz w:val="17"/>
              </w:rPr>
              <w:t xml:space="preserve">Comité de pilotage présidé par le ministère</w:t>
            </w:r>
            <w:r>
              <w:rPr>
                <w:sz w:val="17"/>
              </w:rPr>
              <w:t xml:space="preserve"> </w:t>
            </w:r>
            <w:r>
              <w:rPr>
                <w:sz w:val="17"/>
              </w:rPr>
              <w:t xml:space="preserve">provincial des Finances, contrôle indépendant</w:t>
            </w:r>
            <w:r>
              <w:rPr>
                <w:sz w:val="17"/>
              </w:rPr>
              <w:t xml:space="preserve"> </w:t>
            </w:r>
            <w:r>
              <w:rPr>
                <w:sz w:val="17"/>
              </w:rPr>
              <w:t xml:space="preserve">trimestriel, comité juridique permanent</w:t>
            </w:r>
          </w:p>
        </w:tc>
      </w:tr>
      <w:tr>
        <w:tc>
          <w:tcPr/>
          <w:p>
            <w:pPr>
              <w:pStyle w:val="Compact"/>
              <w:spacing w:after="20" w:before="20" w:line="240" w:lineRule="auto"/>
              <w:jc w:val="left"/>
            </w:pPr>
            <w:r>
              <w:rPr>
                <w:sz w:val="17"/>
              </w:rPr>
              <w:t xml:space="preserve">Catégories</w:t>
            </w:r>
            <w:r>
              <w:rPr>
                <w:sz w:val="17"/>
              </w:rPr>
              <w:t xml:space="preserve"> </w:t>
            </w:r>
            <w:r>
              <w:rPr>
                <w:sz w:val="17"/>
              </w:rPr>
              <w:t xml:space="preserve">budgétaires</w:t>
            </w:r>
            <w:r>
              <w:rPr>
                <w:sz w:val="17"/>
              </w:rPr>
              <w:t xml:space="preserve"> </w:t>
            </w:r>
            <w:r>
              <w:rPr>
                <w:sz w:val="17"/>
              </w:rPr>
              <w:t xml:space="preserve">initiales</w:t>
            </w:r>
          </w:p>
        </w:tc>
        <w:tc>
          <w:tcPr/>
          <w:p>
            <w:pPr>
              <w:pStyle w:val="Compact"/>
              <w:spacing w:after="20" w:before="20" w:line="240" w:lineRule="auto"/>
              <w:jc w:val="left"/>
            </w:pPr>
            <w:r>
              <w:rPr>
                <w:sz w:val="17"/>
              </w:rPr>
              <w:t xml:space="preserve">Cadrage et juridique ; développement du socle ;</w:t>
            </w:r>
            <w:r>
              <w:rPr>
                <w:sz w:val="17"/>
              </w:rPr>
              <w:t xml:space="preserve"> </w:t>
            </w:r>
            <w:r>
              <w:rPr>
                <w:sz w:val="17"/>
              </w:rPr>
              <w:t xml:space="preserve">hébergement souverain ; équipements terrain ;</w:t>
            </w:r>
            <w:r>
              <w:rPr>
                <w:sz w:val="17"/>
              </w:rPr>
              <w:t xml:space="preserve"> </w:t>
            </w:r>
            <w:r>
              <w:rPr>
                <w:sz w:val="17"/>
              </w:rPr>
              <w:t xml:space="preserve">formation ; communication ; cybersécurité et tests</w:t>
            </w:r>
            <w:r>
              <w:rPr>
                <w:sz w:val="17"/>
              </w:rPr>
              <w:t xml:space="preserve"> </w:t>
            </w:r>
            <w:r>
              <w:rPr>
                <w:sz w:val="17"/>
              </w:rPr>
              <w:t xml:space="preserve">; audit indépendant ; exploitation</w:t>
            </w:r>
          </w:p>
        </w:tc>
      </w:tr>
      <w:tr>
        <w:tc>
          <w:tcPr>
            <w:shd w:val="clear" w:color="auto" w:fill="F2F9F8"/>
          </w:tcPr>
          <w:p>
            <w:pPr>
              <w:pStyle w:val="Compact"/>
              <w:spacing w:after="20" w:before="20" w:line="240" w:lineRule="auto"/>
              <w:jc w:val="left"/>
            </w:pPr>
            <w:r>
              <w:rPr>
                <w:sz w:val="17"/>
              </w:rPr>
              <w:t xml:space="preserve">Gisements les plus</w:t>
            </w:r>
            <w:r>
              <w:rPr>
                <w:sz w:val="17"/>
              </w:rPr>
              <w:t xml:space="preserve"> </w:t>
            </w:r>
            <w:r>
              <w:rPr>
                <w:sz w:val="17"/>
              </w:rPr>
              <w:t xml:space="preserve">élevés</w:t>
            </w:r>
          </w:p>
        </w:tc>
        <w:tc>
          <w:tcPr>
            <w:shd w:val="clear" w:color="auto" w:fill="F2F9F8"/>
          </w:tcPr>
          <w:p>
            <w:pPr>
              <w:pStyle w:val="Compact"/>
              <w:spacing w:after="20" w:before="20" w:line="240" w:lineRule="auto"/>
              <w:jc w:val="left"/>
            </w:pPr>
            <w:r>
              <w:rPr>
                <w:sz w:val="17"/>
              </w:rPr>
              <w:t xml:space="preserve">Revenus locatifs ; impôt foncier ; taxe de</w:t>
            </w:r>
            <w:r>
              <w:rPr>
                <w:sz w:val="17"/>
              </w:rPr>
              <w:t xml:space="preserve"> </w:t>
            </w:r>
            <w:r>
              <w:rPr>
                <w:sz w:val="17"/>
              </w:rPr>
              <w:t xml:space="preserve">consommation sur les boissons et le tabac ;</w:t>
            </w:r>
            <w:r>
              <w:rPr>
                <w:sz w:val="17"/>
              </w:rPr>
              <w:t xml:space="preserve"> </w:t>
            </w:r>
            <w:r>
              <w:rPr>
                <w:sz w:val="17"/>
              </w:rPr>
              <w:t xml:space="preserve">véhicules ; publicité et antennes ; domaine public</w:t>
            </w:r>
            <w:r>
              <w:rPr>
                <w:sz w:val="17"/>
              </w:rPr>
              <w:t xml:space="preserve"> </w:t>
            </w:r>
            <w:r>
              <w:rPr>
                <w:sz w:val="17"/>
              </w:rPr>
              <w:t xml:space="preserve">et marchés</w:t>
            </w:r>
          </w:p>
        </w:tc>
      </w:tr>
      <w:tr>
        <w:tc>
          <w:tcPr/>
          <w:p>
            <w:pPr>
              <w:pStyle w:val="Compact"/>
              <w:spacing w:after="20" w:before="20" w:line="240" w:lineRule="auto"/>
              <w:jc w:val="left"/>
            </w:pPr>
            <w:r>
              <w:rPr>
                <w:sz w:val="17"/>
              </w:rPr>
              <w:t xml:space="preserve">Contrôles</w:t>
            </w:r>
            <w:r>
              <w:rPr>
                <w:sz w:val="17"/>
              </w:rPr>
              <w:t xml:space="preserve"> </w:t>
            </w:r>
            <w:r>
              <w:rPr>
                <w:sz w:val="17"/>
              </w:rPr>
              <w:t xml:space="preserve">anti-fraude les</w:t>
            </w:r>
            <w:r>
              <w:rPr>
                <w:sz w:val="17"/>
              </w:rPr>
              <w:t xml:space="preserve"> </w:t>
            </w:r>
            <w:r>
              <w:rPr>
                <w:sz w:val="17"/>
              </w:rPr>
              <w:t xml:space="preserve">plus forts</w:t>
            </w:r>
          </w:p>
        </w:tc>
        <w:tc>
          <w:tcPr/>
          <w:p>
            <w:pPr>
              <w:pStyle w:val="Compact"/>
              <w:spacing w:after="20" w:before="20" w:line="240" w:lineRule="auto"/>
              <w:jc w:val="left"/>
            </w:pPr>
            <w:r>
              <w:rPr>
                <w:sz w:val="17"/>
              </w:rPr>
              <w:t xml:space="preserve">Zéro espèces pour les agents ; comptes</w:t>
            </w:r>
            <w:r>
              <w:rPr>
                <w:sz w:val="17"/>
              </w:rPr>
              <w:t xml:space="preserve"> </w:t>
            </w:r>
            <w:r>
              <w:rPr>
                <w:sz w:val="17"/>
              </w:rPr>
              <w:t xml:space="preserve">bénéficiaires verrouillés à double validation ;</w:t>
            </w:r>
            <w:r>
              <w:rPr>
                <w:sz w:val="17"/>
              </w:rPr>
              <w:t xml:space="preserve"> </w:t>
            </w:r>
            <w:r>
              <w:rPr>
                <w:sz w:val="17"/>
              </w:rPr>
              <w:t xml:space="preserve">quittance vérifiable publiquement ; journal</w:t>
            </w:r>
            <w:r>
              <w:rPr>
                <w:sz w:val="17"/>
              </w:rPr>
              <w:t xml:space="preserve"> </w:t>
            </w:r>
            <w:r>
              <w:rPr>
                <w:sz w:val="17"/>
              </w:rPr>
              <w:t xml:space="preserve">d'audit en ajout seul avec sauvegarde indépendante</w:t>
            </w:r>
          </w:p>
        </w:tc>
      </w:tr>
      <w:tr>
        <w:tc>
          <w:tcPr>
            <w:shd w:val="clear" w:color="auto" w:fill="F2F9F8"/>
          </w:tcPr>
          <w:p>
            <w:pPr>
              <w:pStyle w:val="Compact"/>
              <w:spacing w:after="20" w:before="20" w:line="240" w:lineRule="auto"/>
              <w:jc w:val="left"/>
            </w:pPr>
            <w:r>
              <w:rPr>
                <w:sz w:val="17"/>
              </w:rPr>
              <w:t xml:space="preserve">Validations</w:t>
            </w:r>
            <w:r>
              <w:rPr>
                <w:sz w:val="17"/>
              </w:rPr>
              <w:t xml:space="preserve"> </w:t>
            </w:r>
            <w:r>
              <w:rPr>
                <w:sz w:val="17"/>
              </w:rPr>
              <w:t xml:space="preserve">juridiques</w:t>
            </w:r>
            <w:r>
              <w:rPr>
                <w:sz w:val="17"/>
              </w:rPr>
              <w:t xml:space="preserve"> </w:t>
            </w:r>
            <w:r>
              <w:rPr>
                <w:sz w:val="17"/>
              </w:rPr>
              <w:t xml:space="preserve">critiques</w:t>
            </w:r>
          </w:p>
        </w:tc>
        <w:tc>
          <w:tcPr>
            <w:shd w:val="clear" w:color="auto" w:fill="F2F9F8"/>
          </w:tcPr>
          <w:p>
            <w:pPr>
              <w:pStyle w:val="Compact"/>
              <w:spacing w:after="20" w:before="20" w:line="240" w:lineRule="auto"/>
              <w:jc w:val="left"/>
            </w:pPr>
            <w:r>
              <w:rPr>
                <w:sz w:val="17"/>
              </w:rPr>
              <w:t xml:space="preserve">Nomenclature en vigueur ; taux et retenues ; valeur</w:t>
            </w:r>
            <w:r>
              <w:rPr>
                <w:sz w:val="17"/>
              </w:rPr>
              <w:t xml:space="preserve"> </w:t>
            </w:r>
            <w:r>
              <w:rPr>
                <w:sz w:val="17"/>
              </w:rPr>
              <w:t xml:space="preserve">de la quittance électronique ; base des échéanciers</w:t>
            </w:r>
            <w:r>
              <w:rPr>
                <w:sz w:val="17"/>
              </w:rPr>
              <w:t xml:space="preserve"> </w:t>
            </w:r>
            <w:r>
              <w:rPr>
                <w:sz w:val="17"/>
              </w:rPr>
              <w:t xml:space="preserve">; partage de données ; habilitation des agrégateurs</w:t>
            </w:r>
            <w:r>
              <w:rPr>
                <w:sz w:val="17"/>
              </w:rPr>
              <w:t xml:space="preserve"> </w:t>
            </w:r>
            <w:r>
              <w:rPr>
                <w:sz w:val="17"/>
              </w:rPr>
              <w:t xml:space="preserve">; régime des primes</w:t>
            </w:r>
          </w:p>
        </w:tc>
      </w:tr>
      <w:tr>
        <w:tc>
          <w:tcPr/>
          <w:p>
            <w:pPr>
              <w:pStyle w:val="Compact"/>
              <w:spacing w:after="20" w:before="20" w:line="240" w:lineRule="auto"/>
              <w:jc w:val="left"/>
            </w:pPr>
            <w:r>
              <w:rPr>
                <w:sz w:val="17"/>
              </w:rPr>
              <w:t xml:space="preserve">Prochaine action</w:t>
            </w:r>
          </w:p>
        </w:tc>
        <w:tc>
          <w:tcPr/>
          <w:p>
            <w:pPr>
              <w:pStyle w:val="Compact"/>
              <w:spacing w:after="20" w:before="20" w:line="240" w:lineRule="auto"/>
              <w:jc w:val="left"/>
            </w:pPr>
            <w:r>
              <w:rPr>
                <w:sz w:val="17"/>
              </w:rPr>
              <w:t xml:space="preserve">Signer la décision de lancement et convoquer le</w:t>
            </w:r>
            <w:r>
              <w:rPr>
                <w:sz w:val="17"/>
              </w:rPr>
              <w:t xml:space="preserve"> </w:t>
            </w:r>
            <w:r>
              <w:rPr>
                <w:sz w:val="17"/>
              </w:rPr>
              <w:t xml:space="preserve">comité de pilotage dans les quinze jours, afin</w:t>
            </w:r>
            <w:r>
              <w:rPr>
                <w:sz w:val="17"/>
              </w:rPr>
              <w:t xml:space="preserve"> </w:t>
            </w:r>
            <w:r>
              <w:rPr>
                <w:sz w:val="17"/>
              </w:rPr>
              <w:t xml:space="preserve">d'engager le relevé juridique et le recensement</w:t>
            </w:r>
            <w:r>
              <w:rPr>
                <w:sz w:val="17"/>
              </w:rPr>
              <w:t xml:space="preserve"> </w:t>
            </w:r>
            <w:r>
              <w:rPr>
                <w:sz w:val="17"/>
              </w:rPr>
              <w:t xml:space="preserve">avant la campagne de février</w:t>
            </w:r>
          </w:p>
        </w:tc>
      </w:tr>
    </w:tbl>
    <w:bookmarkEnd w:id="322"/>
    <w:bookmarkStart w:id="323" w:name="décisions-complémentaires-de-gouvernance"/>
    <w:p>
      <w:pPr>
        <w:pStyle w:val="Heading2"/>
      </w:pPr>
      <w:r>
        <w:t xml:space="preserve">47.3 Décisions complémentaires de gouvernance</w:t>
      </w:r>
    </w:p>
    <w:p>
      <w:pPr>
        <w:pStyle w:val="FirstParagraph"/>
      </w:pPr>
      <w:r>
        <w:t xml:space="preserve">Les documents sources formulent, en plus des dix décisions du § 47.1, les décisions de gouvernance suivantes, qui les complètent :</w:t>
      </w:r>
    </w:p>
    <w:p>
      <w:pPr>
        <w:pStyle w:val="Compact"/>
        <w:numPr>
          <w:ilvl w:val="0"/>
          <w:numId w:val="1082"/>
        </w:numPr>
      </w:pPr>
      <w:r>
        <w:t xml:space="preserve">Confirmer MOSOLO comme architecture faîtière unique des recettes de la Ville Province.</w:t>
      </w:r>
    </w:p>
    <w:p>
      <w:pPr>
        <w:pStyle w:val="Compact"/>
        <w:numPr>
          <w:ilvl w:val="0"/>
          <w:numId w:val="1082"/>
        </w:numPr>
      </w:pPr>
      <w:r>
        <w:t xml:space="preserve">Nommer un sponsor exécutif et un directeur de programme (Programme Director).</w:t>
      </w:r>
    </w:p>
    <w:p>
      <w:pPr>
        <w:pStyle w:val="Compact"/>
        <w:numPr>
          <w:ilvl w:val="0"/>
          <w:numId w:val="1082"/>
        </w:numPr>
      </w:pPr>
      <w:r>
        <w:t xml:space="preserve">Créer le comité juridique et tarifaire (Legal &amp; Revenue Rule Board) comme instance permanente.</w:t>
      </w:r>
    </w:p>
    <w:p>
      <w:pPr>
        <w:pStyle w:val="Compact"/>
        <w:numPr>
          <w:ilvl w:val="0"/>
          <w:numId w:val="1082"/>
        </w:numPr>
      </w:pPr>
      <w:r>
        <w:t xml:space="preserve">Autoriser une base de référence indépendante avant toute promesse de gains.</w:t>
      </w:r>
    </w:p>
    <w:p>
      <w:pPr>
        <w:pStyle w:val="Compact"/>
        <w:numPr>
          <w:ilvl w:val="0"/>
          <w:numId w:val="1082"/>
        </w:numPr>
      </w:pPr>
      <w:r>
        <w:t xml:space="preserve">Confirmer le principe de versement direct vers les comptes publics désignés.</w:t>
      </w:r>
    </w:p>
    <w:p>
      <w:pPr>
        <w:pStyle w:val="Compact"/>
        <w:numPr>
          <w:ilvl w:val="0"/>
          <w:numId w:val="1082"/>
        </w:numPr>
      </w:pPr>
      <w:r>
        <w:t xml:space="preserve">Adopter la Constitution financière MOSOLO et la séparation des pouvoirs (§ 12.3).</w:t>
      </w:r>
    </w:p>
    <w:p>
      <w:pPr>
        <w:pStyle w:val="Compact"/>
        <w:numPr>
          <w:ilvl w:val="0"/>
          <w:numId w:val="1082"/>
        </w:numPr>
      </w:pPr>
      <w:r>
        <w:t xml:space="preserve">Autoriser un accès inter-administrations encadré et les conventions de partage de données nécessaires, sous cadre légal.</w:t>
      </w:r>
    </w:p>
    <w:p>
      <w:pPr>
        <w:pStyle w:val="Compact"/>
        <w:numPr>
          <w:ilvl w:val="0"/>
          <w:numId w:val="1082"/>
        </w:numPr>
      </w:pPr>
      <w:r>
        <w:t xml:space="preserve">Choisir le modèle de passation avec des clauses fortes de souveraineté et de réversibilité contractuelle.</w:t>
      </w:r>
    </w:p>
    <w:p>
      <w:pPr>
        <w:pStyle w:val="Compact"/>
        <w:numPr>
          <w:ilvl w:val="0"/>
          <w:numId w:val="1082"/>
        </w:numPr>
      </w:pPr>
      <w:r>
        <w:t xml:space="preserve">Conditionner la généralisation aux résultats audités du pilote.</w:t>
      </w:r>
    </w:p>
    <w:p>
      <w:pPr>
        <w:pStyle w:val="Compact"/>
        <w:numPr>
          <w:ilvl w:val="0"/>
          <w:numId w:val="1082"/>
        </w:numPr>
      </w:pPr>
      <w:r>
        <w:t xml:space="preserve">Adopter le principe « aucune espèce entre les mains d’un agent public ou d’un sous-traitant » et autoriser le réseau des points de paiement agréés (§ 18A).</w:t>
      </w:r>
    </w:p>
    <w:p>
      <w:pPr>
        <w:pStyle w:val="Compact"/>
        <w:numPr>
          <w:ilvl w:val="0"/>
          <w:numId w:val="1082"/>
        </w:numPr>
      </w:pPr>
      <w:r>
        <w:t xml:space="preserve">Créer le cadre d’accréditation des sous-traitants terrain et désigner un responsable pour chaque module requérant des agents (§ 15A).</w:t>
      </w:r>
    </w:p>
    <w:p>
      <w:pPr>
        <w:pStyle w:val="Compact"/>
        <w:numPr>
          <w:ilvl w:val="0"/>
          <w:numId w:val="1082"/>
        </w:numPr>
      </w:pPr>
      <w:r>
        <w:t xml:space="preserve">Garantir la gratuité de l’enrôlement, du code USSD et du serveur vocal, et ouvrir un guichet MOSOLO dans chaque commune pilote (§ 13A).</w:t>
      </w:r>
    </w:p>
    <w:p>
      <w:pPr>
        <w:pStyle w:val="Compact"/>
        <w:numPr>
          <w:ilvl w:val="0"/>
          <w:numId w:val="1082"/>
        </w:numPr>
      </w:pPr>
      <w:r>
        <w:t xml:space="preserve">Créer la ligne de signalement protégée et le programme de contrôles mystère (§ 18A.8).</w:t>
      </w:r>
    </w:p>
    <w:p>
      <w:pPr>
        <w:pStyle w:val="Compact"/>
        <w:numPr>
          <w:ilvl w:val="0"/>
          <w:numId w:val="1082"/>
        </w:numPr>
      </w:pPr>
      <w:r>
        <w:t xml:space="preserve">Adopter le principe « un socle commun, des espaces propres » et la procédure d’arbitrage entre entités revendiquant un même fait générateur (§ 10A).</w:t>
      </w:r>
    </w:p>
    <w:p>
      <w:pPr>
        <w:pStyle w:val="Compact"/>
        <w:numPr>
          <w:ilvl w:val="0"/>
          <w:numId w:val="1082"/>
        </w:numPr>
      </w:pPr>
      <w:r>
        <w:t xml:space="preserve">Adopter le standard des titres à durée de validité (statuts vert, ambre, rouge ; contrôle par plaque, QR ou code) pour tous les modules, et exiger que tout opérateur délégué émette ses titres par MOSOLO (§ 19A).</w:t>
      </w:r>
    </w:p>
    <w:p>
      <w:pPr>
        <w:pStyle w:val="Compact"/>
        <w:numPr>
          <w:ilvl w:val="0"/>
          <w:numId w:val="1082"/>
        </w:numPr>
      </w:pPr>
      <w:r>
        <w:t xml:space="preserve">Adopter l’acte juridique instituant le financement intégral du système d’exploitation numérique par Groupe Nseya et la clé de répartition 10 / 10 / 10 / 70 sur 30 ans, et approuver la convention tripartite de règlement à deux flux (§ 37A).</w:t>
      </w:r>
    </w:p>
    <w:p>
      <w:pPr>
        <w:pStyle w:val="Compact"/>
        <w:numPr>
          <w:ilvl w:val="0"/>
          <w:numId w:val="1082"/>
        </w:numPr>
      </w:pPr>
      <w:r>
        <w:t xml:space="preserve">Arrêter, avant le lancement du pilote, le plan de financement des moyens physiques du déploiement (terminaux, guichets MOSOLO, plaques et cartes QR, frais de communication), qui ne sont pas compris dans l’investissement de Groupe Nseya (§ 37A.1).</w:t>
      </w:r>
    </w:p>
    <w:p>
      <w:pPr>
        <w:pStyle w:val="Compact"/>
        <w:numPr>
          <w:ilvl w:val="0"/>
          <w:numId w:val="1082"/>
        </w:numPr>
      </w:pPr>
      <w:r>
        <w:t xml:space="preserve">Adopter la politique d’accès : inscription publique réservée aux contribuables ; accès de tous les intervenants, du Gouverneur aux agents de terrain, uniquement sur invitation, finalisée depuis le lien d’invitation ou par l’opérateur d’accès désigné de chaque entité ; rattachement des modules aux ministères et entités par l’administrateur de la plateforme, avec seconde validation (§ 12A).</w:t>
      </w:r>
    </w:p>
    <w:p>
      <w:pPr>
        <w:pStyle w:val="Compact"/>
        <w:numPr>
          <w:ilvl w:val="0"/>
          <w:numId w:val="1082"/>
        </w:numPr>
      </w:pPr>
      <w:r>
        <w:t xml:space="preserve">Autoriser la transformation des artères principales et de l’intégralité de la Gombe en zones de stationnement payant réglementé, adopter les grilles tarifaires et lancer le pilote ParkSmart (§ 11A).</w:t>
      </w:r>
    </w:p>
    <w:p>
      <w:pPr>
        <w:pStyle w:val="Compact"/>
        <w:numPr>
          <w:ilvl w:val="0"/>
          <w:numId w:val="1082"/>
        </w:numPr>
      </w:pPr>
      <w:r>
        <w:t xml:space="preserve">Adopter les arrêtés intégrant la Ville dans la chaîne de données aériennes (IFA, rapprochement RVA et DGM) et engager le dialogue avec les compagnies, l’IATA et l’autorité de l’aviation civile (§ 11C).</w:t>
      </w:r>
    </w:p>
    <w:p>
      <w:pPr>
        <w:pStyle w:val="Compact"/>
        <w:numPr>
          <w:ilvl w:val="0"/>
          <w:numId w:val="1082"/>
        </w:numPr>
      </w:pPr>
      <w:r>
        <w:t xml:space="preserve">Lancer le recensement numérique des supports publicitaires et l’accréditation des contrôleurs KIN PUB CONTROL (§ 11B).</w:t>
      </w:r>
    </w:p>
    <w:p>
      <w:pPr>
        <w:pStyle w:val="Compact"/>
        <w:numPr>
          <w:ilvl w:val="0"/>
          <w:numId w:val="1082"/>
        </w:numPr>
      </w:pPr>
      <w:r>
        <w:t xml:space="preserve">Adopter l’acte rendant obligatoires l’immatriculation fiscale des maisons et la plaque NFIU (§ 16.7).</w:t>
      </w:r>
    </w:p>
    <w:p>
      <w:pPr>
        <w:pStyle w:val="Compact"/>
        <w:numPr>
          <w:ilvl w:val="0"/>
          <w:numId w:val="1082"/>
        </w:numPr>
      </w:pPr>
      <w:r>
        <w:t xml:space="preserve">Adopter le texte rendant obligatoire la déclaration des comptes publics et lancer un pilote CALCU sur une entité (§ 27A).</w:t>
      </w:r>
    </w:p>
    <w:p>
      <w:pPr>
        <w:pStyle w:val="Compact"/>
        <w:numPr>
          <w:ilvl w:val="0"/>
          <w:numId w:val="1082"/>
        </w:numPr>
      </w:pPr>
      <w:r>
        <w:t xml:space="preserve">Autoriser la billetterie multi-opérateurs pour les droits d’accès urbains, dont la taxe journalière des transports, sous réserve de leur base légale (§ 11D).</w:t>
      </w:r>
    </w:p>
    <w:p>
      <w:pPr>
        <w:pStyle w:val="Compact"/>
        <w:numPr>
          <w:ilvl w:val="0"/>
          <w:numId w:val="1082"/>
        </w:numPr>
      </w:pPr>
      <w:r>
        <w:t xml:space="preserve">Lancer, en concertation avec les coopératives de wewa, l’enregistrement gratuit des moto-taxis et de leurs conducteurs, et adopter l’acte fixant le pass wewa et son tarif, avec interdiction de tout prélèvement en espèces sur la route (§ 11D.8).</w:t>
      </w:r>
    </w:p>
    <w:bookmarkEnd w:id="323"/>
    <w:bookmarkStart w:id="324" w:name="conclusion"/>
    <w:p>
      <w:pPr>
        <w:pStyle w:val="Heading2"/>
      </w:pPr>
      <w:r>
        <w:t xml:space="preserve">47.4 Conclusion</w:t>
      </w:r>
    </w:p>
    <w:p>
      <w:pPr>
        <w:pStyle w:val="FirstParagraph"/>
      </w:pPr>
      <w:r>
        <w:rPr>
          <w:b/>
          <w:bCs/>
        </w:rPr>
        <w:t xml:space="preserve">KINSHASA MOSOLO n’est pas un nouveau guichet de paiement. C’est l’infrastructure de vérité des recettes de Kinshasa.</w:t>
      </w:r>
      <w:r>
        <w:t xml:space="preserve"> </w:t>
      </w:r>
      <w:r>
        <w:t xml:space="preserve">Sa valeur tient à sa capacité à expliquer qui est concerné, quel objet est visé, où il se trouve, quelle règle s’applique, comment l’obligation a été calculée, où le paiement a été dénoué, comment il a été rapproché, qui a agi et quelles preuves subsistent — en reliant chaque personne, objet, lieu, règle, obligation, paiement, règlement, rapprochement, quittance, contrôle et décision dans une chaîne unique, explicable et auditable, tout en maintenant la légalité, la séparation des pouvoirs et la souveraineté des données. La maximisation des recettes devient alors une discipline de données, de droit, de contrôle, de service public et d’exécution — pas une simple multiplication de taxes.</w:t>
      </w:r>
    </w:p>
    <w:p>
      <w:pPr>
        <w:pStyle w:val="BodyText"/>
      </w:pPr>
      <w:r>
        <w:rPr>
          <w:b/>
          <w:bCs/>
        </w:rPr>
        <w:t xml:space="preserve">KINSHASA MOSOLO — chaque contribuable identifié, chaque activité</w:t>
      </w:r>
      <w:r>
        <w:rPr>
          <w:b/>
          <w:bCs/>
        </w:rPr>
        <w:t xml:space="preserve"> </w:t>
      </w:r>
      <w:r>
        <w:rPr>
          <w:b/>
          <w:bCs/>
        </w:rPr>
        <w:t xml:space="preserve">localisée, chaque obligation légalement calculée, chaque paiement</w:t>
      </w:r>
      <w:r>
        <w:rPr>
          <w:b/>
          <w:bCs/>
        </w:rPr>
        <w:t xml:space="preserve"> </w:t>
      </w:r>
      <w:r>
        <w:rPr>
          <w:b/>
          <w:bCs/>
        </w:rPr>
        <w:t xml:space="preserve">vérifiable et chaque franc public traçable.</w:t>
      </w:r>
    </w:p>
    <w:bookmarkEnd w:id="324"/>
    <w:bookmarkEnd w:id="325"/>
    <w:bookmarkStart w:id="326" w:name="X7994ab54c4d37c82fca6561a034d418cac2c104"/>
    <w:p>
      <w:pPr>
        <w:pStyle w:val="Heading1"/>
        <w:pageBreakBefore/>
      </w:pPr>
      <w:r>
        <w:t xml:space="preserve">Annexe A — Sources consultées et niveau de fiabilité</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022"/>
        <w:gridCol w:w="2709"/>
        <w:gridCol w:w="1980"/>
      </w:tblGrid>
      <w:tr>
        <w:trPr>
          <w:tblHeader w:val="true"/>
          <w:tblHeader/>
        </w:trPr>
        <w:tc>
          <w:tcPr>
            <w:shd w:val="clear" w:color="auto" w:fill="1BA996"/>
          </w:tcPr>
          <w:p>
            <w:pPr>
              <w:pStyle w:val="Compact"/>
              <w:spacing w:after="20" w:before="20" w:line="240" w:lineRule="auto"/>
              <w:jc w:val="left"/>
            </w:pPr>
            <w:r>
              <w:rPr>
                <w:b/>
                <w:bCs/>
                <w:color w:val="FFFFFF"/>
                <w:sz w:val="17"/>
              </w:rPr>
              <w:t xml:space="preserve">Source</w:t>
            </w:r>
          </w:p>
        </w:tc>
        <w:tc>
          <w:tcPr>
            <w:shd w:val="clear" w:color="auto" w:fill="1BA996"/>
          </w:tcPr>
          <w:p>
            <w:pPr>
              <w:pStyle w:val="Compact"/>
              <w:spacing w:after="20" w:before="20" w:line="240" w:lineRule="auto"/>
              <w:jc w:val="left"/>
            </w:pPr>
            <w:r>
              <w:rPr>
                <w:b/>
                <w:bCs/>
                <w:color w:val="FFFFFF"/>
                <w:sz w:val="17"/>
              </w:rPr>
              <w:t xml:space="preserve">Usage</w:t>
            </w:r>
          </w:p>
        </w:tc>
        <w:tc>
          <w:tcPr>
            <w:shd w:val="clear" w:color="auto" w:fill="1BA996"/>
          </w:tcPr>
          <w:p>
            <w:pPr>
              <w:pStyle w:val="Compact"/>
              <w:spacing w:after="20" w:before="20" w:line="240" w:lineRule="auto"/>
              <w:jc w:val="left"/>
            </w:pPr>
            <w:r>
              <w:rPr>
                <w:b/>
                <w:bCs/>
                <w:color w:val="FFFFFF"/>
                <w:sz w:val="17"/>
              </w:rPr>
              <w:t xml:space="preserve">Fiabilité</w:t>
            </w:r>
          </w:p>
        </w:tc>
      </w:tr>
      <w:tr>
        <w:tc>
          <w:tcPr/>
          <w:p>
            <w:pPr>
              <w:pStyle w:val="Compact"/>
              <w:spacing w:after="20" w:before="20" w:line="240" w:lineRule="auto"/>
              <w:jc w:val="left"/>
            </w:pPr>
            <w:r>
              <w:rPr>
                <w:sz w:val="17"/>
              </w:rPr>
              <w:t xml:space="preserve">Ordonnance-loi n° 18/004 du</w:t>
            </w:r>
            <w:r>
              <w:rPr>
                <w:sz w:val="17"/>
              </w:rPr>
              <w:t xml:space="preserve"> </w:t>
            </w:r>
            <w:r>
              <w:rPr>
                <w:sz w:val="17"/>
              </w:rPr>
              <w:t xml:space="preserve">13 mars 2018 (bases</w:t>
            </w:r>
            <w:r>
              <w:rPr>
                <w:sz w:val="17"/>
              </w:rPr>
              <w:t xml:space="preserve"> </w:t>
            </w:r>
            <w:r>
              <w:rPr>
                <w:sz w:val="17"/>
              </w:rPr>
              <w:t xml:space="preserve">documentaires juridiques</w:t>
            </w:r>
            <w:r>
              <w:rPr>
                <w:sz w:val="17"/>
              </w:rPr>
              <w:t xml:space="preserve"> </w:t>
            </w:r>
            <w:r>
              <w:rPr>
                <w:sz w:val="17"/>
              </w:rPr>
              <w:t xml:space="preserve">internationales)</w:t>
            </w:r>
          </w:p>
        </w:tc>
        <w:tc>
          <w:tcPr/>
          <w:p>
            <w:pPr>
              <w:pStyle w:val="Compact"/>
              <w:spacing w:after="20" w:before="20" w:line="240" w:lineRule="auto"/>
              <w:jc w:val="left"/>
            </w:pPr>
            <w:r>
              <w:rPr>
                <w:sz w:val="17"/>
              </w:rPr>
              <w:t xml:space="preserve">Nomenclature provinciale</w:t>
            </w:r>
            <w:r>
              <w:rPr>
                <w:sz w:val="17"/>
              </w:rPr>
              <w:t xml:space="preserve"> </w:t>
            </w:r>
            <w:r>
              <w:rPr>
                <w:sz w:val="17"/>
              </w:rPr>
              <w:t xml:space="preserve">en vigueur, abrogation de</w:t>
            </w:r>
            <w:r>
              <w:rPr>
                <w:sz w:val="17"/>
              </w:rPr>
              <w:t xml:space="preserve"> </w:t>
            </w:r>
            <w:r>
              <w:rPr>
                <w:sz w:val="17"/>
              </w:rPr>
              <w:t xml:space="preserve">l'Ordonnance-loi n°</w:t>
            </w:r>
            <w:r>
              <w:rPr>
                <w:sz w:val="17"/>
              </w:rPr>
              <w:t xml:space="preserve"> </w:t>
            </w:r>
            <w:r>
              <w:rPr>
                <w:sz w:val="17"/>
              </w:rPr>
              <w:t xml:space="preserve">13/001</w:t>
            </w:r>
          </w:p>
        </w:tc>
        <w:tc>
          <w:tcPr/>
          <w:p>
            <w:pPr>
              <w:pStyle w:val="Compact"/>
              <w:spacing w:after="20" w:before="20" w:line="240" w:lineRule="auto"/>
              <w:jc w:val="left"/>
            </w:pPr>
            <w:r>
              <w:rPr>
                <w:sz w:val="17"/>
              </w:rPr>
              <w:t xml:space="preserve">Élevée, à</w:t>
            </w:r>
            <w:r>
              <w:rPr>
                <w:sz w:val="17"/>
              </w:rPr>
              <w:t xml:space="preserve"> </w:t>
            </w:r>
            <w:r>
              <w:rPr>
                <w:sz w:val="17"/>
              </w:rPr>
              <w:t xml:space="preserve">confirmer sur le</w:t>
            </w:r>
            <w:r>
              <w:rPr>
                <w:sz w:val="17"/>
              </w:rPr>
              <w:t xml:space="preserve"> </w:t>
            </w:r>
            <w:r>
              <w:rPr>
                <w:sz w:val="17"/>
              </w:rPr>
              <w:t xml:space="preserve">Journal officiel</w:t>
            </w:r>
          </w:p>
        </w:tc>
      </w:tr>
      <w:tr>
        <w:tc>
          <w:tcPr>
            <w:shd w:val="clear" w:color="auto" w:fill="F2F9F8"/>
          </w:tcPr>
          <w:p>
            <w:pPr>
              <w:pStyle w:val="Compact"/>
              <w:spacing w:after="20" w:before="20" w:line="240" w:lineRule="auto"/>
              <w:jc w:val="left"/>
            </w:pPr>
            <w:r>
              <w:rPr>
                <w:sz w:val="17"/>
              </w:rPr>
              <w:t xml:space="preserve">Ordonnance-loi n° 18/003 du</w:t>
            </w:r>
            <w:r>
              <w:rPr>
                <w:sz w:val="17"/>
              </w:rPr>
              <w:t xml:space="preserve"> </w:t>
            </w:r>
            <w:r>
              <w:rPr>
                <w:sz w:val="17"/>
              </w:rPr>
              <w:t xml:space="preserve">13 mars 2018</w:t>
            </w:r>
          </w:p>
        </w:tc>
        <w:tc>
          <w:tcPr>
            <w:shd w:val="clear" w:color="auto" w:fill="F2F9F8"/>
          </w:tcPr>
          <w:p>
            <w:pPr>
              <w:pStyle w:val="Compact"/>
              <w:spacing w:after="20" w:before="20" w:line="240" w:lineRule="auto"/>
              <w:jc w:val="left"/>
            </w:pPr>
            <w:r>
              <w:rPr>
                <w:sz w:val="17"/>
              </w:rPr>
              <w:t xml:space="preserve">Nomenclature du pouvoir</w:t>
            </w:r>
            <w:r>
              <w:rPr>
                <w:sz w:val="17"/>
              </w:rPr>
              <w:t xml:space="preserve"> </w:t>
            </w:r>
            <w:r>
              <w:rPr>
                <w:sz w:val="17"/>
              </w:rPr>
              <w:t xml:space="preserve">central, exclusion des</w:t>
            </w:r>
            <w:r>
              <w:rPr>
                <w:sz w:val="17"/>
              </w:rPr>
              <w:t xml:space="preserve"> </w:t>
            </w:r>
            <w:r>
              <w:rPr>
                <w:sz w:val="17"/>
              </w:rPr>
              <w:t xml:space="preserve">doublons</w:t>
            </w:r>
          </w:p>
        </w:tc>
        <w:tc>
          <w:tcPr>
            <w:shd w:val="clear" w:color="auto" w:fill="F2F9F8"/>
          </w:tcPr>
          <w:p>
            <w:pPr>
              <w:pStyle w:val="Compact"/>
              <w:spacing w:after="20" w:before="20" w:line="240" w:lineRule="auto"/>
              <w:jc w:val="left"/>
            </w:pPr>
            <w:r>
              <w:rPr>
                <w:sz w:val="17"/>
              </w:rPr>
              <w:t xml:space="preserve">Élevée</w:t>
            </w:r>
          </w:p>
        </w:tc>
      </w:tr>
      <w:tr>
        <w:tc>
          <w:tcPr/>
          <w:p>
            <w:pPr>
              <w:pStyle w:val="Compact"/>
              <w:spacing w:after="20" w:before="20" w:line="240" w:lineRule="auto"/>
              <w:jc w:val="left"/>
            </w:pPr>
            <w:r>
              <w:rPr>
                <w:sz w:val="17"/>
              </w:rPr>
              <w:t xml:space="preserve">Restitution de l'évaluation</w:t>
            </w:r>
            <w:r>
              <w:rPr>
                <w:sz w:val="17"/>
              </w:rPr>
              <w:t xml:space="preserve"> </w:t>
            </w:r>
            <w:r>
              <w:rPr>
                <w:sz w:val="17"/>
              </w:rPr>
              <w:t xml:space="preserve">TADAT de la DGRK, septembre</w:t>
            </w:r>
            <w:r>
              <w:rPr>
                <w:sz w:val="17"/>
              </w:rPr>
              <w:t xml:space="preserve"> </w:t>
            </w:r>
            <w:r>
              <w:rPr>
                <w:sz w:val="17"/>
              </w:rPr>
              <w:t xml:space="preserve">2025</w:t>
            </w:r>
          </w:p>
        </w:tc>
        <w:tc>
          <w:tcPr/>
          <w:p>
            <w:pPr>
              <w:pStyle w:val="Compact"/>
              <w:spacing w:after="20" w:before="20" w:line="240" w:lineRule="auto"/>
              <w:jc w:val="left"/>
            </w:pPr>
            <w:r>
              <w:rPr>
                <w:sz w:val="17"/>
              </w:rPr>
              <w:t xml:space="preserve">Diagnostic des faiblesses</w:t>
            </w:r>
            <w:r>
              <w:rPr>
                <w:sz w:val="17"/>
              </w:rPr>
              <w:t xml:space="preserve"> </w:t>
            </w:r>
            <w:r>
              <w:rPr>
                <w:sz w:val="17"/>
              </w:rPr>
              <w:t xml:space="preserve">administratives</w:t>
            </w:r>
          </w:p>
        </w:tc>
        <w:tc>
          <w:tcPr/>
          <w:p>
            <w:pPr>
              <w:pStyle w:val="Compact"/>
              <w:spacing w:after="20" w:before="20" w:line="240" w:lineRule="auto"/>
              <w:jc w:val="left"/>
            </w:pPr>
            <w:r>
              <w:rPr>
                <w:sz w:val="17"/>
              </w:rPr>
              <w:t xml:space="preserve">Élevée, presse</w:t>
            </w:r>
            <w:r>
              <w:rPr>
                <w:sz w:val="17"/>
              </w:rPr>
              <w:t xml:space="preserve"> </w:t>
            </w:r>
            <w:r>
              <w:rPr>
                <w:sz w:val="17"/>
              </w:rPr>
              <w:t xml:space="preserve">spécialisée</w:t>
            </w:r>
          </w:p>
        </w:tc>
      </w:tr>
      <w:tr>
        <w:tc>
          <w:tcPr>
            <w:shd w:val="clear" w:color="auto" w:fill="F2F9F8"/>
          </w:tcPr>
          <w:p>
            <w:pPr>
              <w:pStyle w:val="Compact"/>
              <w:spacing w:after="20" w:before="20" w:line="240" w:lineRule="auto"/>
              <w:jc w:val="left"/>
            </w:pPr>
            <w:r>
              <w:rPr>
                <w:sz w:val="17"/>
              </w:rPr>
              <w:t xml:space="preserve">Communiqués et campagnes</w:t>
            </w:r>
            <w:r>
              <w:rPr>
                <w:sz w:val="17"/>
              </w:rPr>
              <w:t xml:space="preserve"> </w:t>
            </w:r>
            <w:r>
              <w:rPr>
                <w:sz w:val="17"/>
              </w:rPr>
              <w:t xml:space="preserve">fiscales de la Ville,</w:t>
            </w:r>
            <w:r>
              <w:rPr>
                <w:sz w:val="17"/>
              </w:rPr>
              <w:t xml:space="preserve"> </w:t>
            </w:r>
            <w:r>
              <w:rPr>
                <w:sz w:val="17"/>
              </w:rPr>
              <w:t xml:space="preserve">janvier à mars 2026</w:t>
            </w:r>
          </w:p>
        </w:tc>
        <w:tc>
          <w:tcPr>
            <w:shd w:val="clear" w:color="auto" w:fill="F2F9F8"/>
          </w:tcPr>
          <w:p>
            <w:pPr>
              <w:pStyle w:val="Compact"/>
              <w:spacing w:after="20" w:before="20" w:line="240" w:lineRule="auto"/>
              <w:jc w:val="left"/>
            </w:pPr>
            <w:r>
              <w:rPr>
                <w:sz w:val="17"/>
              </w:rPr>
              <w:t xml:space="preserve">Taux IF et IRL, retenues</w:t>
            </w:r>
            <w:r>
              <w:rPr>
                <w:sz w:val="17"/>
              </w:rPr>
              <w:t xml:space="preserve"> </w:t>
            </w:r>
            <w:r>
              <w:rPr>
                <w:sz w:val="17"/>
              </w:rPr>
              <w:t xml:space="preserve">par rang, échéances,</w:t>
            </w:r>
            <w:r>
              <w:rPr>
                <w:sz w:val="17"/>
              </w:rPr>
              <w:t xml:space="preserve"> </w:t>
            </w:r>
            <w:r>
              <w:rPr>
                <w:sz w:val="17"/>
              </w:rPr>
              <w:t xml:space="preserve">quitus fiscal,</w:t>
            </w:r>
            <w:r>
              <w:rPr>
                <w:sz w:val="17"/>
              </w:rPr>
              <w:t xml:space="preserve"> </w:t>
            </w:r>
            <w:r>
              <w:rPr>
                <w:sz w:val="17"/>
              </w:rPr>
              <w:t xml:space="preserve">télédéclaration</w:t>
            </w:r>
          </w:p>
        </w:tc>
        <w:tc>
          <w:tcPr>
            <w:shd w:val="clear" w:color="auto" w:fill="F2F9F8"/>
          </w:tcPr>
          <w:p>
            <w:pPr>
              <w:pStyle w:val="Compact"/>
              <w:spacing w:after="20" w:before="20" w:line="240" w:lineRule="auto"/>
              <w:jc w:val="left"/>
            </w:pPr>
            <w:r>
              <w:rPr>
                <w:sz w:val="17"/>
              </w:rPr>
              <w:t xml:space="preserve">Moyenne à élevée,</w:t>
            </w:r>
            <w:r>
              <w:rPr>
                <w:sz w:val="17"/>
              </w:rPr>
              <w:t xml:space="preserve"> </w:t>
            </w:r>
            <w:r>
              <w:rPr>
                <w:sz w:val="17"/>
              </w:rPr>
              <w:t xml:space="preserve">à confirmer par</w:t>
            </w:r>
            <w:r>
              <w:rPr>
                <w:sz w:val="17"/>
              </w:rPr>
              <w:t xml:space="preserve"> </w:t>
            </w:r>
            <w:r>
              <w:rPr>
                <w:sz w:val="17"/>
              </w:rPr>
              <w:t xml:space="preserve">les arrêtés</w:t>
            </w:r>
          </w:p>
        </w:tc>
      </w:tr>
      <w:tr>
        <w:tc>
          <w:tcPr/>
          <w:p>
            <w:pPr>
              <w:pStyle w:val="Compact"/>
              <w:spacing w:after="20" w:before="20" w:line="240" w:lineRule="auto"/>
              <w:jc w:val="left"/>
            </w:pPr>
            <w:r>
              <w:rPr>
                <w:sz w:val="17"/>
              </w:rPr>
              <w:t xml:space="preserve">Matinée fiscale FEC–DGRK,</w:t>
            </w:r>
            <w:r>
              <w:rPr>
                <w:sz w:val="17"/>
              </w:rPr>
              <w:t xml:space="preserve"> </w:t>
            </w:r>
            <w:r>
              <w:rPr>
                <w:sz w:val="17"/>
              </w:rPr>
              <w:t xml:space="preserve">mars 2026</w:t>
            </w:r>
          </w:p>
        </w:tc>
        <w:tc>
          <w:tcPr/>
          <w:p>
            <w:pPr>
              <w:pStyle w:val="Compact"/>
              <w:spacing w:after="20" w:before="20" w:line="240" w:lineRule="auto"/>
              <w:jc w:val="left"/>
            </w:pPr>
            <w:r>
              <w:rPr>
                <w:sz w:val="17"/>
              </w:rPr>
              <w:t xml:space="preserve">Innovations de l'édit</w:t>
            </w:r>
            <w:r>
              <w:rPr>
                <w:sz w:val="17"/>
              </w:rPr>
              <w:t xml:space="preserve"> </w:t>
            </w:r>
            <w:r>
              <w:rPr>
                <w:sz w:val="17"/>
              </w:rPr>
              <w:t xml:space="preserve">budgétaire 2026</w:t>
            </w:r>
          </w:p>
        </w:tc>
        <w:tc>
          <w:tcPr/>
          <w:p>
            <w:pPr>
              <w:pStyle w:val="Compact"/>
              <w:spacing w:after="20" w:before="20" w:line="240" w:lineRule="auto"/>
              <w:jc w:val="left"/>
            </w:pPr>
            <w:r>
              <w:rPr>
                <w:sz w:val="17"/>
              </w:rPr>
              <w:t xml:space="preserve">Moyenne, à</w:t>
            </w:r>
            <w:r>
              <w:rPr>
                <w:sz w:val="17"/>
              </w:rPr>
              <w:t xml:space="preserve"> </w:t>
            </w:r>
            <w:r>
              <w:rPr>
                <w:sz w:val="17"/>
              </w:rPr>
              <w:t xml:space="preserve">confirmer par le</w:t>
            </w:r>
            <w:r>
              <w:rPr>
                <w:sz w:val="17"/>
              </w:rPr>
              <w:t xml:space="preserve"> </w:t>
            </w:r>
            <w:r>
              <w:rPr>
                <w:sz w:val="17"/>
              </w:rPr>
              <w:t xml:space="preserve">texte de l'édit</w:t>
            </w:r>
          </w:p>
        </w:tc>
      </w:tr>
      <w:tr>
        <w:tc>
          <w:tcPr>
            <w:shd w:val="clear" w:color="auto" w:fill="F2F9F8"/>
          </w:tcPr>
          <w:p>
            <w:pPr>
              <w:pStyle w:val="Compact"/>
              <w:spacing w:after="20" w:before="20" w:line="240" w:lineRule="auto"/>
              <w:jc w:val="left"/>
            </w:pPr>
            <w:r>
              <w:rPr>
                <w:sz w:val="17"/>
              </w:rPr>
              <w:t xml:space="preserve">Atelier du 14 mai 2026 sur</w:t>
            </w:r>
            <w:r>
              <w:rPr>
                <w:sz w:val="17"/>
              </w:rPr>
              <w:t xml:space="preserve"> </w:t>
            </w:r>
            <w:r>
              <w:rPr>
                <w:sz w:val="17"/>
              </w:rPr>
              <w:t xml:space="preserve">la création de la DGRFK et</w:t>
            </w:r>
            <w:r>
              <w:rPr>
                <w:sz w:val="17"/>
              </w:rPr>
              <w:t xml:space="preserve"> </w:t>
            </w:r>
            <w:r>
              <w:rPr>
                <w:sz w:val="17"/>
              </w:rPr>
              <w:t xml:space="preserve">de la DGTK</w:t>
            </w:r>
          </w:p>
        </w:tc>
        <w:tc>
          <w:tcPr>
            <w:shd w:val="clear" w:color="auto" w:fill="F2F9F8"/>
          </w:tcPr>
          <w:p>
            <w:pPr>
              <w:pStyle w:val="Compact"/>
              <w:spacing w:after="20" w:before="20" w:line="240" w:lineRule="auto"/>
              <w:jc w:val="left"/>
            </w:pPr>
            <w:r>
              <w:rPr>
                <w:sz w:val="17"/>
              </w:rPr>
              <w:t xml:space="preserve">Réforme institutionnelle</w:t>
            </w:r>
            <w:r>
              <w:rPr>
                <w:sz w:val="17"/>
              </w:rPr>
              <w:t xml:space="preserve"> </w:t>
            </w:r>
            <w:r>
              <w:rPr>
                <w:sz w:val="17"/>
              </w:rPr>
              <w:t xml:space="preserve">en cours</w:t>
            </w:r>
          </w:p>
        </w:tc>
        <w:tc>
          <w:tcPr>
            <w:shd w:val="clear" w:color="auto" w:fill="F2F9F8"/>
          </w:tcPr>
          <w:p>
            <w:pPr>
              <w:pStyle w:val="Compact"/>
              <w:spacing w:after="20" w:before="20" w:line="240" w:lineRule="auto"/>
              <w:jc w:val="left"/>
            </w:pPr>
            <w:r>
              <w:rPr>
                <w:sz w:val="17"/>
              </w:rPr>
              <w:t xml:space="preserve">Moyenne, presse</w:t>
            </w:r>
            <w:r>
              <w:rPr>
                <w:sz w:val="17"/>
              </w:rPr>
              <w:t xml:space="preserve"> </w:t>
            </w:r>
            <w:r>
              <w:rPr>
                <w:sz w:val="17"/>
              </w:rPr>
              <w:t xml:space="preserve">partiellement</w:t>
            </w:r>
            <w:r>
              <w:rPr>
                <w:sz w:val="17"/>
              </w:rPr>
              <w:t xml:space="preserve"> </w:t>
            </w:r>
            <w:r>
              <w:rPr>
                <w:sz w:val="17"/>
              </w:rPr>
              <w:t xml:space="preserve">générée</w:t>
            </w:r>
            <w:r>
              <w:rPr>
                <w:sz w:val="17"/>
              </w:rPr>
              <w:t xml:space="preserve"> </w:t>
            </w:r>
            <w:r>
              <w:rPr>
                <w:sz w:val="17"/>
              </w:rPr>
              <w:t xml:space="preserve">automatiquement, à</w:t>
            </w:r>
            <w:r>
              <w:rPr>
                <w:sz w:val="17"/>
              </w:rPr>
              <w:t xml:space="preserve"> </w:t>
            </w:r>
            <w:r>
              <w:rPr>
                <w:sz w:val="17"/>
              </w:rPr>
              <w:t xml:space="preserve">confirmer par les</w:t>
            </w:r>
            <w:r>
              <w:rPr>
                <w:sz w:val="17"/>
              </w:rPr>
              <w:t xml:space="preserve"> </w:t>
            </w:r>
            <w:r>
              <w:rPr>
                <w:sz w:val="17"/>
              </w:rPr>
              <w:t xml:space="preserve">textes</w:t>
            </w:r>
          </w:p>
        </w:tc>
      </w:tr>
      <w:tr>
        <w:tc>
          <w:tcPr/>
          <w:p>
            <w:pPr>
              <w:pStyle w:val="Compact"/>
              <w:spacing w:after="20" w:before="20" w:line="240" w:lineRule="auto"/>
              <w:jc w:val="left"/>
            </w:pPr>
            <w:r>
              <w:rPr>
                <w:sz w:val="17"/>
              </w:rPr>
              <w:t xml:space="preserve">Contrat de performance de la</w:t>
            </w:r>
            <w:r>
              <w:rPr>
                <w:sz w:val="17"/>
              </w:rPr>
              <w:t xml:space="preserve"> </w:t>
            </w:r>
            <w:r>
              <w:rPr>
                <w:sz w:val="17"/>
              </w:rPr>
              <w:t xml:space="preserve">DGRK et recettes IF/IRL de</w:t>
            </w:r>
            <w:r>
              <w:rPr>
                <w:sz w:val="17"/>
              </w:rPr>
              <w:t xml:space="preserve"> </w:t>
            </w:r>
            <w:r>
              <w:rPr>
                <w:sz w:val="17"/>
              </w:rPr>
              <w:t xml:space="preserve">janvier 2026</w:t>
            </w:r>
          </w:p>
        </w:tc>
        <w:tc>
          <w:tcPr/>
          <w:p>
            <w:pPr>
              <w:pStyle w:val="Compact"/>
              <w:spacing w:after="20" w:before="20" w:line="240" w:lineRule="auto"/>
              <w:jc w:val="left"/>
            </w:pPr>
            <w:r>
              <w:rPr>
                <w:sz w:val="17"/>
              </w:rPr>
              <w:t xml:space="preserve">Ordre de grandeur des</w:t>
            </w:r>
            <w:r>
              <w:rPr>
                <w:sz w:val="17"/>
              </w:rPr>
              <w:t xml:space="preserve"> </w:t>
            </w:r>
            <w:r>
              <w:rPr>
                <w:sz w:val="17"/>
              </w:rPr>
              <w:t xml:space="preserve">assignations et du</w:t>
            </w:r>
            <w:r>
              <w:rPr>
                <w:sz w:val="17"/>
              </w:rPr>
              <w:t xml:space="preserve"> </w:t>
            </w:r>
            <w:r>
              <w:rPr>
                <w:sz w:val="17"/>
              </w:rPr>
              <w:t xml:space="preserve">réalisé</w:t>
            </w:r>
          </w:p>
        </w:tc>
        <w:tc>
          <w:tcPr/>
          <w:p>
            <w:pPr>
              <w:pStyle w:val="Compact"/>
              <w:spacing w:after="20" w:before="20" w:line="240" w:lineRule="auto"/>
              <w:jc w:val="left"/>
            </w:pPr>
            <w:r>
              <w:rPr>
                <w:sz w:val="17"/>
              </w:rPr>
              <w:t xml:space="preserve">Moyenne, presse</w:t>
            </w:r>
          </w:p>
        </w:tc>
      </w:tr>
      <w:tr>
        <w:tc>
          <w:tcPr>
            <w:shd w:val="clear" w:color="auto" w:fill="F2F9F8"/>
          </w:tcPr>
          <w:p>
            <w:pPr>
              <w:pStyle w:val="Compact"/>
              <w:spacing w:after="20" w:before="20" w:line="240" w:lineRule="auto"/>
              <w:jc w:val="left"/>
            </w:pPr>
            <w:r>
              <w:rPr>
                <w:sz w:val="17"/>
              </w:rPr>
              <w:t xml:space="preserve">Taux budgétaire moyen 2025</w:t>
            </w:r>
            <w:r>
              <w:rPr>
                <w:sz w:val="17"/>
              </w:rPr>
              <w:t xml:space="preserve"> </w:t>
            </w:r>
            <w:r>
              <w:rPr>
                <w:sz w:val="17"/>
              </w:rPr>
              <w:t xml:space="preserve">(2 859,2 CDF par dollar)</w:t>
            </w:r>
          </w:p>
        </w:tc>
        <w:tc>
          <w:tcPr>
            <w:shd w:val="clear" w:color="auto" w:fill="F2F9F8"/>
          </w:tcPr>
          <w:p>
            <w:pPr>
              <w:pStyle w:val="Compact"/>
              <w:spacing w:after="20" w:before="20" w:line="240" w:lineRule="auto"/>
              <w:jc w:val="left"/>
            </w:pPr>
            <w:r>
              <w:rPr>
                <w:sz w:val="17"/>
              </w:rPr>
              <w:t xml:space="preserve">Conversions indicatives</w:t>
            </w:r>
          </w:p>
        </w:tc>
        <w:tc>
          <w:tcPr>
            <w:shd w:val="clear" w:color="auto" w:fill="F2F9F8"/>
          </w:tcPr>
          <w:p>
            <w:pPr>
              <w:pStyle w:val="Compact"/>
              <w:spacing w:after="20" w:before="20" w:line="240" w:lineRule="auto"/>
              <w:jc w:val="left"/>
            </w:pPr>
            <w:r>
              <w:rPr>
                <w:sz w:val="17"/>
              </w:rPr>
              <w:t xml:space="preserve">Moyenne à élevée</w:t>
            </w:r>
          </w:p>
        </w:tc>
      </w:tr>
      <w:tr>
        <w:tc>
          <w:tcPr/>
          <w:p>
            <w:pPr>
              <w:pStyle w:val="Compact"/>
              <w:spacing w:after="20" w:before="20" w:line="240" w:lineRule="auto"/>
              <w:jc w:val="left"/>
            </w:pPr>
            <w:r>
              <w:rPr>
                <w:sz w:val="17"/>
              </w:rPr>
              <w:t xml:space="preserve">Note de projet KIN-RECETTES</w:t>
            </w:r>
            <w:r>
              <w:rPr>
                <w:sz w:val="17"/>
              </w:rPr>
              <w:t xml:space="preserve"> </w:t>
            </w:r>
            <w:r>
              <w:rPr>
                <w:sz w:val="17"/>
              </w:rPr>
              <w:t xml:space="preserve">transmise le 22 septembre</w:t>
            </w:r>
            <w:r>
              <w:rPr>
                <w:sz w:val="17"/>
              </w:rPr>
              <w:t xml:space="preserve"> </w:t>
            </w:r>
            <w:r>
              <w:rPr>
                <w:sz w:val="17"/>
              </w:rPr>
              <w:t xml:space="preserve">2026</w:t>
            </w:r>
          </w:p>
        </w:tc>
        <w:tc>
          <w:tcPr/>
          <w:p>
            <w:pPr>
              <w:pStyle w:val="Compact"/>
              <w:spacing w:after="20" w:before="20" w:line="240" w:lineRule="auto"/>
              <w:jc w:val="left"/>
            </w:pPr>
            <w:r>
              <w:rPr>
                <w:sz w:val="17"/>
              </w:rPr>
              <w:t xml:space="preserve">Concept initial, exemples</w:t>
            </w:r>
            <w:r>
              <w:rPr>
                <w:sz w:val="17"/>
              </w:rPr>
              <w:t xml:space="preserve"> </w:t>
            </w:r>
            <w:r>
              <w:rPr>
                <w:sz w:val="17"/>
              </w:rPr>
              <w:t xml:space="preserve">d'interfaces, chaîne</w:t>
            </w:r>
            <w:r>
              <w:rPr>
                <w:sz w:val="17"/>
              </w:rPr>
              <w:t xml:space="preserve"> </w:t>
            </w:r>
            <w:r>
              <w:rPr>
                <w:sz w:val="17"/>
              </w:rPr>
              <w:t xml:space="preserve">opératoire</w:t>
            </w:r>
          </w:p>
        </w:tc>
        <w:tc>
          <w:tcPr/>
          <w:p>
            <w:pPr>
              <w:pStyle w:val="Compact"/>
              <w:spacing w:after="20" w:before="20" w:line="240" w:lineRule="auto"/>
              <w:jc w:val="left"/>
            </w:pPr>
            <w:r>
              <w:rPr>
                <w:sz w:val="17"/>
              </w:rPr>
              <w:t xml:space="preserve">Document de</w:t>
            </w:r>
            <w:r>
              <w:rPr>
                <w:sz w:val="17"/>
              </w:rPr>
              <w:t xml:space="preserve"> </w:t>
            </w:r>
            <w:r>
              <w:rPr>
                <w:sz w:val="17"/>
              </w:rPr>
              <w:t xml:space="preserve">travail interne</w:t>
            </w:r>
          </w:p>
        </w:tc>
      </w:tr>
    </w:tbl>
    <w:p>
      <w:pPr>
        <w:pStyle w:val="BodyText"/>
      </w:pPr>
      <w:r>
        <w:rPr>
          <w:b/>
          <w:bCs/>
        </w:rPr>
        <w:t xml:space="preserve">Documents de travail consolidés dans le présent référentiel</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Document</w:t>
            </w:r>
          </w:p>
        </w:tc>
        <w:tc>
          <w:tcPr>
            <w:shd w:val="clear" w:color="auto" w:fill="1BA996"/>
          </w:tcPr>
          <w:p>
            <w:pPr>
              <w:pStyle w:val="Compact"/>
              <w:spacing w:after="20" w:before="20" w:line="240" w:lineRule="auto"/>
              <w:jc w:val="left"/>
            </w:pPr>
            <w:r>
              <w:rPr>
                <w:b/>
                <w:color w:val="FFFFFF"/>
                <w:sz w:val="17"/>
              </w:rPr>
              <w:t xml:space="preserve">Date</w:t>
            </w:r>
          </w:p>
        </w:tc>
        <w:tc>
          <w:tcPr>
            <w:shd w:val="clear" w:color="auto" w:fill="1BA996"/>
          </w:tcPr>
          <w:p>
            <w:pPr>
              <w:pStyle w:val="Compact"/>
              <w:spacing w:after="20" w:before="20" w:line="240" w:lineRule="auto"/>
              <w:jc w:val="left"/>
            </w:pPr>
            <w:r>
              <w:rPr>
                <w:b/>
                <w:color w:val="FFFFFF"/>
                <w:sz w:val="17"/>
              </w:rPr>
              <w:t xml:space="preserve">Usage</w:t>
            </w:r>
          </w:p>
        </w:tc>
      </w:tr>
      <w:tr>
        <w:tc>
          <w:tcPr/>
          <w:p>
            <w:pPr>
              <w:pStyle w:val="Compact"/>
              <w:spacing w:after="20" w:before="20" w:line="240" w:lineRule="auto"/>
              <w:jc w:val="left"/>
            </w:pPr>
            <w:r>
              <w:rPr>
                <w:sz w:val="17"/>
              </w:rPr>
              <w:t xml:space="preserve">Document maître de conception, de gouvernance et de mise en œuvre v1.0 (S1)</w:t>
            </w:r>
          </w:p>
        </w:tc>
        <w:tc>
          <w:tcPr/>
          <w:p>
            <w:pPr>
              <w:pStyle w:val="Compact"/>
              <w:spacing w:after="20" w:before="20" w:line="240" w:lineRule="auto"/>
              <w:jc w:val="left"/>
            </w:pPr>
            <w:r>
              <w:rPr>
                <w:sz w:val="17"/>
              </w:rPr>
              <w:t xml:space="preserve">24 septembre 2026</w:t>
            </w:r>
          </w:p>
        </w:tc>
        <w:tc>
          <w:tcPr/>
          <w:p>
            <w:pPr>
              <w:pStyle w:val="Compact"/>
              <w:spacing w:after="20" w:before="20" w:line="240" w:lineRule="auto"/>
              <w:jc w:val="left"/>
            </w:pPr>
            <w:r>
              <w:rPr>
                <w:sz w:val="17"/>
              </w:rPr>
              <w:t xml:space="preserve">Ossature intégrale</w:t>
            </w:r>
          </w:p>
        </w:tc>
      </w:tr>
      <w:tr>
        <w:tc>
          <w:tcPr>
            <w:shd w:val="clear" w:color="auto" w:fill="F2F9F8"/>
          </w:tcPr>
          <w:p>
            <w:pPr>
              <w:pStyle w:val="Compact"/>
              <w:spacing w:after="20" w:before="20" w:line="240" w:lineRule="auto"/>
              <w:jc w:val="left"/>
            </w:pPr>
            <w:r>
              <w:rPr>
                <w:sz w:val="17"/>
              </w:rPr>
              <w:t xml:space="preserve">Master Product Requirements &amp; Government Implementation Document, 47 sections (S2)</w:t>
            </w:r>
          </w:p>
        </w:tc>
        <w:tc>
          <w:tcPr>
            <w:shd w:val="clear" w:color="auto" w:fill="F2F9F8"/>
          </w:tcPr>
          <w:p>
            <w:pPr>
              <w:pStyle w:val="Compact"/>
              <w:spacing w:after="20" w:before="20" w:line="240" w:lineRule="auto"/>
              <w:jc w:val="left"/>
            </w:pPr>
            <w:r>
              <w:rPr>
                <w:sz w:val="17"/>
              </w:rPr>
              <w:t xml:space="preserve">Septembre 2026</w:t>
            </w:r>
          </w:p>
        </w:tc>
        <w:tc>
          <w:tcPr>
            <w:shd w:val="clear" w:color="auto" w:fill="F2F9F8"/>
          </w:tcPr>
          <w:p>
            <w:pPr>
              <w:pStyle w:val="Compact"/>
              <w:spacing w:after="20" w:before="20" w:line="240" w:lineRule="auto"/>
              <w:jc w:val="left"/>
            </w:pPr>
            <w:r>
              <w:rPr>
                <w:sz w:val="17"/>
              </w:rPr>
              <w:t xml:space="preserve">Exigences produit et développeur</w:t>
            </w:r>
          </w:p>
        </w:tc>
      </w:tr>
      <w:tr>
        <w:tc>
          <w:tcPr/>
          <w:p>
            <w:pPr>
              <w:pStyle w:val="Compact"/>
              <w:spacing w:after="20" w:before="20" w:line="240" w:lineRule="auto"/>
              <w:jc w:val="left"/>
            </w:pPr>
            <w:r>
              <w:rPr>
                <w:sz w:val="17"/>
              </w:rPr>
              <w:t xml:space="preserve">Dossier consolidé — Gouverneur et Spécification directrice (S3)</w:t>
            </w:r>
          </w:p>
        </w:tc>
        <w:tc>
          <w:tcPr/>
          <w:p>
            <w:pPr>
              <w:pStyle w:val="Compact"/>
              <w:spacing w:after="20" w:before="20" w:line="240" w:lineRule="auto"/>
              <w:jc w:val="left"/>
            </w:pPr>
            <w:r>
              <w:rPr>
                <w:sz w:val="17"/>
              </w:rPr>
              <w:t xml:space="preserve">Septembre 2026</w:t>
            </w:r>
          </w:p>
        </w:tc>
        <w:tc>
          <w:tcPr/>
          <w:p>
            <w:pPr>
              <w:pStyle w:val="Compact"/>
              <w:spacing w:after="20" w:before="20" w:line="240" w:lineRule="auto"/>
              <w:jc w:val="left"/>
            </w:pPr>
            <w:r>
              <w:rPr>
                <w:sz w:val="17"/>
              </w:rPr>
              <w:t xml:space="preserve">Spécification directrice, Constitution financière, verticales</w:t>
            </w:r>
          </w:p>
        </w:tc>
      </w:tr>
      <w:tr>
        <w:tc>
          <w:tcPr>
            <w:shd w:val="clear" w:color="auto" w:fill="F2F9F8"/>
          </w:tcPr>
          <w:p>
            <w:pPr>
              <w:pStyle w:val="Compact"/>
              <w:spacing w:after="20" w:before="20" w:line="240" w:lineRule="auto"/>
              <w:jc w:val="left"/>
            </w:pPr>
            <w:r>
              <w:rPr>
                <w:sz w:val="17"/>
              </w:rPr>
              <w:t xml:space="preserve">Note exécutive au Gouverneur (S4)</w:t>
            </w:r>
          </w:p>
        </w:tc>
        <w:tc>
          <w:tcPr>
            <w:shd w:val="clear" w:color="auto" w:fill="F2F9F8"/>
          </w:tcPr>
          <w:p>
            <w:pPr>
              <w:pStyle w:val="Compact"/>
              <w:spacing w:after="20" w:before="20" w:line="240" w:lineRule="auto"/>
              <w:jc w:val="left"/>
            </w:pPr>
            <w:r>
              <w:rPr>
                <w:sz w:val="17"/>
              </w:rPr>
              <w:t xml:space="preserve">24 septembre 2026</w:t>
            </w:r>
          </w:p>
        </w:tc>
        <w:tc>
          <w:tcPr>
            <w:shd w:val="clear" w:color="auto" w:fill="F2F9F8"/>
          </w:tcPr>
          <w:p>
            <w:pPr>
              <w:pStyle w:val="Compact"/>
              <w:spacing w:after="20" w:before="20" w:line="240" w:lineRule="auto"/>
              <w:jc w:val="left"/>
            </w:pPr>
            <w:r>
              <w:rPr>
                <w:sz w:val="17"/>
              </w:rPr>
              <w:t xml:space="preserve">Note exécutive</w:t>
            </w:r>
          </w:p>
        </w:tc>
      </w:tr>
    </w:tbl>
    <w:p>
      <w:pPr>
        <w:pStyle w:val="BodyText"/>
      </w:pPr>
      <w:r>
        <w:rPr>
          <w:b/>
          <w:bCs/>
        </w:rPr>
        <w:t xml:space="preserve">Documents intégrés en version 2.7</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blHeader/>
        </w:trPr>
        <w:tc>
          <w:tcPr>
            <w:shd w:val="clear" w:color="auto" w:fill="1BA996"/>
          </w:tcPr>
          <w:p>
            <w:pPr>
              <w:pStyle w:val="Compact"/>
              <w:spacing w:after="20" w:before="20" w:line="240" w:lineRule="auto"/>
              <w:jc w:val="left"/>
            </w:pPr>
            <w:r>
              <w:rPr>
                <w:b/>
                <w:color w:val="FFFFFF"/>
                <w:sz w:val="17"/>
              </w:rPr>
              <w:t xml:space="preserve">Réf.</w:t>
            </w:r>
          </w:p>
        </w:tc>
        <w:tc>
          <w:tcPr>
            <w:shd w:val="clear" w:color="auto" w:fill="1BA996"/>
          </w:tcPr>
          <w:p>
            <w:pPr>
              <w:pStyle w:val="Compact"/>
              <w:spacing w:after="20" w:before="20" w:line="240" w:lineRule="auto"/>
              <w:jc w:val="left"/>
            </w:pPr>
            <w:r>
              <w:rPr>
                <w:b/>
                <w:color w:val="FFFFFF"/>
                <w:sz w:val="17"/>
              </w:rPr>
              <w:t xml:space="preserve">Document</w:t>
            </w:r>
          </w:p>
        </w:tc>
        <w:tc>
          <w:tcPr>
            <w:shd w:val="clear" w:color="auto" w:fill="1BA996"/>
          </w:tcPr>
          <w:p>
            <w:pPr>
              <w:pStyle w:val="Compact"/>
              <w:spacing w:after="20" w:before="20" w:line="240" w:lineRule="auto"/>
              <w:jc w:val="left"/>
            </w:pPr>
            <w:r>
              <w:rPr>
                <w:b/>
                <w:color w:val="FFFFFF"/>
                <w:sz w:val="17"/>
              </w:rPr>
              <w:t xml:space="preserve">Contenu principal</w:t>
            </w:r>
          </w:p>
        </w:tc>
        <w:tc>
          <w:tcPr>
            <w:shd w:val="clear" w:color="auto" w:fill="1BA996"/>
          </w:tcPr>
          <w:p>
            <w:pPr>
              <w:pStyle w:val="Compact"/>
              <w:spacing w:after="20" w:before="20" w:line="240" w:lineRule="auto"/>
              <w:jc w:val="left"/>
            </w:pPr>
            <w:r>
              <w:rPr>
                <w:b/>
                <w:color w:val="FFFFFF"/>
                <w:sz w:val="17"/>
              </w:rPr>
              <w:t xml:space="preserve">Chapitres concernés</w:t>
            </w:r>
          </w:p>
        </w:tc>
      </w:tr>
      <w:tr>
        <w:tc>
          <w:tcPr/>
          <w:p>
            <w:pPr>
              <w:pStyle w:val="Compact"/>
              <w:spacing w:after="20" w:before="20" w:line="240" w:lineRule="auto"/>
              <w:jc w:val="left"/>
            </w:pPr>
            <w:r>
              <w:rPr>
                <w:sz w:val="17"/>
              </w:rPr>
              <w:t xml:space="preserve">S5</w:t>
            </w:r>
          </w:p>
        </w:tc>
        <w:tc>
          <w:tcPr/>
          <w:p>
            <w:pPr>
              <w:pStyle w:val="Compact"/>
              <w:spacing w:after="20" w:before="20" w:line="240" w:lineRule="auto"/>
              <w:jc w:val="left"/>
            </w:pPr>
            <w:r>
              <w:rPr>
                <w:sz w:val="17"/>
              </w:rPr>
              <w:t xml:space="preserve">KIN RECETTES — Spécification stratégique, fonctionnelle, technique et de gouvernance, v1.0 (septembre 2026)</w:t>
            </w:r>
          </w:p>
        </w:tc>
        <w:tc>
          <w:tcPr/>
          <w:p>
            <w:pPr>
              <w:pStyle w:val="Compact"/>
              <w:spacing w:after="20" w:before="20" w:line="240" w:lineRule="auto"/>
              <w:jc w:val="left"/>
            </w:pPr>
            <w:r>
              <w:rPr>
                <w:sz w:val="17"/>
              </w:rPr>
              <w:t xml:space="preserve">Équation de croissance, registre juridique, modules M01–M20, recensement par vagues, impossibilités, disponibilité, API, recouvrement, leviers</w:t>
            </w:r>
          </w:p>
        </w:tc>
        <w:tc>
          <w:tcPr/>
          <w:p>
            <w:pPr>
              <w:pStyle w:val="Compact"/>
              <w:spacing w:after="20" w:before="20" w:line="240" w:lineRule="auto"/>
              <w:jc w:val="left"/>
            </w:pPr>
            <w:r>
              <w:rPr>
                <w:sz w:val="17"/>
              </w:rPr>
              <w:t xml:space="preserve">§ 2, 6, 7, 8, 9, 11, 12, 16, 17, 18, 21, 25, 26, 28–31, 34, 36, 37, 39–41, 46</w:t>
            </w:r>
          </w:p>
        </w:tc>
      </w:tr>
      <w:tr>
        <w:tc>
          <w:tcPr>
            <w:shd w:val="clear" w:color="auto" w:fill="F2F9F8"/>
          </w:tcPr>
          <w:p>
            <w:pPr>
              <w:pStyle w:val="Compact"/>
              <w:spacing w:after="20" w:before="20" w:line="240" w:lineRule="auto"/>
              <w:jc w:val="left"/>
            </w:pPr>
            <w:r>
              <w:rPr>
                <w:sz w:val="17"/>
              </w:rPr>
              <w:t xml:space="preserve">S6</w:t>
            </w:r>
          </w:p>
        </w:tc>
        <w:tc>
          <w:tcPr>
            <w:shd w:val="clear" w:color="auto" w:fill="F2F9F8"/>
          </w:tcPr>
          <w:p>
            <w:pPr>
              <w:pStyle w:val="Compact"/>
              <w:spacing w:after="20" w:before="20" w:line="240" w:lineRule="auto"/>
              <w:jc w:val="left"/>
            </w:pPr>
            <w:r>
              <w:rPr>
                <w:sz w:val="17"/>
              </w:rPr>
              <w:t xml:space="preserve">KIN-AVIA FISCUS — Système intégré de traçabilité, de vérification et de recouvrement de la taxe urbaine aérienne</w:t>
            </w:r>
          </w:p>
        </w:tc>
        <w:tc>
          <w:tcPr>
            <w:shd w:val="clear" w:color="auto" w:fill="F2F9F8"/>
          </w:tcPr>
          <w:p>
            <w:pPr>
              <w:pStyle w:val="Compact"/>
              <w:spacing w:after="20" w:before="20" w:line="240" w:lineRule="auto"/>
              <w:jc w:val="left"/>
            </w:pPr>
            <w:r>
              <w:rPr>
                <w:sz w:val="17"/>
              </w:rPr>
              <w:t xml:space="preserve">Chaîne IATA, RRH, IFA, RVA, DGM, impact, modèle 65/35</w:t>
            </w:r>
          </w:p>
        </w:tc>
        <w:tc>
          <w:tcPr>
            <w:shd w:val="clear" w:color="auto" w:fill="F2F9F8"/>
          </w:tcPr>
          <w:p>
            <w:pPr>
              <w:pStyle w:val="Compact"/>
              <w:spacing w:after="20" w:before="20" w:line="240" w:lineRule="auto"/>
              <w:jc w:val="left"/>
            </w:pPr>
            <w:r>
              <w:rPr>
                <w:sz w:val="17"/>
              </w:rPr>
              <w:t xml:space="preserve">§ 11C</w:t>
            </w:r>
          </w:p>
        </w:tc>
      </w:tr>
      <w:tr>
        <w:tc>
          <w:tcPr/>
          <w:p>
            <w:pPr>
              <w:pStyle w:val="Compact"/>
              <w:spacing w:after="20" w:before="20" w:line="240" w:lineRule="auto"/>
              <w:jc w:val="left"/>
            </w:pPr>
            <w:r>
              <w:rPr>
                <w:sz w:val="17"/>
              </w:rPr>
              <w:t xml:space="preserve">S7</w:t>
            </w:r>
          </w:p>
        </w:tc>
        <w:tc>
          <w:tcPr/>
          <w:p>
            <w:pPr>
              <w:pStyle w:val="Compact"/>
              <w:spacing w:after="20" w:before="20" w:line="240" w:lineRule="auto"/>
              <w:jc w:val="left"/>
            </w:pPr>
            <w:r>
              <w:rPr>
                <w:sz w:val="17"/>
              </w:rPr>
              <w:t xml:space="preserve">RAKAPAY — PRD de la plateforme multivendeurs de billetterie urbaine</w:t>
            </w:r>
          </w:p>
        </w:tc>
        <w:tc>
          <w:tcPr/>
          <w:p>
            <w:pPr>
              <w:pStyle w:val="Compact"/>
              <w:spacing w:after="20" w:before="20" w:line="240" w:lineRule="auto"/>
              <w:jc w:val="left"/>
            </w:pPr>
            <w:r>
              <w:rPr>
                <w:sz w:val="17"/>
              </w:rPr>
              <w:t xml:space="preserve">Tickets à durée, rôles, pénalités, vente en espèces, multidevise</w:t>
            </w:r>
          </w:p>
        </w:tc>
        <w:tc>
          <w:tcPr/>
          <w:p>
            <w:pPr>
              <w:pStyle w:val="Compact"/>
              <w:spacing w:after="20" w:before="20" w:line="240" w:lineRule="auto"/>
              <w:jc w:val="left"/>
            </w:pPr>
            <w:r>
              <w:rPr>
                <w:sz w:val="17"/>
              </w:rPr>
              <w:t xml:space="preserve">§ 11D</w:t>
            </w:r>
          </w:p>
        </w:tc>
      </w:tr>
      <w:tr>
        <w:tc>
          <w:tcPr>
            <w:shd w:val="clear" w:color="auto" w:fill="F2F9F8"/>
          </w:tcPr>
          <w:p>
            <w:pPr>
              <w:pStyle w:val="Compact"/>
              <w:spacing w:after="20" w:before="20" w:line="240" w:lineRule="auto"/>
              <w:jc w:val="left"/>
            </w:pPr>
            <w:r>
              <w:rPr>
                <w:sz w:val="17"/>
              </w:rPr>
              <w:t xml:space="preserve">S8</w:t>
            </w:r>
          </w:p>
        </w:tc>
        <w:tc>
          <w:tcPr>
            <w:shd w:val="clear" w:color="auto" w:fill="F2F9F8"/>
          </w:tcPr>
          <w:p>
            <w:pPr>
              <w:pStyle w:val="Compact"/>
              <w:spacing w:after="20" w:before="20" w:line="240" w:lineRule="auto"/>
              <w:jc w:val="left"/>
            </w:pPr>
            <w:r>
              <w:rPr>
                <w:sz w:val="17"/>
              </w:rPr>
              <w:t xml:space="preserve">Projet PARKSMART — Ville de Kinshasa</w:t>
            </w:r>
          </w:p>
        </w:tc>
        <w:tc>
          <w:tcPr>
            <w:shd w:val="clear" w:color="auto" w:fill="F2F9F8"/>
          </w:tcPr>
          <w:p>
            <w:pPr>
              <w:pStyle w:val="Compact"/>
              <w:spacing w:after="20" w:before="20" w:line="240" w:lineRule="auto"/>
              <w:jc w:val="left"/>
            </w:pPr>
            <w:r>
              <w:rPr>
                <w:sz w:val="17"/>
              </w:rPr>
              <w:t xml:space="preserve">Zones payantes, tarification dynamique, recettes, LPR, surréservation, affectation</w:t>
            </w:r>
          </w:p>
        </w:tc>
        <w:tc>
          <w:tcPr>
            <w:shd w:val="clear" w:color="auto" w:fill="F2F9F8"/>
          </w:tcPr>
          <w:p>
            <w:pPr>
              <w:pStyle w:val="Compact"/>
              <w:spacing w:after="20" w:before="20" w:line="240" w:lineRule="auto"/>
              <w:jc w:val="left"/>
            </w:pPr>
            <w:r>
              <w:rPr>
                <w:sz w:val="17"/>
              </w:rPr>
              <w:t xml:space="preserve">§ 11A</w:t>
            </w:r>
          </w:p>
        </w:tc>
      </w:tr>
      <w:tr>
        <w:tc>
          <w:tcPr/>
          <w:p>
            <w:pPr>
              <w:pStyle w:val="Compact"/>
              <w:spacing w:after="20" w:before="20" w:line="240" w:lineRule="auto"/>
              <w:jc w:val="left"/>
            </w:pPr>
            <w:r>
              <w:rPr>
                <w:sz w:val="17"/>
              </w:rPr>
              <w:t xml:space="preserve">S9</w:t>
            </w:r>
          </w:p>
        </w:tc>
        <w:tc>
          <w:tcPr/>
          <w:p>
            <w:pPr>
              <w:pStyle w:val="Compact"/>
              <w:spacing w:after="20" w:before="20" w:line="240" w:lineRule="auto"/>
              <w:jc w:val="left"/>
            </w:pPr>
            <w:r>
              <w:rPr>
                <w:sz w:val="17"/>
              </w:rPr>
              <w:t xml:space="preserve">Projet CALCU et note technique — contrôle financier public</w:t>
            </w:r>
          </w:p>
        </w:tc>
        <w:tc>
          <w:tcPr/>
          <w:p>
            <w:pPr>
              <w:pStyle w:val="Compact"/>
              <w:spacing w:after="20" w:before="20" w:line="240" w:lineRule="auto"/>
              <w:jc w:val="left"/>
            </w:pPr>
            <w:r>
              <w:rPr>
                <w:sz w:val="17"/>
              </w:rPr>
              <w:t xml:space="preserve">Registre des comptes publics, passerelle bancaire, moteur de correspondance</w:t>
            </w:r>
          </w:p>
        </w:tc>
        <w:tc>
          <w:tcPr/>
          <w:p>
            <w:pPr>
              <w:pStyle w:val="Compact"/>
              <w:spacing w:after="20" w:before="20" w:line="240" w:lineRule="auto"/>
              <w:jc w:val="left"/>
            </w:pPr>
            <w:r>
              <w:rPr>
                <w:sz w:val="17"/>
              </w:rPr>
              <w:t xml:space="preserve">§ 27A</w:t>
            </w:r>
          </w:p>
        </w:tc>
      </w:tr>
      <w:tr>
        <w:tc>
          <w:tcPr>
            <w:shd w:val="clear" w:color="auto" w:fill="F2F9F8"/>
          </w:tcPr>
          <w:p>
            <w:pPr>
              <w:pStyle w:val="Compact"/>
              <w:spacing w:after="20" w:before="20" w:line="240" w:lineRule="auto"/>
              <w:jc w:val="left"/>
            </w:pPr>
            <w:r>
              <w:rPr>
                <w:sz w:val="17"/>
              </w:rPr>
              <w:t xml:space="preserve">S10</w:t>
            </w:r>
          </w:p>
        </w:tc>
        <w:tc>
          <w:tcPr>
            <w:shd w:val="clear" w:color="auto" w:fill="F2F9F8"/>
          </w:tcPr>
          <w:p>
            <w:pPr>
              <w:pStyle w:val="Compact"/>
              <w:spacing w:after="20" w:before="20" w:line="240" w:lineRule="auto"/>
              <w:jc w:val="left"/>
            </w:pPr>
            <w:r>
              <w:rPr>
                <w:sz w:val="17"/>
              </w:rPr>
              <w:t xml:space="preserve">KIN PUB CONTROL — publicité extérieure</w:t>
            </w:r>
          </w:p>
        </w:tc>
        <w:tc>
          <w:tcPr>
            <w:shd w:val="clear" w:color="auto" w:fill="F2F9F8"/>
          </w:tcPr>
          <w:p>
            <w:pPr>
              <w:pStyle w:val="Compact"/>
              <w:spacing w:after="20" w:before="20" w:line="240" w:lineRule="auto"/>
              <w:jc w:val="left"/>
            </w:pPr>
            <w:r>
              <w:rPr>
                <w:sz w:val="17"/>
              </w:rPr>
              <w:t xml:space="preserve">Registre des supports, contrôle, anticorruption, pilote</w:t>
            </w:r>
          </w:p>
        </w:tc>
        <w:tc>
          <w:tcPr>
            <w:shd w:val="clear" w:color="auto" w:fill="F2F9F8"/>
          </w:tcPr>
          <w:p>
            <w:pPr>
              <w:pStyle w:val="Compact"/>
              <w:spacing w:after="20" w:before="20" w:line="240" w:lineRule="auto"/>
              <w:jc w:val="left"/>
            </w:pPr>
            <w:r>
              <w:rPr>
                <w:sz w:val="17"/>
              </w:rPr>
              <w:t xml:space="preserve">§ 11B</w:t>
            </w:r>
          </w:p>
        </w:tc>
      </w:tr>
      <w:tr>
        <w:tc>
          <w:tcPr/>
          <w:p>
            <w:pPr>
              <w:pStyle w:val="Compact"/>
              <w:spacing w:after="20" w:before="20" w:line="240" w:lineRule="auto"/>
              <w:jc w:val="left"/>
            </w:pPr>
            <w:r>
              <w:rPr>
                <w:sz w:val="17"/>
              </w:rPr>
              <w:t xml:space="preserve">S11</w:t>
            </w:r>
          </w:p>
        </w:tc>
        <w:tc>
          <w:tcPr/>
          <w:p>
            <w:pPr>
              <w:pStyle w:val="Compact"/>
              <w:spacing w:after="20" w:before="20" w:line="240" w:lineRule="auto"/>
              <w:jc w:val="left"/>
            </w:pPr>
            <w:r>
              <w:rPr>
                <w:sz w:val="17"/>
              </w:rPr>
              <w:t xml:space="preserve">Note de projet — plaques fiscales intelligentes à QR (NFIU)</w:t>
            </w:r>
          </w:p>
        </w:tc>
        <w:tc>
          <w:tcPr/>
          <w:p>
            <w:pPr>
              <w:pStyle w:val="Compact"/>
              <w:spacing w:after="20" w:before="20" w:line="240" w:lineRule="auto"/>
              <w:jc w:val="left"/>
            </w:pPr>
            <w:r>
              <w:rPr>
                <w:sz w:val="17"/>
              </w:rPr>
              <w:t xml:space="preserve">Plaque, statut occupé ou loué, acte requis</w:t>
            </w:r>
          </w:p>
        </w:tc>
        <w:tc>
          <w:tcPr/>
          <w:p>
            <w:pPr>
              <w:pStyle w:val="Compact"/>
              <w:spacing w:after="20" w:before="20" w:line="240" w:lineRule="auto"/>
              <w:jc w:val="left"/>
            </w:pPr>
            <w:r>
              <w:rPr>
                <w:sz w:val="17"/>
              </w:rPr>
              <w:t xml:space="preserve">§ 16.7</w:t>
            </w:r>
          </w:p>
        </w:tc>
      </w:tr>
      <w:tr>
        <w:tc>
          <w:tcPr>
            <w:shd w:val="clear" w:color="auto" w:fill="F2F9F8"/>
          </w:tcPr>
          <w:p>
            <w:pPr>
              <w:pStyle w:val="Compact"/>
              <w:spacing w:after="20" w:before="20" w:line="240" w:lineRule="auto"/>
              <w:jc w:val="left"/>
            </w:pPr>
            <w:r>
              <w:rPr>
                <w:sz w:val="17"/>
              </w:rPr>
              <w:t xml:space="preserve">S12</w:t>
            </w:r>
          </w:p>
        </w:tc>
        <w:tc>
          <w:tcPr>
            <w:shd w:val="clear" w:color="auto" w:fill="F2F9F8"/>
          </w:tcPr>
          <w:p>
            <w:pPr>
              <w:pStyle w:val="Compact"/>
              <w:spacing w:after="20" w:before="20" w:line="240" w:lineRule="auto"/>
              <w:jc w:val="left"/>
            </w:pPr>
            <w:r>
              <w:rPr>
                <w:sz w:val="17"/>
              </w:rPr>
              <w:t xml:space="preserve">KIN-RECETTES — plan directeur produit (anglais)</w:t>
            </w:r>
          </w:p>
        </w:tc>
        <w:tc>
          <w:tcPr>
            <w:shd w:val="clear" w:color="auto" w:fill="F2F9F8"/>
          </w:tcPr>
          <w:p>
            <w:pPr>
              <w:pStyle w:val="Compact"/>
              <w:spacing w:after="20" w:before="20" w:line="240" w:lineRule="auto"/>
              <w:jc w:val="left"/>
            </w:pPr>
            <w:r>
              <w:rPr>
                <w:sz w:val="17"/>
              </w:rPr>
              <w:t xml:space="preserve">Recoupements, canaux dont WhatsApp, pile technique, BitriPay et KODA, calendrier</w:t>
            </w:r>
          </w:p>
        </w:tc>
        <w:tc>
          <w:tcPr>
            <w:shd w:val="clear" w:color="auto" w:fill="F2F9F8"/>
          </w:tcPr>
          <w:p>
            <w:pPr>
              <w:pStyle w:val="Compact"/>
              <w:spacing w:after="20" w:before="20" w:line="240" w:lineRule="auto"/>
              <w:jc w:val="left"/>
            </w:pPr>
            <w:r>
              <w:rPr>
                <w:sz w:val="17"/>
              </w:rPr>
              <w:t xml:space="preserve">§ 8.5, 13A, 28.6, 45</w:t>
            </w:r>
          </w:p>
        </w:tc>
      </w:tr>
      <w:tr>
        <w:tc>
          <w:tcPr/>
          <w:p>
            <w:pPr>
              <w:pStyle w:val="Compact"/>
              <w:spacing w:after="20" w:before="20" w:line="240" w:lineRule="auto"/>
              <w:jc w:val="left"/>
            </w:pPr>
            <w:r>
              <w:rPr>
                <w:sz w:val="17"/>
              </w:rPr>
              <w:t xml:space="preserve">S13</w:t>
            </w:r>
          </w:p>
        </w:tc>
        <w:tc>
          <w:tcPr/>
          <w:p>
            <w:pPr>
              <w:pStyle w:val="Compact"/>
              <w:spacing w:after="20" w:before="20" w:line="240" w:lineRule="auto"/>
              <w:jc w:val="left"/>
            </w:pPr>
            <w:r>
              <w:rPr>
                <w:sz w:val="17"/>
              </w:rPr>
              <w:t xml:space="preserve">Note de projet KIN-RECETTES et liste des impôts provinciaux (deux exemplaires)</w:t>
            </w:r>
          </w:p>
        </w:tc>
        <w:tc>
          <w:tcPr/>
          <w:p>
            <w:pPr>
              <w:pStyle w:val="Compact"/>
              <w:spacing w:after="20" w:before="20" w:line="240" w:lineRule="auto"/>
              <w:jc w:val="left"/>
            </w:pPr>
            <w:r>
              <w:rPr>
                <w:sz w:val="17"/>
              </w:rPr>
              <w:t xml:space="preserve">Concept initial, espace contribuable, écrans de contrôle, séparation des fonctions</w:t>
            </w:r>
          </w:p>
        </w:tc>
        <w:tc>
          <w:tcPr/>
          <w:p>
            <w:pPr>
              <w:pStyle w:val="Compact"/>
              <w:spacing w:after="20" w:before="20" w:line="240" w:lineRule="auto"/>
              <w:jc w:val="left"/>
            </w:pPr>
            <w:r>
              <w:rPr>
                <w:sz w:val="17"/>
              </w:rPr>
              <w:t xml:space="preserve">Déjà à la base de S1 ; compléments § 15.5</w:t>
            </w:r>
          </w:p>
        </w:tc>
      </w:tr>
    </w:tbl>
    <w:p>
      <w:pPr>
        <w:pStyle w:val="BodyText"/>
      </w:pPr>
      <w:r>
        <w:t xml:space="preserve">Sources juridiques citées par S5 : Constitution, art. 204 (Leganet) ; Ordonnance-loi n° 18/004 du 13 mars 2018 (Journal officiel via Leganet) ; Loi n° 18/014 du 9 juillet 2018 portant ratification ; portail public de la DGRK.</w:t>
      </w:r>
    </w:p>
    <w:bookmarkEnd w:id="326"/>
    <w:bookmarkStart w:id="327" w:name="Xc279ffddec9ad4566f7e3c4efc25e875accd0a3"/>
    <w:p>
      <w:pPr>
        <w:pStyle w:val="Heading1"/>
      </w:pPr>
      <w:r>
        <w:t xml:space="preserve">Annexe B — Points à vérifier avant mise en production</w:t>
      </w:r>
    </w:p>
    <w:p>
      <w:pPr>
        <w:pStyle w:val="BlockText"/>
      </w:pPr>
      <w:r>
        <w:rPr>
          <w:b/>
          <w:bCs/>
        </w:rPr>
        <w:t xml:space="preserve">1.</w:t>
      </w:r>
      <w:r>
        <w:t xml:space="preserve"> </w:t>
      </w:r>
      <w:r>
        <w:t xml:space="preserve">Texte consolidé de la nomenclature provinciale et des</w:t>
      </w:r>
      <w:r>
        <w:t xml:space="preserve"> </w:t>
      </w:r>
      <w:r>
        <w:t xml:space="preserve">ordonnances-lois de 1969 après modifications.</w:t>
      </w:r>
    </w:p>
    <w:p>
      <w:pPr>
        <w:pStyle w:val="BlockText"/>
      </w:pPr>
      <w:r>
        <w:rPr>
          <w:b/>
          <w:bCs/>
        </w:rPr>
        <w:t xml:space="preserve">2.</w:t>
      </w:r>
      <w:r>
        <w:t xml:space="preserve"> </w:t>
      </w:r>
      <w:r>
        <w:t xml:space="preserve">Objet exact et statut de la Loi n° 18/014 du 9 juillet 2018,</w:t>
      </w:r>
      <w:r>
        <w:t xml:space="preserve"> </w:t>
      </w:r>
      <w:r>
        <w:t xml:space="preserve">non confirmés à ce stade.</w:t>
      </w:r>
    </w:p>
    <w:p>
      <w:pPr>
        <w:pStyle w:val="BlockText"/>
      </w:pPr>
      <w:r>
        <w:rPr>
          <w:b/>
          <w:bCs/>
        </w:rPr>
        <w:t xml:space="preserve">3.</w:t>
      </w:r>
      <w:r>
        <w:t xml:space="preserve"> </w:t>
      </w:r>
      <w:r>
        <w:t xml:space="preserve">Arrêtés provinciaux fixant les taux de l'impôt foncier, de</w:t>
      </w:r>
      <w:r>
        <w:t xml:space="preserve"> </w:t>
      </w:r>
      <w:r>
        <w:t xml:space="preserve">l'impôt sur les revenus locatifs et de la taxe sur les véhicules pour</w:t>
      </w:r>
      <w:r>
        <w:t xml:space="preserve"> </w:t>
      </w:r>
      <w:r>
        <w:t xml:space="preserve">l'exercice en cours.</w:t>
      </w:r>
    </w:p>
    <w:p>
      <w:pPr>
        <w:pStyle w:val="BlockText"/>
      </w:pPr>
      <w:r>
        <w:rPr>
          <w:b/>
          <w:bCs/>
        </w:rPr>
        <w:t xml:space="preserve">4.</w:t>
      </w:r>
      <w:r>
        <w:t xml:space="preserve"> </w:t>
      </w:r>
      <w:r>
        <w:t xml:space="preserve">Texte intégral de l'édit budgétaire en vigueur de la Ville de</w:t>
      </w:r>
      <w:r>
        <w:t xml:space="preserve"> </w:t>
      </w:r>
      <w:r>
        <w:t xml:space="preserve">Kinshasa.</w:t>
      </w:r>
    </w:p>
    <w:p>
      <w:pPr>
        <w:pStyle w:val="BlockText"/>
      </w:pPr>
      <w:r>
        <w:rPr>
          <w:b/>
          <w:bCs/>
        </w:rPr>
        <w:t xml:space="preserve">5.</w:t>
      </w:r>
      <w:r>
        <w:t xml:space="preserve"> </w:t>
      </w:r>
      <w:r>
        <w:t xml:space="preserve">Dispositions du Code du numérique sur la résidence des données,</w:t>
      </w:r>
      <w:r>
        <w:t xml:space="preserve"> </w:t>
      </w:r>
      <w:r>
        <w:t xml:space="preserve">la signature électronique et la protection des données personnelles.</w:t>
      </w:r>
    </w:p>
    <w:p>
      <w:pPr>
        <w:pStyle w:val="BlockText"/>
      </w:pPr>
      <w:r>
        <w:rPr>
          <w:b/>
          <w:bCs/>
        </w:rPr>
        <w:t xml:space="preserve">6.</w:t>
      </w:r>
      <w:r>
        <w:t xml:space="preserve"> </w:t>
      </w:r>
      <w:r>
        <w:t xml:space="preserve">Conditions d'habilitation des agrégateurs et prestataires de</w:t>
      </w:r>
      <w:r>
        <w:t xml:space="preserve"> </w:t>
      </w:r>
      <w:r>
        <w:t xml:space="preserve">paiement auprès de la Banque Centrale du Congo.</w:t>
      </w:r>
    </w:p>
    <w:p>
      <w:pPr>
        <w:pStyle w:val="BlockText"/>
      </w:pPr>
      <w:r>
        <w:rPr>
          <w:b/>
          <w:bCs/>
        </w:rPr>
        <w:t xml:space="preserve">7.</w:t>
      </w:r>
      <w:r>
        <w:t xml:space="preserve"> </w:t>
      </w:r>
      <w:r>
        <w:t xml:space="preserve">Textes créant la DGRFK et la DGTK, et répartition définitive</w:t>
      </w:r>
      <w:r>
        <w:t xml:space="preserve"> </w:t>
      </w:r>
      <w:r>
        <w:t xml:space="preserve">des compétences.</w:t>
      </w:r>
    </w:p>
    <w:p>
      <w:pPr>
        <w:pStyle w:val="BlockText"/>
      </w:pPr>
      <w:r>
        <w:rPr>
          <w:b/>
          <w:bCs/>
        </w:rPr>
        <w:t xml:space="preserve">8.</w:t>
      </w:r>
      <w:r>
        <w:t xml:space="preserve"> </w:t>
      </w:r>
      <w:r>
        <w:t xml:space="preserve">Régime légal des primes de performance des agents publics sur</w:t>
      </w:r>
      <w:r>
        <w:t xml:space="preserve"> </w:t>
      </w:r>
      <w:r>
        <w:t xml:space="preserve">recettes fiscales.</w:t>
      </w:r>
    </w:p>
    <w:p>
      <w:pPr>
        <w:pStyle w:val="BlockText"/>
      </w:pPr>
      <w:r>
        <w:rPr>
          <w:b/>
          <w:bCs/>
        </w:rPr>
        <w:t xml:space="preserve">9.</w:t>
      </w:r>
      <w:r>
        <w:t xml:space="preserve"> </w:t>
      </w:r>
      <w:r>
        <w:t xml:space="preserve">Valeur juridique de la quittance électronique au statut « en attente de règlement » et délai maximal avant bascule en quittance définitive (§ 18.6).</w:t>
      </w:r>
    </w:p>
    <w:p>
      <w:pPr>
        <w:pStyle w:val="BlockText"/>
      </w:pPr>
      <w:r>
        <w:rPr>
          <w:b/>
          <w:bCs/>
        </w:rPr>
        <w:t xml:space="preserve">10.</w:t>
      </w:r>
      <w:r>
        <w:t xml:space="preserve"> </w:t>
      </w:r>
      <w:r>
        <w:t xml:space="preserve">Base légale et mécanismes des verticales sectorielles soumises à cadrage préalable, notamment ports et fluvial et MOSOLO AVIA (KIN-AVIA FISCUS).</w:t>
      </w:r>
    </w:p>
    <w:p>
      <w:pPr>
        <w:pStyle w:val="BlockText"/>
      </w:pPr>
      <w:r>
        <w:rPr>
          <w:b/>
          <w:bCs/>
        </w:rPr>
        <w:t xml:space="preserve">11.</w:t>
      </w:r>
      <w:r>
        <w:t xml:space="preserve"> </w:t>
      </w:r>
      <w:r>
        <w:t xml:space="preserve">Conditions légales d’une rémunération du prestataire indexée sur des indicateurs de recettes additionnelles nettes (§ 37), au regard des règles de finances publiques et de passation des marchés.</w:t>
      </w:r>
    </w:p>
    <w:p>
      <w:pPr>
        <w:pStyle w:val="BlockText"/>
      </w:pPr>
      <w:r>
        <w:rPr>
          <w:b/>
          <w:bCs/>
        </w:rPr>
        <w:t xml:space="preserve">12.</w:t>
      </w:r>
      <w:r>
        <w:t xml:space="preserve"> </w:t>
      </w:r>
      <w:r>
        <w:t xml:space="preserve">Valeur juridique du consentement recueilli par empreinte digitale, par enregistrement vocal ou devant témoin lors de l’enrôlement assisté, et régime applicable à la capture de l’empreinte (§ 13A.3).</w:t>
      </w:r>
    </w:p>
    <w:p>
      <w:pPr>
        <w:pStyle w:val="BlockText"/>
      </w:pPr>
      <w:r>
        <w:rPr>
          <w:b/>
          <w:bCs/>
        </w:rPr>
        <w:t xml:space="preserve">13.</w:t>
      </w:r>
      <w:r>
        <w:t xml:space="preserve"> </w:t>
      </w:r>
      <w:r>
        <w:t xml:space="preserve">Possibilité légale de confier à des sous-traitants privés le recensement, l’enrôlement assisté et les constats, et limites de cette délégation au regard des prérogatives de puissance publique (§ 15A).</w:t>
      </w:r>
    </w:p>
    <w:p>
      <w:pPr>
        <w:pStyle w:val="BlockText"/>
      </w:pPr>
      <w:r>
        <w:rPr>
          <w:b/>
          <w:bCs/>
        </w:rPr>
        <w:t xml:space="preserve">14.</w:t>
      </w:r>
      <w:r>
        <w:t xml:space="preserve"> </w:t>
      </w:r>
      <w:r>
        <w:t xml:space="preserve">Encadrement de l’encaissement pour compte de la Ville par les agents Mobile Money et les guichets bancaires, et régime de leur commission (§ 18A.2, § 37).</w:t>
      </w:r>
    </w:p>
    <w:p>
      <w:pPr>
        <w:pStyle w:val="BlockText"/>
      </w:pPr>
      <w:r>
        <w:rPr>
          <w:b/>
          <w:bCs/>
        </w:rPr>
        <w:t xml:space="preserve">15.</w:t>
      </w:r>
      <w:r>
        <w:t xml:space="preserve"> </w:t>
      </w:r>
      <w:r>
        <w:t xml:space="preserve">Obligations applicables aux sous-traitants au titre de la protection des données (Code du numérique).</w:t>
      </w:r>
    </w:p>
    <w:p>
      <w:pPr>
        <w:pStyle w:val="BlockText"/>
      </w:pPr>
      <w:r>
        <w:rPr>
          <w:b/>
          <w:bCs/>
        </w:rPr>
        <w:t xml:space="preserve">16.</w:t>
      </w:r>
      <w:r>
        <w:t xml:space="preserve"> </w:t>
      </w:r>
      <w:r>
        <w:t xml:space="preserve">Valeur juridique des titres dématérialisés (ticket de stationnement lié à la plaque, QR dynamique, titre à usage unique) et acte réglementaire nécessaire pour chaque module (§ 19A).</w:t>
      </w:r>
    </w:p>
    <w:p>
      <w:pPr>
        <w:pStyle w:val="BlockText"/>
      </w:pPr>
      <w:r>
        <w:rPr>
          <w:b/>
          <w:bCs/>
        </w:rPr>
        <w:t xml:space="preserve">17.</w:t>
      </w:r>
      <w:r>
        <w:t xml:space="preserve"> </w:t>
      </w:r>
      <w:r>
        <w:t xml:space="preserve">Répartition des compétences entre province, communes et opérateurs délégués pour les services partagés (marchés, stationnement, ports), et procédure d’arbitrage opposable (§ 10A.3).</w:t>
      </w:r>
    </w:p>
    <w:p>
      <w:pPr>
        <w:pStyle w:val="BlockText"/>
      </w:pPr>
      <w:r>
        <w:rPr>
          <w:b/>
          <w:bCs/>
        </w:rPr>
        <w:t xml:space="preserve">18.</w:t>
      </w:r>
      <w:r>
        <w:t xml:space="preserve"> </w:t>
      </w:r>
      <w:r>
        <w:t xml:space="preserve">Acte juridique requis pour instituer la clé de répartition (10 % Groupe Nseya, 10 % ministères de tutelle, 10 % agents et sous-traitants, 70 % Gouvernement provincial) et compatibilité de la répartition à la source avec la LOFIP et les règles du Trésor (§ 37A).</w:t>
      </w:r>
    </w:p>
    <w:p>
      <w:pPr>
        <w:pStyle w:val="BlockText"/>
      </w:pPr>
      <w:r>
        <w:rPr>
          <w:b/>
          <w:bCs/>
        </w:rPr>
        <w:t xml:space="preserve">19.</w:t>
      </w:r>
      <w:r>
        <w:t xml:space="preserve"> </w:t>
      </w:r>
      <w:r>
        <w:t xml:space="preserve">Application ou exclusion de la clé aux parts revenant légalement aux entités territoriales décentralisées et au pouvoir central (§ 37A.3).</w:t>
      </w:r>
    </w:p>
    <w:p>
      <w:pPr>
        <w:pStyle w:val="BlockText"/>
      </w:pPr>
      <w:r>
        <w:rPr>
          <w:b/>
          <w:bCs/>
        </w:rPr>
        <w:t xml:space="preserve">20.</w:t>
      </w:r>
      <w:r>
        <w:t xml:space="preserve"> </w:t>
      </w:r>
      <w:r>
        <w:t xml:space="preserve">Régime juridique d’un contrat de 30 ans rémunéré par une part des recettes (partenariat public-privé, marchés publics) et approbations requises.</w:t>
      </w:r>
    </w:p>
    <w:p>
      <w:pPr>
        <w:pStyle w:val="BlockText"/>
      </w:pPr>
      <w:r>
        <w:rPr>
          <w:b/>
          <w:bCs/>
        </w:rPr>
        <w:t xml:space="preserve">21.</w:t>
      </w:r>
      <w:r>
        <w:t xml:space="preserve"> </w:t>
      </w:r>
      <w:r>
        <w:t xml:space="preserve">Approbation de la convention tripartite de règlement et traitement fiscal des sommes versées à Groupe Nseya et aux sous-traitants.</w:t>
      </w:r>
    </w:p>
    <w:p>
      <w:pPr>
        <w:pStyle w:val="BlockText"/>
      </w:pPr>
      <w:r>
        <w:rPr>
          <w:b/>
          <w:bCs/>
        </w:rPr>
        <w:t xml:space="preserve">22.</w:t>
      </w:r>
      <w:r>
        <w:t xml:space="preserve"> </w:t>
      </w:r>
      <w:r>
        <w:t xml:space="preserve">Source et modalités juridiques du financement des moyens physiques (budget provincial, partenaires, sous-traitants, conventions avec les opérateurs) et répartition des frais de communication liés à l’USSD, au SVI et aux SMS (§ 37A.1).</w:t>
      </w:r>
    </w:p>
    <w:p>
      <w:pPr>
        <w:pStyle w:val="BlockText"/>
      </w:pPr>
      <w:r>
        <w:rPr>
          <w:b/>
          <w:bCs/>
        </w:rPr>
        <w:t xml:space="preserve">23.</w:t>
      </w:r>
      <w:r>
        <w:t xml:space="preserve"> </w:t>
      </w:r>
      <w:r>
        <w:t xml:space="preserve">Base juridique des mesures proposées par KIN-AVIA FISCUS (non-validation au départ d’un billet sans IFA, pénalités électroniques, suspension d’accès, retrait d’agrément) et compétence respective de la Ville, de la RVA, de la DGM et de l’autorité de l’aviation civile (§ 11C.4).</w:t>
      </w:r>
    </w:p>
    <w:p>
      <w:pPr>
        <w:pStyle w:val="BlockText"/>
      </w:pPr>
      <w:r>
        <w:rPr>
          <w:b/>
          <w:bCs/>
        </w:rPr>
        <w:t xml:space="preserve">24.</w:t>
      </w:r>
      <w:r>
        <w:t xml:space="preserve"> </w:t>
      </w:r>
      <w:r>
        <w:t xml:space="preserve">Opportunité et base juridique d’une clé de répartition spécifique à la verticale AVIA, distincte de la clé du § 37A (§ 11C.6).</w:t>
      </w:r>
    </w:p>
    <w:p>
      <w:pPr>
        <w:pStyle w:val="BlockText"/>
      </w:pPr>
      <w:r>
        <w:rPr>
          <w:b/>
          <w:bCs/>
        </w:rPr>
        <w:t xml:space="preserve">25.</w:t>
      </w:r>
      <w:r>
        <w:t xml:space="preserve"> </w:t>
      </w:r>
      <w:r>
        <w:t xml:space="preserve">Compatibilité de l’affectation des recettes de stationnement à l’entretien routier avec le principe d’universalité budgétaire (§ 11A.7), et base légale des zones payantes, de la surréservation et de la mise en fourrière (§ 11A).</w:t>
      </w:r>
    </w:p>
    <w:p>
      <w:pPr>
        <w:pStyle w:val="BlockText"/>
      </w:pPr>
      <w:r>
        <w:rPr>
          <w:b/>
          <w:bCs/>
        </w:rPr>
        <w:t xml:space="preserve">26.</w:t>
      </w:r>
      <w:r>
        <w:t xml:space="preserve"> </w:t>
      </w:r>
      <w:r>
        <w:t xml:space="preserve">Conditions dans lesquelles un vendeur d’opérateur délégué peut être référencé comme point de paiement agréé et encaisser en espèces (§ 11D.4) ; base légale de la taxe journalière des transports.</w:t>
      </w:r>
    </w:p>
    <w:p>
      <w:pPr>
        <w:pStyle w:val="BlockText"/>
      </w:pPr>
      <w:r>
        <w:rPr>
          <w:b/>
          <w:bCs/>
        </w:rPr>
        <w:t xml:space="preserve">27.</w:t>
      </w:r>
      <w:r>
        <w:t xml:space="preserve"> </w:t>
      </w:r>
      <w:r>
        <w:t xml:space="preserve">Texte rendant obligatoires la déclaration des comptes publics et la transmission bancaire à CALCU, reconnaissance de la preuve numérique, responsabilité des gestionnaires et articulation avec le secret bancaire (§ 27A).</w:t>
      </w:r>
    </w:p>
    <w:p>
      <w:pPr>
        <w:pStyle w:val="BlockText"/>
      </w:pPr>
      <w:r>
        <w:rPr>
          <w:b/>
          <w:bCs/>
        </w:rPr>
        <w:t xml:space="preserve">28.</w:t>
      </w:r>
      <w:r>
        <w:t xml:space="preserve"> </w:t>
      </w:r>
      <w:r>
        <w:t xml:space="preserve">Acte rendant obligatoires l’immatriculation fiscale des maisons, la plaque NFIU et l’interdiction de mise en bail d’une maison non immatriculée (§ 16.7).</w:t>
      </w:r>
    </w:p>
    <w:p>
      <w:pPr>
        <w:pStyle w:val="BlockText"/>
      </w:pPr>
      <w:r>
        <w:rPr>
          <w:b/>
          <w:bCs/>
        </w:rPr>
        <w:t xml:space="preserve">29.</w:t>
      </w:r>
      <w:r>
        <w:t xml:space="preserve"> </w:t>
      </w:r>
      <w:r>
        <w:t xml:space="preserve">Base légale, redevable et tarif du pass wewa ; articulation avec la vignette, l’autorisation de transport et les prélèvements communaux ; statut des gilets et autocollants ; rôle des coopératives ; pouvoirs de contrôle sur la route (§ 11D.8).</w:t>
      </w:r>
    </w:p>
    <w:bookmarkEnd w:id="327"/>
    <w:bookmarkStart w:id="328" w:name="X6187b1ef529655b31c69ed7c1e6722536cd484d"/>
    <w:p>
      <w:pPr>
        <w:pStyle w:val="Heading1"/>
      </w:pPr>
      <w:r>
        <w:t xml:space="preserve">Annexe C — Glossaire et correspondance terminologique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blHeader/>
        </w:trPr>
        <w:tc>
          <w:tcPr>
            <w:shd w:val="clear" w:color="auto" w:fill="1BA996"/>
          </w:tcPr>
          <w:p>
            <w:pPr>
              <w:pStyle w:val="Compact"/>
              <w:spacing w:after="20" w:before="20" w:line="240" w:lineRule="auto"/>
              <w:jc w:val="left"/>
            </w:pPr>
            <w:r>
              <w:rPr>
                <w:b/>
                <w:color w:val="FFFFFF"/>
                <w:sz w:val="17"/>
              </w:rPr>
              <w:t xml:space="preserve">Terme du document</w:t>
            </w:r>
          </w:p>
        </w:tc>
        <w:tc>
          <w:tcPr>
            <w:shd w:val="clear" w:color="auto" w:fill="1BA996"/>
          </w:tcPr>
          <w:p>
            <w:pPr>
              <w:pStyle w:val="Compact"/>
              <w:spacing w:after="20" w:before="20" w:line="240" w:lineRule="auto"/>
              <w:jc w:val="left"/>
            </w:pPr>
            <w:r>
              <w:rPr>
                <w:b/>
                <w:color w:val="FFFFFF"/>
                <w:sz w:val="17"/>
              </w:rPr>
              <w:t xml:space="preserve">Terme technique ou anglais</w:t>
            </w:r>
          </w:p>
        </w:tc>
        <w:tc>
          <w:tcPr>
            <w:shd w:val="clear" w:color="auto" w:fill="1BA996"/>
          </w:tcPr>
          <w:p>
            <w:pPr>
              <w:pStyle w:val="Compact"/>
              <w:spacing w:after="20" w:before="20" w:line="240" w:lineRule="auto"/>
              <w:jc w:val="left"/>
            </w:pPr>
            <w:r>
              <w:rPr>
                <w:b/>
                <w:color w:val="FFFFFF"/>
                <w:sz w:val="17"/>
              </w:rPr>
              <w:t xml:space="preserve">Définition</w:t>
            </w:r>
          </w:p>
        </w:tc>
      </w:tr>
      <w:tr>
        <w:tc>
          <w:tcPr/>
          <w:p>
            <w:pPr>
              <w:pStyle w:val="Compact"/>
              <w:spacing w:after="20" w:before="20" w:line="240" w:lineRule="auto"/>
              <w:jc w:val="left"/>
            </w:pPr>
            <w:r>
              <w:rPr>
                <w:sz w:val="17"/>
              </w:rPr>
              <w:t xml:space="preserve">Système d’exploitation souverain des recettes</w:t>
            </w:r>
          </w:p>
        </w:tc>
        <w:tc>
          <w:tcPr/>
          <w:p>
            <w:pPr>
              <w:pStyle w:val="Compact"/>
              <w:spacing w:after="20" w:before="20" w:line="240" w:lineRule="auto"/>
              <w:jc w:val="left"/>
            </w:pPr>
            <w:r>
              <w:rPr>
                <w:sz w:val="17"/>
              </w:rPr>
              <w:t xml:space="preserve">Sovereign Revenue Maximisation Operating System, Revenue Operating System</w:t>
            </w:r>
          </w:p>
        </w:tc>
        <w:tc>
          <w:tcPr/>
          <w:p>
            <w:pPr>
              <w:pStyle w:val="Compact"/>
              <w:spacing w:after="20" w:before="20" w:line="240" w:lineRule="auto"/>
              <w:jc w:val="left"/>
            </w:pPr>
            <w:r>
              <w:rPr>
                <w:sz w:val="17"/>
              </w:rPr>
              <w:t xml:space="preserve">Positionnement de MOSOLO comme plateforme faîtière de la chaîne des recettes</w:t>
            </w:r>
          </w:p>
        </w:tc>
      </w:tr>
      <w:tr>
        <w:tc>
          <w:tcPr>
            <w:shd w:val="clear" w:color="auto" w:fill="F2F9F8"/>
          </w:tcPr>
          <w:p>
            <w:pPr>
              <w:pStyle w:val="Compact"/>
              <w:spacing w:after="20" w:before="20" w:line="240" w:lineRule="auto"/>
              <w:jc w:val="left"/>
            </w:pPr>
            <w:r>
              <w:rPr>
                <w:sz w:val="17"/>
              </w:rPr>
              <w:t xml:space="preserve">Registre des règles de recettes</w:t>
            </w:r>
          </w:p>
        </w:tc>
        <w:tc>
          <w:tcPr>
            <w:shd w:val="clear" w:color="auto" w:fill="F2F9F8"/>
          </w:tcPr>
          <w:p>
            <w:pPr>
              <w:pStyle w:val="Compact"/>
              <w:spacing w:after="20" w:before="20" w:line="240" w:lineRule="auto"/>
              <w:jc w:val="left"/>
            </w:pPr>
            <w:r>
              <w:rPr>
                <w:sz w:val="17"/>
              </w:rPr>
              <w:t xml:space="preserve">Revenue Rule Registry</w:t>
            </w:r>
          </w:p>
        </w:tc>
        <w:tc>
          <w:tcPr>
            <w:shd w:val="clear" w:color="auto" w:fill="F2F9F8"/>
          </w:tcPr>
          <w:p>
            <w:pPr>
              <w:pStyle w:val="Compact"/>
              <w:spacing w:after="20" w:before="20" w:line="240" w:lineRule="auto"/>
              <w:jc w:val="left"/>
            </w:pPr>
            <w:r>
              <w:rPr>
                <w:sz w:val="17"/>
              </w:rPr>
              <w:t xml:space="preserve">Référentiel versionné des fiches de recettes (§ 6.2)</w:t>
            </w:r>
          </w:p>
        </w:tc>
      </w:tr>
      <w:tr>
        <w:tc>
          <w:tcPr/>
          <w:p>
            <w:pPr>
              <w:pStyle w:val="Compact"/>
              <w:spacing w:after="20" w:before="20" w:line="240" w:lineRule="auto"/>
              <w:jc w:val="left"/>
            </w:pPr>
            <w:r>
              <w:rPr>
                <w:sz w:val="17"/>
              </w:rPr>
              <w:t xml:space="preserve">Moteur de découverte des recettes</w:t>
            </w:r>
          </w:p>
        </w:tc>
        <w:tc>
          <w:tcPr/>
          <w:p>
            <w:pPr>
              <w:pStyle w:val="Compact"/>
              <w:spacing w:after="20" w:before="20" w:line="240" w:lineRule="auto"/>
              <w:jc w:val="left"/>
            </w:pPr>
            <w:r>
              <w:rPr>
                <w:sz w:val="17"/>
              </w:rPr>
              <w:t xml:space="preserve">Revenue Discovery Engine</w:t>
            </w:r>
          </w:p>
        </w:tc>
        <w:tc>
          <w:tcPr/>
          <w:p>
            <w:pPr>
              <w:pStyle w:val="Compact"/>
              <w:spacing w:after="20" w:before="20" w:line="240" w:lineRule="auto"/>
              <w:jc w:val="left"/>
            </w:pPr>
            <w:r>
              <w:rPr>
                <w:sz w:val="17"/>
              </w:rPr>
              <w:t xml:space="preserve">Agent de recherche des assiettes et des fuites (§ 8.4)</w:t>
            </w:r>
          </w:p>
        </w:tc>
      </w:tr>
      <w:tr>
        <w:tc>
          <w:tcPr>
            <w:shd w:val="clear" w:color="auto" w:fill="F2F9F8"/>
          </w:tcPr>
          <w:p>
            <w:pPr>
              <w:pStyle w:val="Compact"/>
              <w:spacing w:after="20" w:before="20" w:line="240" w:lineRule="auto"/>
              <w:jc w:val="left"/>
            </w:pPr>
            <w:r>
              <w:rPr>
                <w:sz w:val="17"/>
              </w:rPr>
              <w:t xml:space="preserve">Moteur de liquidation</w:t>
            </w:r>
          </w:p>
        </w:tc>
        <w:tc>
          <w:tcPr>
            <w:shd w:val="clear" w:color="auto" w:fill="F2F9F8"/>
          </w:tcPr>
          <w:p>
            <w:pPr>
              <w:pStyle w:val="Compact"/>
              <w:spacing w:after="20" w:before="20" w:line="240" w:lineRule="auto"/>
              <w:jc w:val="left"/>
            </w:pPr>
            <w:r>
              <w:rPr>
                <w:sz w:val="17"/>
              </w:rPr>
              <w:t xml:space="preserve">Assessment / Liquidation Engine</w:t>
            </w:r>
          </w:p>
        </w:tc>
        <w:tc>
          <w:tcPr>
            <w:shd w:val="clear" w:color="auto" w:fill="F2F9F8"/>
          </w:tcPr>
          <w:p>
            <w:pPr>
              <w:pStyle w:val="Compact"/>
              <w:spacing w:after="20" w:before="20" w:line="240" w:lineRule="auto"/>
              <w:jc w:val="left"/>
            </w:pPr>
            <w:r>
              <w:rPr>
                <w:sz w:val="17"/>
              </w:rPr>
              <w:t xml:space="preserve">Calcul déterministe des obligations (§ 11.2)</w:t>
            </w:r>
          </w:p>
        </w:tc>
      </w:tr>
      <w:tr>
        <w:tc>
          <w:tcPr/>
          <w:p>
            <w:pPr>
              <w:pStyle w:val="Compact"/>
              <w:spacing w:after="20" w:before="20" w:line="240" w:lineRule="auto"/>
              <w:jc w:val="left"/>
            </w:pPr>
            <w:r>
              <w:rPr>
                <w:sz w:val="17"/>
              </w:rPr>
              <w:t xml:space="preserve">Déperdition, fuite</w:t>
            </w:r>
          </w:p>
        </w:tc>
        <w:tc>
          <w:tcPr/>
          <w:p>
            <w:pPr>
              <w:pStyle w:val="Compact"/>
              <w:spacing w:after="20" w:before="20" w:line="240" w:lineRule="auto"/>
              <w:jc w:val="left"/>
            </w:pPr>
            <w:r>
              <w:rPr>
                <w:sz w:val="17"/>
              </w:rPr>
              <w:t xml:space="preserve">Leakage</w:t>
            </w:r>
          </w:p>
        </w:tc>
        <w:tc>
          <w:tcPr/>
          <w:p>
            <w:pPr>
              <w:pStyle w:val="Compact"/>
              <w:spacing w:after="20" w:before="20" w:line="240" w:lineRule="auto"/>
              <w:jc w:val="left"/>
            </w:pPr>
            <w:r>
              <w:rPr>
                <w:sz w:val="17"/>
              </w:rPr>
              <w:t xml:space="preserve">Écart entre recette due et recette rapprochée</w:t>
            </w:r>
          </w:p>
        </w:tc>
      </w:tr>
      <w:tr>
        <w:tc>
          <w:tcPr>
            <w:shd w:val="clear" w:color="auto" w:fill="F2F9F8"/>
          </w:tcPr>
          <w:p>
            <w:pPr>
              <w:pStyle w:val="Compact"/>
              <w:spacing w:after="20" w:before="20" w:line="240" w:lineRule="auto"/>
              <w:jc w:val="left"/>
            </w:pPr>
            <w:r>
              <w:rPr>
                <w:sz w:val="17"/>
              </w:rPr>
              <w:t xml:space="preserve">Base de référence</w:t>
            </w:r>
          </w:p>
        </w:tc>
        <w:tc>
          <w:tcPr>
            <w:shd w:val="clear" w:color="auto" w:fill="F2F9F8"/>
          </w:tcPr>
          <w:p>
            <w:pPr>
              <w:pStyle w:val="Compact"/>
              <w:spacing w:after="20" w:before="20" w:line="240" w:lineRule="auto"/>
              <w:jc w:val="left"/>
            </w:pPr>
            <w:r>
              <w:rPr>
                <w:sz w:val="17"/>
              </w:rPr>
              <w:t xml:space="preserve">Baseline</w:t>
            </w:r>
          </w:p>
        </w:tc>
        <w:tc>
          <w:tcPr>
            <w:shd w:val="clear" w:color="auto" w:fill="F2F9F8"/>
          </w:tcPr>
          <w:p>
            <w:pPr>
              <w:pStyle w:val="Compact"/>
              <w:spacing w:after="20" w:before="20" w:line="240" w:lineRule="auto"/>
              <w:jc w:val="left"/>
            </w:pPr>
            <w:r>
              <w:rPr>
                <w:sz w:val="17"/>
              </w:rPr>
              <w:t xml:space="preserve">Mesure initiale auditée (§ 38.1)</w:t>
            </w:r>
          </w:p>
        </w:tc>
      </w:tr>
      <w:tr>
        <w:tc>
          <w:tcPr/>
          <w:p>
            <w:pPr>
              <w:pStyle w:val="Compact"/>
              <w:spacing w:after="20" w:before="20" w:line="240" w:lineRule="auto"/>
              <w:jc w:val="left"/>
            </w:pPr>
            <w:r>
              <w:rPr>
                <w:sz w:val="17"/>
              </w:rPr>
              <w:t xml:space="preserve">Règlement en compte public</w:t>
            </w:r>
          </w:p>
        </w:tc>
        <w:tc>
          <w:tcPr/>
          <w:p>
            <w:pPr>
              <w:pStyle w:val="Compact"/>
              <w:spacing w:after="20" w:before="20" w:line="240" w:lineRule="auto"/>
              <w:jc w:val="left"/>
            </w:pPr>
            <w:r>
              <w:rPr>
                <w:sz w:val="17"/>
              </w:rPr>
              <w:t xml:space="preserve">Settlement, settled</w:t>
            </w:r>
          </w:p>
        </w:tc>
        <w:tc>
          <w:tcPr/>
          <w:p>
            <w:pPr>
              <w:pStyle w:val="Compact"/>
              <w:spacing w:after="20" w:before="20" w:line="240" w:lineRule="auto"/>
              <w:jc w:val="left"/>
            </w:pPr>
            <w:r>
              <w:rPr>
                <w:sz w:val="17"/>
              </w:rPr>
              <w:t xml:space="preserve">Arrivée effective des fonds sur le compte public désigné</w:t>
            </w:r>
          </w:p>
        </w:tc>
      </w:tr>
      <w:tr>
        <w:tc>
          <w:tcPr>
            <w:shd w:val="clear" w:color="auto" w:fill="F2F9F8"/>
          </w:tcPr>
          <w:p>
            <w:pPr>
              <w:pStyle w:val="Compact"/>
              <w:spacing w:after="20" w:before="20" w:line="240" w:lineRule="auto"/>
              <w:jc w:val="left"/>
            </w:pPr>
            <w:r>
              <w:rPr>
                <w:sz w:val="17"/>
              </w:rPr>
              <w:t xml:space="preserve">Rapprochement</w:t>
            </w:r>
          </w:p>
        </w:tc>
        <w:tc>
          <w:tcPr>
            <w:shd w:val="clear" w:color="auto" w:fill="F2F9F8"/>
          </w:tcPr>
          <w:p>
            <w:pPr>
              <w:pStyle w:val="Compact"/>
              <w:spacing w:after="20" w:before="20" w:line="240" w:lineRule="auto"/>
              <w:jc w:val="left"/>
            </w:pPr>
            <w:r>
              <w:rPr>
                <w:sz w:val="17"/>
              </w:rPr>
              <w:t xml:space="preserve">Reconciliation</w:t>
            </w:r>
          </w:p>
        </w:tc>
        <w:tc>
          <w:tcPr>
            <w:shd w:val="clear" w:color="auto" w:fill="F2F9F8"/>
          </w:tcPr>
          <w:p>
            <w:pPr>
              <w:pStyle w:val="Compact"/>
              <w:spacing w:after="20" w:before="20" w:line="240" w:lineRule="auto"/>
              <w:jc w:val="left"/>
            </w:pPr>
            <w:r>
              <w:rPr>
                <w:sz w:val="17"/>
              </w:rPr>
              <w:t xml:space="preserve">Appariement obligation–paiement–règlement–comptabilité (§ 20)</w:t>
            </w:r>
          </w:p>
        </w:tc>
      </w:tr>
      <w:tr>
        <w:tc>
          <w:tcPr/>
          <w:p>
            <w:pPr>
              <w:pStyle w:val="Compact"/>
              <w:spacing w:after="20" w:before="20" w:line="240" w:lineRule="auto"/>
              <w:jc w:val="left"/>
            </w:pPr>
            <w:r>
              <w:rPr>
                <w:sz w:val="17"/>
              </w:rPr>
              <w:t xml:space="preserve">Grand livre public</w:t>
            </w:r>
          </w:p>
        </w:tc>
        <w:tc>
          <w:tcPr/>
          <w:p>
            <w:pPr>
              <w:pStyle w:val="Compact"/>
              <w:spacing w:after="20" w:before="20" w:line="240" w:lineRule="auto"/>
              <w:jc w:val="left"/>
            </w:pPr>
            <w:r>
              <w:rPr>
                <w:sz w:val="17"/>
              </w:rPr>
              <w:t xml:space="preserve">Public Financial Ledger</w:t>
            </w:r>
          </w:p>
        </w:tc>
        <w:tc>
          <w:tcPr/>
          <w:p>
            <w:pPr>
              <w:pStyle w:val="Compact"/>
              <w:spacing w:after="20" w:before="20" w:line="240" w:lineRule="auto"/>
              <w:jc w:val="left"/>
            </w:pPr>
            <w:r>
              <w:rPr>
                <w:sz w:val="17"/>
              </w:rPr>
              <w:t xml:space="preserve">Comptabilité en partie double, en ajout seul (§ 20.1)</w:t>
            </w:r>
          </w:p>
        </w:tc>
      </w:tr>
      <w:tr>
        <w:tc>
          <w:tcPr>
            <w:shd w:val="clear" w:color="auto" w:fill="F2F9F8"/>
          </w:tcPr>
          <w:p>
            <w:pPr>
              <w:pStyle w:val="Compact"/>
              <w:spacing w:after="20" w:before="20" w:line="240" w:lineRule="auto"/>
              <w:jc w:val="left"/>
            </w:pPr>
            <w:r>
              <w:rPr>
                <w:sz w:val="17"/>
              </w:rPr>
              <w:t xml:space="preserve">Compte d’attente</w:t>
            </w:r>
          </w:p>
        </w:tc>
        <w:tc>
          <w:tcPr>
            <w:shd w:val="clear" w:color="auto" w:fill="F2F9F8"/>
          </w:tcPr>
          <w:p>
            <w:pPr>
              <w:pStyle w:val="Compact"/>
              <w:spacing w:after="20" w:before="20" w:line="240" w:lineRule="auto"/>
              <w:jc w:val="left"/>
            </w:pPr>
            <w:r>
              <w:rPr>
                <w:sz w:val="17"/>
              </w:rPr>
              <w:t xml:space="preserve">Suspense</w:t>
            </w:r>
          </w:p>
        </w:tc>
        <w:tc>
          <w:tcPr>
            <w:shd w:val="clear" w:color="auto" w:fill="F2F9F8"/>
          </w:tcPr>
          <w:p>
            <w:pPr>
              <w:pStyle w:val="Compact"/>
              <w:spacing w:after="20" w:before="20" w:line="240" w:lineRule="auto"/>
              <w:jc w:val="left"/>
            </w:pPr>
            <w:r>
              <w:rPr>
                <w:sz w:val="17"/>
              </w:rPr>
              <w:t xml:space="preserve">Compte temporaire des fonds non identifiés</w:t>
            </w:r>
          </w:p>
        </w:tc>
      </w:tr>
      <w:tr>
        <w:tc>
          <w:tcPr/>
          <w:p>
            <w:pPr>
              <w:pStyle w:val="Compact"/>
              <w:spacing w:after="20" w:before="20" w:line="240" w:lineRule="auto"/>
              <w:jc w:val="left"/>
            </w:pPr>
            <w:r>
              <w:rPr>
                <w:sz w:val="17"/>
              </w:rPr>
              <w:t xml:space="preserve">Contre-écriture</w:t>
            </w:r>
          </w:p>
        </w:tc>
        <w:tc>
          <w:tcPr/>
          <w:p>
            <w:pPr>
              <w:pStyle w:val="Compact"/>
              <w:spacing w:after="20" w:before="20" w:line="240" w:lineRule="auto"/>
              <w:jc w:val="left"/>
            </w:pPr>
            <w:r>
              <w:rPr>
                <w:sz w:val="17"/>
              </w:rPr>
              <w:t xml:space="preserve">Reversal entry</w:t>
            </w:r>
          </w:p>
        </w:tc>
        <w:tc>
          <w:tcPr/>
          <w:p>
            <w:pPr>
              <w:pStyle w:val="Compact"/>
              <w:spacing w:after="20" w:before="20" w:line="240" w:lineRule="auto"/>
              <w:jc w:val="left"/>
            </w:pPr>
            <w:r>
              <w:rPr>
                <w:sz w:val="17"/>
              </w:rPr>
              <w:t xml:space="preserve">Écriture corrigeant une autre sans l’effacer</w:t>
            </w:r>
          </w:p>
        </w:tc>
      </w:tr>
      <w:tr>
        <w:tc>
          <w:tcPr>
            <w:shd w:val="clear" w:color="auto" w:fill="F2F9F8"/>
          </w:tcPr>
          <w:p>
            <w:pPr>
              <w:pStyle w:val="Compact"/>
              <w:spacing w:after="20" w:before="20" w:line="240" w:lineRule="auto"/>
              <w:jc w:val="left"/>
            </w:pPr>
            <w:r>
              <w:rPr>
                <w:sz w:val="17"/>
              </w:rPr>
              <w:t xml:space="preserve">Journal en ajout seul</w:t>
            </w:r>
          </w:p>
        </w:tc>
        <w:tc>
          <w:tcPr>
            <w:shd w:val="clear" w:color="auto" w:fill="F2F9F8"/>
          </w:tcPr>
          <w:p>
            <w:pPr>
              <w:pStyle w:val="Compact"/>
              <w:spacing w:after="20" w:before="20" w:line="240" w:lineRule="auto"/>
              <w:jc w:val="left"/>
            </w:pPr>
            <w:r>
              <w:rPr>
                <w:sz w:val="17"/>
              </w:rPr>
              <w:t xml:space="preserve">Append-only log</w:t>
            </w:r>
          </w:p>
        </w:tc>
        <w:tc>
          <w:tcPr>
            <w:shd w:val="clear" w:color="auto" w:fill="F2F9F8"/>
          </w:tcPr>
          <w:p>
            <w:pPr>
              <w:pStyle w:val="Compact"/>
              <w:spacing w:after="20" w:before="20" w:line="240" w:lineRule="auto"/>
              <w:jc w:val="left"/>
            </w:pPr>
            <w:r>
              <w:rPr>
                <w:sz w:val="17"/>
              </w:rPr>
              <w:t xml:space="preserve">Journal où aucune entrée ne peut être modifiée ni supprimée</w:t>
            </w:r>
          </w:p>
        </w:tc>
      </w:tr>
      <w:tr>
        <w:tc>
          <w:tcPr/>
          <w:p>
            <w:pPr>
              <w:pStyle w:val="Compact"/>
              <w:spacing w:after="20" w:before="20" w:line="240" w:lineRule="auto"/>
              <w:jc w:val="left"/>
            </w:pPr>
            <w:r>
              <w:rPr>
                <w:sz w:val="17"/>
              </w:rPr>
              <w:t xml:space="preserve">Écriture unique</w:t>
            </w:r>
          </w:p>
        </w:tc>
        <w:tc>
          <w:tcPr/>
          <w:p>
            <w:pPr>
              <w:pStyle w:val="Compact"/>
              <w:spacing w:after="20" w:before="20" w:line="240" w:lineRule="auto"/>
              <w:jc w:val="left"/>
            </w:pPr>
            <w:r>
              <w:rPr>
                <w:sz w:val="17"/>
              </w:rPr>
              <w:t xml:space="preserve">WORM (Write Once, Read Many)</w:t>
            </w:r>
          </w:p>
        </w:tc>
        <w:tc>
          <w:tcPr/>
          <w:p>
            <w:pPr>
              <w:pStyle w:val="Compact"/>
              <w:spacing w:after="20" w:before="20" w:line="240" w:lineRule="auto"/>
              <w:jc w:val="left"/>
            </w:pPr>
            <w:r>
              <w:rPr>
                <w:sz w:val="17"/>
              </w:rPr>
              <w:t xml:space="preserve">Stockage d’audit non réinscriptible</w:t>
            </w:r>
          </w:p>
        </w:tc>
      </w:tr>
      <w:tr>
        <w:tc>
          <w:tcPr>
            <w:shd w:val="clear" w:color="auto" w:fill="F2F9F8"/>
          </w:tcPr>
          <w:p>
            <w:pPr>
              <w:pStyle w:val="Compact"/>
              <w:spacing w:after="20" w:before="20" w:line="240" w:lineRule="auto"/>
              <w:jc w:val="left"/>
            </w:pPr>
            <w:r>
              <w:rPr>
                <w:sz w:val="17"/>
              </w:rPr>
              <w:t xml:space="preserve">Initiateur / vérificateur</w:t>
            </w:r>
          </w:p>
        </w:tc>
        <w:tc>
          <w:tcPr>
            <w:shd w:val="clear" w:color="auto" w:fill="F2F9F8"/>
          </w:tcPr>
          <w:p>
            <w:pPr>
              <w:pStyle w:val="Compact"/>
              <w:spacing w:after="20" w:before="20" w:line="240" w:lineRule="auto"/>
              <w:jc w:val="left"/>
            </w:pPr>
            <w:r>
              <w:rPr>
                <w:sz w:val="17"/>
              </w:rPr>
              <w:t xml:space="preserve">Maker-checker</w:t>
            </w:r>
          </w:p>
        </w:tc>
        <w:tc>
          <w:tcPr>
            <w:shd w:val="clear" w:color="auto" w:fill="F2F9F8"/>
          </w:tcPr>
          <w:p>
            <w:pPr>
              <w:pStyle w:val="Compact"/>
              <w:spacing w:after="20" w:before="20" w:line="240" w:lineRule="auto"/>
              <w:jc w:val="left"/>
            </w:pPr>
            <w:r>
              <w:rPr>
                <w:sz w:val="17"/>
              </w:rPr>
              <w:t xml:space="preserve">Validation par deux personnes distinctes</w:t>
            </w:r>
          </w:p>
        </w:tc>
      </w:tr>
      <w:tr>
        <w:tc>
          <w:tcPr/>
          <w:p>
            <w:pPr>
              <w:pStyle w:val="Compact"/>
              <w:spacing w:after="20" w:before="20" w:line="240" w:lineRule="auto"/>
              <w:jc w:val="left"/>
            </w:pPr>
            <w:r>
              <w:rPr>
                <w:sz w:val="17"/>
              </w:rPr>
              <w:t xml:space="preserve">Séparation des tâches</w:t>
            </w:r>
          </w:p>
        </w:tc>
        <w:tc>
          <w:tcPr/>
          <w:p>
            <w:pPr>
              <w:pStyle w:val="Compact"/>
              <w:spacing w:after="20" w:before="20" w:line="240" w:lineRule="auto"/>
              <w:jc w:val="left"/>
            </w:pPr>
            <w:r>
              <w:rPr>
                <w:sz w:val="17"/>
              </w:rPr>
              <w:t xml:space="preserve">Segregation of Duties (SoD)</w:t>
            </w:r>
          </w:p>
        </w:tc>
        <w:tc>
          <w:tcPr/>
          <w:p>
            <w:pPr>
              <w:pStyle w:val="Compact"/>
              <w:spacing w:after="20" w:before="20" w:line="240" w:lineRule="auto"/>
              <w:jc w:val="left"/>
            </w:pPr>
            <w:r>
              <w:rPr>
                <w:sz w:val="17"/>
              </w:rPr>
              <w:t xml:space="preserve">Répartition des étapes sensibles entre personnes différentes</w:t>
            </w:r>
          </w:p>
        </w:tc>
      </w:tr>
      <w:tr>
        <w:tc>
          <w:tcPr>
            <w:shd w:val="clear" w:color="auto" w:fill="F2F9F8"/>
          </w:tcPr>
          <w:p>
            <w:pPr>
              <w:pStyle w:val="Compact"/>
              <w:spacing w:after="20" w:before="20" w:line="240" w:lineRule="auto"/>
              <w:jc w:val="left"/>
            </w:pPr>
            <w:r>
              <w:rPr>
                <w:sz w:val="17"/>
              </w:rPr>
              <w:t xml:space="preserve">Contrôle d’accès par rôles et attributs</w:t>
            </w:r>
          </w:p>
        </w:tc>
        <w:tc>
          <w:tcPr>
            <w:shd w:val="clear" w:color="auto" w:fill="F2F9F8"/>
          </w:tcPr>
          <w:p>
            <w:pPr>
              <w:pStyle w:val="Compact"/>
              <w:spacing w:after="20" w:before="20" w:line="240" w:lineRule="auto"/>
              <w:jc w:val="left"/>
            </w:pPr>
            <w:r>
              <w:rPr>
                <w:sz w:val="17"/>
              </w:rPr>
              <w:t xml:space="preserve">RBAC + ABAC</w:t>
            </w:r>
          </w:p>
        </w:tc>
        <w:tc>
          <w:tcPr>
            <w:shd w:val="clear" w:color="auto" w:fill="F2F9F8"/>
          </w:tcPr>
          <w:p>
            <w:pPr>
              <w:pStyle w:val="Compact"/>
              <w:spacing w:after="20" w:before="20" w:line="240" w:lineRule="auto"/>
              <w:jc w:val="left"/>
            </w:pPr>
            <w:r>
              <w:rPr>
                <w:sz w:val="17"/>
              </w:rPr>
              <w:t xml:space="preserve">Modèle d’habilitation (§ 12)</w:t>
            </w:r>
          </w:p>
        </w:tc>
      </w:tr>
      <w:tr>
        <w:tc>
          <w:tcPr/>
          <w:p>
            <w:pPr>
              <w:pStyle w:val="Compact"/>
              <w:spacing w:after="20" w:before="20" w:line="240" w:lineRule="auto"/>
              <w:jc w:val="left"/>
            </w:pPr>
            <w:r>
              <w:rPr>
                <w:sz w:val="17"/>
              </w:rPr>
              <w:t xml:space="preserve">Accès juste-à-temps</w:t>
            </w:r>
          </w:p>
        </w:tc>
        <w:tc>
          <w:tcPr/>
          <w:p>
            <w:pPr>
              <w:pStyle w:val="Compact"/>
              <w:spacing w:after="20" w:before="20" w:line="240" w:lineRule="auto"/>
              <w:jc w:val="left"/>
            </w:pPr>
            <w:r>
              <w:rPr>
                <w:sz w:val="17"/>
              </w:rPr>
              <w:t xml:space="preserve">Just-in-time access (JIT)</w:t>
            </w:r>
          </w:p>
        </w:tc>
        <w:tc>
          <w:tcPr/>
          <w:p>
            <w:pPr>
              <w:pStyle w:val="Compact"/>
              <w:spacing w:after="20" w:before="20" w:line="240" w:lineRule="auto"/>
              <w:jc w:val="left"/>
            </w:pPr>
            <w:r>
              <w:rPr>
                <w:sz w:val="17"/>
              </w:rPr>
              <w:t xml:space="preserve">Élévation temporaire, motivée et expirante</w:t>
            </w:r>
          </w:p>
        </w:tc>
      </w:tr>
      <w:tr>
        <w:tc>
          <w:tcPr>
            <w:shd w:val="clear" w:color="auto" w:fill="F2F9F8"/>
          </w:tcPr>
          <w:p>
            <w:pPr>
              <w:pStyle w:val="Compact"/>
              <w:spacing w:after="20" w:before="20" w:line="240" w:lineRule="auto"/>
              <w:jc w:val="left"/>
            </w:pPr>
            <w:r>
              <w:rPr>
                <w:sz w:val="17"/>
              </w:rPr>
              <w:t xml:space="preserve">Gestion des accès privilégiés</w:t>
            </w:r>
          </w:p>
        </w:tc>
        <w:tc>
          <w:tcPr>
            <w:shd w:val="clear" w:color="auto" w:fill="F2F9F8"/>
          </w:tcPr>
          <w:p>
            <w:pPr>
              <w:pStyle w:val="Compact"/>
              <w:spacing w:after="20" w:before="20" w:line="240" w:lineRule="auto"/>
              <w:jc w:val="left"/>
            </w:pPr>
            <w:r>
              <w:rPr>
                <w:sz w:val="17"/>
              </w:rPr>
              <w:t xml:space="preserve">PAM</w:t>
            </w:r>
          </w:p>
        </w:tc>
        <w:tc>
          <w:tcPr>
            <w:shd w:val="clear" w:color="auto" w:fill="F2F9F8"/>
          </w:tcPr>
          <w:p>
            <w:pPr>
              <w:pStyle w:val="Compact"/>
              <w:spacing w:after="20" w:before="20" w:line="240" w:lineRule="auto"/>
              <w:jc w:val="left"/>
            </w:pPr>
            <w:r>
              <w:rPr>
                <w:sz w:val="17"/>
              </w:rPr>
              <w:t xml:space="preserve">Contrôle des comptes à hauts privilèges</w:t>
            </w:r>
          </w:p>
        </w:tc>
      </w:tr>
      <w:tr>
        <w:tc>
          <w:tcPr/>
          <w:p>
            <w:pPr>
              <w:pStyle w:val="Compact"/>
              <w:spacing w:after="20" w:before="20" w:line="240" w:lineRule="auto"/>
              <w:jc w:val="left"/>
            </w:pPr>
            <w:r>
              <w:rPr>
                <w:sz w:val="17"/>
              </w:rPr>
              <w:t xml:space="preserve">Prévention des fuites de données</w:t>
            </w:r>
          </w:p>
        </w:tc>
        <w:tc>
          <w:tcPr/>
          <w:p>
            <w:pPr>
              <w:pStyle w:val="Compact"/>
              <w:spacing w:after="20" w:before="20" w:line="240" w:lineRule="auto"/>
              <w:jc w:val="left"/>
            </w:pPr>
            <w:r>
              <w:rPr>
                <w:sz w:val="17"/>
              </w:rPr>
              <w:t xml:space="preserve">DLP</w:t>
            </w:r>
          </w:p>
        </w:tc>
        <w:tc>
          <w:tcPr/>
          <w:p>
            <w:pPr>
              <w:pStyle w:val="Compact"/>
              <w:spacing w:after="20" w:before="20" w:line="240" w:lineRule="auto"/>
              <w:jc w:val="left"/>
            </w:pPr>
            <w:r>
              <w:rPr>
                <w:sz w:val="17"/>
              </w:rPr>
              <w:t xml:space="preserve">Détection et blocage des exfiltrations</w:t>
            </w:r>
          </w:p>
        </w:tc>
      </w:tr>
      <w:tr>
        <w:tc>
          <w:tcPr>
            <w:shd w:val="clear" w:color="auto" w:fill="F2F9F8"/>
          </w:tcPr>
          <w:p>
            <w:pPr>
              <w:pStyle w:val="Compact"/>
              <w:spacing w:after="20" w:before="20" w:line="240" w:lineRule="auto"/>
              <w:jc w:val="left"/>
            </w:pPr>
            <w:r>
              <w:rPr>
                <w:sz w:val="17"/>
              </w:rPr>
              <w:t xml:space="preserve">Centre de commandement</w:t>
            </w:r>
          </w:p>
        </w:tc>
        <w:tc>
          <w:tcPr>
            <w:shd w:val="clear" w:color="auto" w:fill="F2F9F8"/>
          </w:tcPr>
          <w:p>
            <w:pPr>
              <w:pStyle w:val="Compact"/>
              <w:spacing w:after="20" w:before="20" w:line="240" w:lineRule="auto"/>
              <w:jc w:val="left"/>
            </w:pPr>
            <w:r>
              <w:rPr>
                <w:sz w:val="17"/>
              </w:rPr>
              <w:t xml:space="preserve">Command Centre</w:t>
            </w:r>
          </w:p>
        </w:tc>
        <w:tc>
          <w:tcPr>
            <w:shd w:val="clear" w:color="auto" w:fill="F2F9F8"/>
          </w:tcPr>
          <w:p>
            <w:pPr>
              <w:pStyle w:val="Compact"/>
              <w:spacing w:after="20" w:before="20" w:line="240" w:lineRule="auto"/>
              <w:jc w:val="left"/>
            </w:pPr>
            <w:r>
              <w:rPr>
                <w:sz w:val="17"/>
              </w:rPr>
              <w:t xml:space="preserve">Tableau de bord exécutif (§ 26.1)</w:t>
            </w:r>
          </w:p>
        </w:tc>
      </w:tr>
      <w:tr>
        <w:tc>
          <w:tcPr/>
          <w:p>
            <w:pPr>
              <w:pStyle w:val="Compact"/>
              <w:spacing w:after="20" w:before="20" w:line="240" w:lineRule="auto"/>
              <w:jc w:val="left"/>
            </w:pPr>
            <w:r>
              <w:rPr>
                <w:sz w:val="17"/>
              </w:rPr>
              <w:t xml:space="preserve">Hors ligne d’abord</w:t>
            </w:r>
          </w:p>
        </w:tc>
        <w:tc>
          <w:tcPr/>
          <w:p>
            <w:pPr>
              <w:pStyle w:val="Compact"/>
              <w:spacing w:after="20" w:before="20" w:line="240" w:lineRule="auto"/>
              <w:jc w:val="left"/>
            </w:pPr>
            <w:r>
              <w:rPr>
                <w:sz w:val="17"/>
              </w:rPr>
              <w:t xml:space="preserve">Offline-first</w:t>
            </w:r>
          </w:p>
        </w:tc>
        <w:tc>
          <w:tcPr/>
          <w:p>
            <w:pPr>
              <w:pStyle w:val="Compact"/>
              <w:spacing w:after="20" w:before="20" w:line="240" w:lineRule="auto"/>
              <w:jc w:val="left"/>
            </w:pPr>
            <w:r>
              <w:rPr>
                <w:sz w:val="17"/>
              </w:rPr>
              <w:t xml:space="preserve">Conception terrain sans réseau (§ 15.4)</w:t>
            </w:r>
          </w:p>
        </w:tc>
      </w:tr>
      <w:tr>
        <w:tc>
          <w:tcPr>
            <w:shd w:val="clear" w:color="auto" w:fill="F2F9F8"/>
          </w:tcPr>
          <w:p>
            <w:pPr>
              <w:pStyle w:val="Compact"/>
              <w:spacing w:after="20" w:before="20" w:line="240" w:lineRule="auto"/>
              <w:jc w:val="left"/>
            </w:pPr>
            <w:r>
              <w:rPr>
                <w:sz w:val="17"/>
              </w:rPr>
              <w:t xml:space="preserve">Gestion des appareils mobiles</w:t>
            </w:r>
          </w:p>
        </w:tc>
        <w:tc>
          <w:tcPr>
            <w:shd w:val="clear" w:color="auto" w:fill="F2F9F8"/>
          </w:tcPr>
          <w:p>
            <w:pPr>
              <w:pStyle w:val="Compact"/>
              <w:spacing w:after="20" w:before="20" w:line="240" w:lineRule="auto"/>
              <w:jc w:val="left"/>
            </w:pPr>
            <w:r>
              <w:rPr>
                <w:sz w:val="17"/>
              </w:rPr>
              <w:t xml:space="preserve">MDM</w:t>
            </w:r>
          </w:p>
        </w:tc>
        <w:tc>
          <w:tcPr>
            <w:shd w:val="clear" w:color="auto" w:fill="F2F9F8"/>
          </w:tcPr>
          <w:p>
            <w:pPr>
              <w:pStyle w:val="Compact"/>
              <w:spacing w:after="20" w:before="20" w:line="240" w:lineRule="auto"/>
              <w:jc w:val="left"/>
            </w:pPr>
            <w:r>
              <w:rPr>
                <w:sz w:val="17"/>
              </w:rPr>
              <w:t xml:space="preserve">Enrôlement, révocation, effacement à distance des terminaux</w:t>
            </w:r>
          </w:p>
        </w:tc>
      </w:tr>
      <w:tr>
        <w:tc>
          <w:tcPr/>
          <w:p>
            <w:pPr>
              <w:pStyle w:val="Compact"/>
              <w:spacing w:after="20" w:before="20" w:line="240" w:lineRule="auto"/>
              <w:jc w:val="left"/>
            </w:pPr>
            <w:r>
              <w:rPr>
                <w:sz w:val="17"/>
              </w:rPr>
              <w:t xml:space="preserve">Validation humaine</w:t>
            </w:r>
          </w:p>
        </w:tc>
        <w:tc>
          <w:tcPr/>
          <w:p>
            <w:pPr>
              <w:pStyle w:val="Compact"/>
              <w:spacing w:after="20" w:before="20" w:line="240" w:lineRule="auto"/>
              <w:jc w:val="left"/>
            </w:pPr>
            <w:r>
              <w:rPr>
                <w:sz w:val="17"/>
              </w:rPr>
              <w:t xml:space="preserve">Human-in-the-loop</w:t>
            </w:r>
          </w:p>
        </w:tc>
        <w:tc>
          <w:tcPr/>
          <w:p>
            <w:pPr>
              <w:pStyle w:val="Compact"/>
              <w:spacing w:after="20" w:before="20" w:line="240" w:lineRule="auto"/>
              <w:jc w:val="left"/>
            </w:pPr>
            <w:r>
              <w:rPr>
                <w:sz w:val="17"/>
              </w:rPr>
              <w:t xml:space="preserve">Point de décision humaine dans un processus assisté par IA</w:t>
            </w:r>
          </w:p>
        </w:tc>
      </w:tr>
      <w:tr>
        <w:tc>
          <w:tcPr>
            <w:shd w:val="clear" w:color="auto" w:fill="F2F9F8"/>
          </w:tcPr>
          <w:p>
            <w:pPr>
              <w:pStyle w:val="Compact"/>
              <w:spacing w:after="20" w:before="20" w:line="240" w:lineRule="auto"/>
              <w:jc w:val="left"/>
            </w:pPr>
            <w:r>
              <w:rPr>
                <w:sz w:val="17"/>
              </w:rPr>
              <w:t xml:space="preserve">Coupe-circuit</w:t>
            </w:r>
          </w:p>
        </w:tc>
        <w:tc>
          <w:tcPr>
            <w:shd w:val="clear" w:color="auto" w:fill="F2F9F8"/>
          </w:tcPr>
          <w:p>
            <w:pPr>
              <w:pStyle w:val="Compact"/>
              <w:spacing w:after="20" w:before="20" w:line="240" w:lineRule="auto"/>
              <w:jc w:val="left"/>
            </w:pPr>
            <w:r>
              <w:rPr>
                <w:sz w:val="17"/>
              </w:rPr>
              <w:t xml:space="preserve">Kill switch</w:t>
            </w:r>
          </w:p>
        </w:tc>
        <w:tc>
          <w:tcPr>
            <w:shd w:val="clear" w:color="auto" w:fill="F2F9F8"/>
          </w:tcPr>
          <w:p>
            <w:pPr>
              <w:pStyle w:val="Compact"/>
              <w:spacing w:after="20" w:before="20" w:line="240" w:lineRule="auto"/>
              <w:jc w:val="left"/>
            </w:pPr>
            <w:r>
              <w:rPr>
                <w:sz w:val="17"/>
              </w:rPr>
              <w:t xml:space="preserve">Arrêt immédiat d’un agent IA</w:t>
            </w:r>
          </w:p>
        </w:tc>
      </w:tr>
      <w:tr>
        <w:tc>
          <w:tcPr/>
          <w:p>
            <w:pPr>
              <w:pStyle w:val="Compact"/>
              <w:spacing w:after="20" w:before="20" w:line="240" w:lineRule="auto"/>
              <w:jc w:val="left"/>
            </w:pPr>
            <w:r>
              <w:rPr>
                <w:sz w:val="17"/>
              </w:rPr>
              <w:t xml:space="preserve">Rappel signé</w:t>
            </w:r>
          </w:p>
        </w:tc>
        <w:tc>
          <w:tcPr/>
          <w:p>
            <w:pPr>
              <w:pStyle w:val="Compact"/>
              <w:spacing w:after="20" w:before="20" w:line="240" w:lineRule="auto"/>
              <w:jc w:val="left"/>
            </w:pPr>
            <w:r>
              <w:rPr>
                <w:sz w:val="17"/>
              </w:rPr>
              <w:t xml:space="preserve">Signed webhook, callback</w:t>
            </w:r>
          </w:p>
        </w:tc>
        <w:tc>
          <w:tcPr/>
          <w:p>
            <w:pPr>
              <w:pStyle w:val="Compact"/>
              <w:spacing w:after="20" w:before="20" w:line="240" w:lineRule="auto"/>
              <w:jc w:val="left"/>
            </w:pPr>
            <w:r>
              <w:rPr>
                <w:sz w:val="17"/>
              </w:rPr>
              <w:t xml:space="preserve">Confirmation authentifiée d’un prestataire</w:t>
            </w:r>
          </w:p>
        </w:tc>
      </w:tr>
      <w:tr>
        <w:tc>
          <w:tcPr>
            <w:shd w:val="clear" w:color="auto" w:fill="F2F9F8"/>
          </w:tcPr>
          <w:p>
            <w:pPr>
              <w:pStyle w:val="Compact"/>
              <w:spacing w:after="20" w:before="20" w:line="240" w:lineRule="auto"/>
              <w:jc w:val="left"/>
            </w:pPr>
            <w:r>
              <w:rPr>
                <w:sz w:val="17"/>
              </w:rPr>
              <w:t xml:space="preserve">Clé d’idempotence</w:t>
            </w:r>
          </w:p>
        </w:tc>
        <w:tc>
          <w:tcPr>
            <w:shd w:val="clear" w:color="auto" w:fill="F2F9F8"/>
          </w:tcPr>
          <w:p>
            <w:pPr>
              <w:pStyle w:val="Compact"/>
              <w:spacing w:after="20" w:before="20" w:line="240" w:lineRule="auto"/>
              <w:jc w:val="left"/>
            </w:pPr>
            <w:r>
              <w:rPr>
                <w:sz w:val="17"/>
              </w:rPr>
              <w:t xml:space="preserve">Idempotency key</w:t>
            </w:r>
          </w:p>
        </w:tc>
        <w:tc>
          <w:tcPr>
            <w:shd w:val="clear" w:color="auto" w:fill="F2F9F8"/>
          </w:tcPr>
          <w:p>
            <w:pPr>
              <w:pStyle w:val="Compact"/>
              <w:spacing w:after="20" w:before="20" w:line="240" w:lineRule="auto"/>
              <w:jc w:val="left"/>
            </w:pPr>
            <w:r>
              <w:rPr>
                <w:sz w:val="17"/>
              </w:rPr>
              <w:t xml:space="preserve">Garantie qu’une même opération n’est exécutée qu’une fois</w:t>
            </w:r>
          </w:p>
        </w:tc>
      </w:tr>
      <w:tr>
        <w:tc>
          <w:tcPr/>
          <w:p>
            <w:pPr>
              <w:pStyle w:val="Compact"/>
              <w:spacing w:after="20" w:before="20" w:line="240" w:lineRule="auto"/>
              <w:jc w:val="left"/>
            </w:pPr>
            <w:r>
              <w:rPr>
                <w:sz w:val="17"/>
              </w:rPr>
              <w:t xml:space="preserve">Portes de mise en production</w:t>
            </w:r>
          </w:p>
        </w:tc>
        <w:tc>
          <w:tcPr/>
          <w:p>
            <w:pPr>
              <w:pStyle w:val="Compact"/>
              <w:spacing w:after="20" w:before="20" w:line="240" w:lineRule="auto"/>
              <w:jc w:val="left"/>
            </w:pPr>
            <w:r>
              <w:rPr>
                <w:sz w:val="17"/>
              </w:rPr>
              <w:t xml:space="preserve">Release gates</w:t>
            </w:r>
          </w:p>
        </w:tc>
        <w:tc>
          <w:tcPr/>
          <w:p>
            <w:pPr>
              <w:pStyle w:val="Compact"/>
              <w:spacing w:after="20" w:before="20" w:line="240" w:lineRule="auto"/>
              <w:jc w:val="left"/>
            </w:pPr>
            <w:r>
              <w:rPr>
                <w:sz w:val="17"/>
              </w:rPr>
              <w:t xml:space="preserve">Conditions à remplir avant chaque mise en production</w:t>
            </w:r>
          </w:p>
        </w:tc>
      </w:tr>
      <w:tr>
        <w:tc>
          <w:tcPr>
            <w:shd w:val="clear" w:color="auto" w:fill="F2F9F8"/>
          </w:tcPr>
          <w:p>
            <w:pPr>
              <w:pStyle w:val="Compact"/>
              <w:spacing w:after="20" w:before="20" w:line="240" w:lineRule="auto"/>
              <w:jc w:val="left"/>
            </w:pPr>
            <w:r>
              <w:rPr>
                <w:sz w:val="17"/>
              </w:rPr>
              <w:t xml:space="preserve">Définition de terminé</w:t>
            </w:r>
          </w:p>
        </w:tc>
        <w:tc>
          <w:tcPr>
            <w:shd w:val="clear" w:color="auto" w:fill="F2F9F8"/>
          </w:tcPr>
          <w:p>
            <w:pPr>
              <w:pStyle w:val="Compact"/>
              <w:spacing w:after="20" w:before="20" w:line="240" w:lineRule="auto"/>
              <w:jc w:val="left"/>
            </w:pPr>
            <w:r>
              <w:rPr>
                <w:sz w:val="17"/>
              </w:rPr>
              <w:t xml:space="preserve">Definition of Done</w:t>
            </w:r>
          </w:p>
        </w:tc>
        <w:tc>
          <w:tcPr>
            <w:shd w:val="clear" w:color="auto" w:fill="F2F9F8"/>
          </w:tcPr>
          <w:p>
            <w:pPr>
              <w:pStyle w:val="Compact"/>
              <w:spacing w:after="20" w:before="20" w:line="240" w:lineRule="auto"/>
              <w:jc w:val="left"/>
            </w:pPr>
            <w:r>
              <w:rPr>
                <w:sz w:val="17"/>
              </w:rPr>
              <w:t xml:space="preserve">Standard minimal d’un module (§ 36.1)</w:t>
            </w:r>
          </w:p>
        </w:tc>
      </w:tr>
      <w:tr>
        <w:tc>
          <w:tcPr/>
          <w:p>
            <w:pPr>
              <w:pStyle w:val="Compact"/>
              <w:spacing w:after="20" w:before="20" w:line="240" w:lineRule="auto"/>
              <w:jc w:val="left"/>
            </w:pPr>
            <w:r>
              <w:rPr>
                <w:sz w:val="17"/>
              </w:rPr>
              <w:t xml:space="preserve">Étant donné / Lorsque / Alors</w:t>
            </w:r>
          </w:p>
        </w:tc>
        <w:tc>
          <w:tcPr/>
          <w:p>
            <w:pPr>
              <w:pStyle w:val="Compact"/>
              <w:spacing w:after="20" w:before="20" w:line="240" w:lineRule="auto"/>
              <w:jc w:val="left"/>
            </w:pPr>
            <w:r>
              <w:rPr>
                <w:sz w:val="17"/>
              </w:rPr>
              <w:t xml:space="preserve">Given / When / Then</w:t>
            </w:r>
          </w:p>
        </w:tc>
        <w:tc>
          <w:tcPr/>
          <w:p>
            <w:pPr>
              <w:pStyle w:val="Compact"/>
              <w:spacing w:after="20" w:before="20" w:line="240" w:lineRule="auto"/>
              <w:jc w:val="left"/>
            </w:pPr>
            <w:r>
              <w:rPr>
                <w:sz w:val="17"/>
              </w:rPr>
              <w:t xml:space="preserve">Format des critères d’acceptation</w:t>
            </w:r>
          </w:p>
        </w:tc>
      </w:tr>
      <w:tr>
        <w:tc>
          <w:tcPr>
            <w:shd w:val="clear" w:color="auto" w:fill="F2F9F8"/>
          </w:tcPr>
          <w:p>
            <w:pPr>
              <w:pStyle w:val="Compact"/>
              <w:spacing w:after="20" w:before="20" w:line="240" w:lineRule="auto"/>
              <w:jc w:val="left"/>
            </w:pPr>
            <w:r>
              <w:rPr>
                <w:sz w:val="17"/>
              </w:rPr>
              <w:t xml:space="preserve">Séquestre</w:t>
            </w:r>
          </w:p>
        </w:tc>
        <w:tc>
          <w:tcPr>
            <w:shd w:val="clear" w:color="auto" w:fill="F2F9F8"/>
          </w:tcPr>
          <w:p>
            <w:pPr>
              <w:pStyle w:val="Compact"/>
              <w:spacing w:after="20" w:before="20" w:line="240" w:lineRule="auto"/>
              <w:jc w:val="left"/>
            </w:pPr>
            <w:r>
              <w:rPr>
                <w:sz w:val="17"/>
              </w:rPr>
              <w:t xml:space="preserve">Escrow</w:t>
            </w:r>
          </w:p>
        </w:tc>
        <w:tc>
          <w:tcPr>
            <w:shd w:val="clear" w:color="auto" w:fill="F2F9F8"/>
          </w:tcPr>
          <w:p>
            <w:pPr>
              <w:pStyle w:val="Compact"/>
              <w:spacing w:after="20" w:before="20" w:line="240" w:lineRule="auto"/>
              <w:jc w:val="left"/>
            </w:pPr>
            <w:r>
              <w:rPr>
                <w:sz w:val="17"/>
              </w:rPr>
              <w:t xml:space="preserve">Dépôt du code source auprès d’un tiers</w:t>
            </w:r>
          </w:p>
        </w:tc>
      </w:tr>
      <w:tr>
        <w:tc>
          <w:tcPr/>
          <w:p>
            <w:pPr>
              <w:pStyle w:val="Compact"/>
              <w:spacing w:after="20" w:before="20" w:line="240" w:lineRule="auto"/>
              <w:jc w:val="left"/>
            </w:pPr>
            <w:r>
              <w:rPr>
                <w:sz w:val="17"/>
              </w:rPr>
              <w:t xml:space="preserve">Plan de reprise / de continuité</w:t>
            </w:r>
          </w:p>
        </w:tc>
        <w:tc>
          <w:tcPr/>
          <w:p>
            <w:pPr>
              <w:pStyle w:val="Compact"/>
              <w:spacing w:after="20" w:before="20" w:line="240" w:lineRule="auto"/>
              <w:jc w:val="left"/>
            </w:pPr>
            <w:r>
              <w:rPr>
                <w:sz w:val="17"/>
              </w:rPr>
              <w:t xml:space="preserve">PRA / PCA (DRP / BCP)</w:t>
            </w:r>
          </w:p>
        </w:tc>
        <w:tc>
          <w:tcPr/>
          <w:p>
            <w:pPr>
              <w:pStyle w:val="Compact"/>
              <w:spacing w:after="20" w:before="20" w:line="240" w:lineRule="auto"/>
              <w:jc w:val="left"/>
            </w:pPr>
            <w:r>
              <w:rPr>
                <w:sz w:val="17"/>
              </w:rPr>
              <w:t xml:space="preserve">Organisation de la reprise après sinistre</w:t>
            </w:r>
          </w:p>
        </w:tc>
      </w:tr>
      <w:tr>
        <w:tc>
          <w:tcPr>
            <w:shd w:val="clear" w:color="auto" w:fill="F2F9F8"/>
          </w:tcPr>
          <w:p>
            <w:pPr>
              <w:pStyle w:val="Compact"/>
              <w:spacing w:after="20" w:before="20" w:line="240" w:lineRule="auto"/>
              <w:jc w:val="left"/>
            </w:pPr>
            <w:r>
              <w:rPr>
                <w:sz w:val="17"/>
              </w:rPr>
              <w:t xml:space="preserve">RTO / RPO</w:t>
            </w:r>
          </w:p>
        </w:tc>
        <w:tc>
          <w:tcPr>
            <w:shd w:val="clear" w:color="auto" w:fill="F2F9F8"/>
          </w:tcPr>
          <w:p>
            <w:pPr>
              <w:pStyle w:val="Compact"/>
              <w:spacing w:after="20" w:before="20" w:line="240" w:lineRule="auto"/>
              <w:jc w:val="left"/>
            </w:pPr>
            <w:r>
              <w:rPr>
                <w:sz w:val="17"/>
              </w:rPr>
              <w:t xml:space="preserve">Recovery Time / Point Objective</w:t>
            </w:r>
          </w:p>
        </w:tc>
        <w:tc>
          <w:tcPr>
            <w:shd w:val="clear" w:color="auto" w:fill="F2F9F8"/>
          </w:tcPr>
          <w:p>
            <w:pPr>
              <w:pStyle w:val="Compact"/>
              <w:spacing w:after="20" w:before="20" w:line="240" w:lineRule="auto"/>
              <w:jc w:val="left"/>
            </w:pPr>
            <w:r>
              <w:rPr>
                <w:sz w:val="17"/>
              </w:rPr>
              <w:t xml:space="preserve">Délai maximal de reprise ; perte de données maximale admise</w:t>
            </w:r>
          </w:p>
        </w:tc>
      </w:tr>
      <w:tr>
        <w:tc>
          <w:tcPr/>
          <w:p>
            <w:pPr>
              <w:pStyle w:val="Compact"/>
              <w:spacing w:after="20" w:before="20" w:line="240" w:lineRule="auto"/>
              <w:jc w:val="left"/>
            </w:pPr>
            <w:r>
              <w:rPr>
                <w:sz w:val="17"/>
              </w:rPr>
              <w:t xml:space="preserve">BSP / GDS</w:t>
            </w:r>
          </w:p>
        </w:tc>
        <w:tc>
          <w:tcPr/>
          <w:p>
            <w:pPr>
              <w:pStyle w:val="Compact"/>
              <w:spacing w:after="20" w:before="20" w:line="240" w:lineRule="auto"/>
              <w:jc w:val="left"/>
            </w:pPr>
            <w:r>
              <w:rPr>
                <w:sz w:val="17"/>
              </w:rPr>
              <w:t xml:space="preserve">Billing Settlement Plan / Global Distribution System</w:t>
            </w:r>
          </w:p>
        </w:tc>
        <w:tc>
          <w:tcPr/>
          <w:p>
            <w:pPr>
              <w:pStyle w:val="Compact"/>
              <w:spacing w:after="20" w:before="20" w:line="240" w:lineRule="auto"/>
              <w:jc w:val="left"/>
            </w:pPr>
            <w:r>
              <w:rPr>
                <w:sz w:val="17"/>
              </w:rPr>
              <w:t xml:space="preserve">Systèmes de règlement et de distribution du transport aérien, sources de la verticale AVIA</w:t>
            </w:r>
          </w:p>
        </w:tc>
      </w:tr>
      <w:tr>
        <w:tc>
          <w:tcPr>
            <w:shd w:val="clear" w:color="auto" w:fill="F2F9F8"/>
          </w:tcPr>
          <w:p>
            <w:pPr>
              <w:pStyle w:val="Compact"/>
              <w:spacing w:after="20" w:before="20" w:line="240" w:lineRule="auto"/>
              <w:jc w:val="left"/>
            </w:pPr>
            <w:r>
              <w:rPr>
                <w:sz w:val="17"/>
              </w:rPr>
              <w:t xml:space="preserve">IF / IRL</w:t>
            </w:r>
          </w:p>
        </w:tc>
        <w:tc>
          <w:tcPr>
            <w:shd w:val="clear" w:color="auto" w:fill="F2F9F8"/>
          </w:tcPr>
          <w:p>
            <w:pPr>
              <w:pStyle w:val="Compact"/>
              <w:spacing w:after="20" w:before="20" w:line="240" w:lineRule="auto"/>
              <w:jc w:val="left"/>
            </w:pPr>
            <w:r>
              <w:rPr>
                <w:sz w:val="17"/>
              </w:rPr>
              <w:t xml:space="preserve">—</w:t>
            </w:r>
          </w:p>
        </w:tc>
        <w:tc>
          <w:tcPr>
            <w:shd w:val="clear" w:color="auto" w:fill="F2F9F8"/>
          </w:tcPr>
          <w:p>
            <w:pPr>
              <w:pStyle w:val="Compact"/>
              <w:spacing w:after="20" w:before="20" w:line="240" w:lineRule="auto"/>
              <w:jc w:val="left"/>
            </w:pPr>
            <w:r>
              <w:rPr>
                <w:sz w:val="17"/>
              </w:rPr>
              <w:t xml:space="preserve">Impôt foncier / impôt sur les revenus locatifs</w:t>
            </w:r>
          </w:p>
        </w:tc>
      </w:tr>
      <w:tr>
        <w:tc>
          <w:tcPr/>
          <w:p>
            <w:pPr>
              <w:pStyle w:val="Compact"/>
              <w:spacing w:after="20" w:before="20" w:line="240" w:lineRule="auto"/>
              <w:jc w:val="left"/>
            </w:pPr>
            <w:r>
              <w:rPr>
                <w:sz w:val="17"/>
              </w:rPr>
              <w:t xml:space="preserve">DGRK / DGIPK / DGRFK / DGTK</w:t>
            </w:r>
          </w:p>
        </w:tc>
        <w:tc>
          <w:tcPr/>
          <w:p>
            <w:pPr>
              <w:pStyle w:val="Compact"/>
              <w:spacing w:after="20" w:before="20" w:line="240" w:lineRule="auto"/>
              <w:jc w:val="left"/>
            </w:pPr>
            <w:r>
              <w:rPr>
                <w:sz w:val="17"/>
              </w:rPr>
              <w:t xml:space="preserve">—</w:t>
            </w:r>
          </w:p>
        </w:tc>
        <w:tc>
          <w:tcPr/>
          <w:p>
            <w:pPr>
              <w:pStyle w:val="Compact"/>
              <w:spacing w:after="20" w:before="20" w:line="240" w:lineRule="auto"/>
              <w:jc w:val="left"/>
            </w:pPr>
            <w:r>
              <w:rPr>
                <w:sz w:val="17"/>
              </w:rPr>
              <w:t xml:space="preserve">Direction générale des recettes de Kinshasa / des impôts provinciaux de Kinshasa / des recettes fiscales de Kinshasa / des taxes de Kinshasa</w:t>
            </w:r>
          </w:p>
        </w:tc>
      </w:tr>
      <w:tr>
        <w:tc>
          <w:tcPr>
            <w:shd w:val="clear" w:color="auto" w:fill="F2F9F8"/>
          </w:tcPr>
          <w:p>
            <w:pPr>
              <w:pStyle w:val="Compact"/>
              <w:spacing w:after="20" w:before="20" w:line="240" w:lineRule="auto"/>
              <w:jc w:val="left"/>
            </w:pPr>
            <w:r>
              <w:rPr>
                <w:sz w:val="17"/>
              </w:rPr>
              <w:t xml:space="preserve">ETD</w:t>
            </w:r>
          </w:p>
        </w:tc>
        <w:tc>
          <w:tcPr>
            <w:shd w:val="clear" w:color="auto" w:fill="F2F9F8"/>
          </w:tcPr>
          <w:p>
            <w:pPr>
              <w:pStyle w:val="Compact"/>
              <w:spacing w:after="20" w:before="20" w:line="240" w:lineRule="auto"/>
              <w:jc w:val="left"/>
            </w:pPr>
            <w:r>
              <w:rPr>
                <w:sz w:val="17"/>
              </w:rPr>
              <w:t xml:space="preserve">—</w:t>
            </w:r>
          </w:p>
        </w:tc>
        <w:tc>
          <w:tcPr>
            <w:shd w:val="clear" w:color="auto" w:fill="F2F9F8"/>
          </w:tcPr>
          <w:p>
            <w:pPr>
              <w:pStyle w:val="Compact"/>
              <w:spacing w:after="20" w:before="20" w:line="240" w:lineRule="auto"/>
              <w:jc w:val="left"/>
            </w:pPr>
            <w:r>
              <w:rPr>
                <w:sz w:val="17"/>
              </w:rPr>
              <w:t xml:space="preserve">Entité territoriale décentralisée</w:t>
            </w:r>
          </w:p>
        </w:tc>
      </w:tr>
      <w:tr>
        <w:tc>
          <w:tcPr/>
          <w:p>
            <w:pPr>
              <w:pStyle w:val="Compact"/>
              <w:spacing w:after="20" w:before="20" w:line="240" w:lineRule="auto"/>
              <w:jc w:val="left"/>
            </w:pPr>
            <w:r>
              <w:rPr>
                <w:sz w:val="17"/>
              </w:rPr>
              <w:t xml:space="preserve">TADAT</w:t>
            </w:r>
          </w:p>
        </w:tc>
        <w:tc>
          <w:tcPr/>
          <w:p>
            <w:pPr>
              <w:pStyle w:val="Compact"/>
              <w:spacing w:after="20" w:before="20" w:line="240" w:lineRule="auto"/>
              <w:jc w:val="left"/>
            </w:pPr>
            <w:r>
              <w:rPr>
                <w:sz w:val="17"/>
              </w:rPr>
              <w:t xml:space="preserve">Tax Administration Diagnostic Assessment Tool</w:t>
            </w:r>
          </w:p>
        </w:tc>
        <w:tc>
          <w:tcPr/>
          <w:p>
            <w:pPr>
              <w:pStyle w:val="Compact"/>
              <w:spacing w:after="20" w:before="20" w:line="240" w:lineRule="auto"/>
              <w:jc w:val="left"/>
            </w:pPr>
            <w:r>
              <w:rPr>
                <w:sz w:val="17"/>
              </w:rPr>
              <w:t xml:space="preserve">Outil international d’évaluation des administrations fiscales</w:t>
            </w:r>
          </w:p>
        </w:tc>
      </w:tr>
      <w:tr>
        <w:tc>
          <w:tcPr>
            <w:shd w:val="clear" w:color="auto" w:fill="F2F9F8"/>
          </w:tcPr>
          <w:p>
            <w:pPr>
              <w:pStyle w:val="Compact"/>
              <w:spacing w:after="20" w:before="20" w:line="240" w:lineRule="auto"/>
              <w:jc w:val="left"/>
            </w:pPr>
            <w:r>
              <w:rPr>
                <w:sz w:val="17"/>
              </w:rPr>
              <w:t xml:space="preserve">Serveur vocal interactif (SVI)</w:t>
            </w:r>
          </w:p>
        </w:tc>
        <w:tc>
          <w:tcPr>
            <w:shd w:val="clear" w:color="auto" w:fill="F2F9F8"/>
          </w:tcPr>
          <w:p>
            <w:pPr>
              <w:pStyle w:val="Compact"/>
              <w:spacing w:after="20" w:before="20" w:line="240" w:lineRule="auto"/>
              <w:jc w:val="left"/>
            </w:pPr>
            <w:r>
              <w:rPr>
                <w:sz w:val="17"/>
              </w:rPr>
              <w:t xml:space="preserve">IVR (Interactive Voice Response)</w:t>
            </w:r>
          </w:p>
        </w:tc>
        <w:tc>
          <w:tcPr>
            <w:shd w:val="clear" w:color="auto" w:fill="F2F9F8"/>
          </w:tcPr>
          <w:p>
            <w:pPr>
              <w:pStyle w:val="Compact"/>
              <w:spacing w:after="20" w:before="20" w:line="240" w:lineRule="auto"/>
              <w:jc w:val="left"/>
            </w:pPr>
            <w:r>
              <w:rPr>
                <w:sz w:val="17"/>
              </w:rPr>
              <w:t xml:space="preserve">Service téléphonique à menus parlés, utilisable sans savoir lire (§ 13A)</w:t>
            </w:r>
          </w:p>
        </w:tc>
      </w:tr>
      <w:tr>
        <w:tc>
          <w:tcPr/>
          <w:p>
            <w:pPr>
              <w:pStyle w:val="Compact"/>
              <w:spacing w:after="20" w:before="20" w:line="240" w:lineRule="auto"/>
              <w:jc w:val="left"/>
            </w:pPr>
            <w:r>
              <w:rPr>
                <w:sz w:val="17"/>
              </w:rPr>
              <w:t xml:space="preserve">USSD</w:t>
            </w:r>
          </w:p>
        </w:tc>
        <w:tc>
          <w:tcPr/>
          <w:p>
            <w:pPr>
              <w:pStyle w:val="Compact"/>
              <w:spacing w:after="20" w:before="20" w:line="240" w:lineRule="auto"/>
              <w:jc w:val="left"/>
            </w:pPr>
            <w:r>
              <w:rPr>
                <w:sz w:val="17"/>
              </w:rPr>
              <w:t xml:space="preserve">Unstructured Supplementary Service Data</w:t>
            </w:r>
          </w:p>
        </w:tc>
        <w:tc>
          <w:tcPr/>
          <w:p>
            <w:pPr>
              <w:pStyle w:val="Compact"/>
              <w:spacing w:after="20" w:before="20" w:line="240" w:lineRule="auto"/>
              <w:jc w:val="left"/>
            </w:pPr>
            <w:r>
              <w:rPr>
                <w:sz w:val="17"/>
              </w:rPr>
              <w:t xml:space="preserve">Menus par code court (ex. *123#) sur tout téléphone, sans Internet</w:t>
            </w:r>
          </w:p>
        </w:tc>
      </w:tr>
      <w:tr>
        <w:tc>
          <w:tcPr>
            <w:shd w:val="clear" w:color="auto" w:fill="F2F9F8"/>
          </w:tcPr>
          <w:p>
            <w:pPr>
              <w:pStyle w:val="Compact"/>
              <w:spacing w:after="20" w:before="20" w:line="240" w:lineRule="auto"/>
              <w:jc w:val="left"/>
            </w:pPr>
            <w:r>
              <w:rPr>
                <w:sz w:val="17"/>
              </w:rPr>
              <w:t xml:space="preserve">Carte MOSOLO</w:t>
            </w:r>
          </w:p>
        </w:tc>
        <w:tc>
          <w:tcPr>
            <w:shd w:val="clear" w:color="auto" w:fill="F2F9F8"/>
          </w:tcPr>
          <w:p>
            <w:pPr>
              <w:pStyle w:val="Compact"/>
              <w:spacing w:after="20" w:before="20" w:line="240" w:lineRule="auto"/>
              <w:jc w:val="left"/>
            </w:pPr>
            <w:r>
              <w:rPr>
                <w:sz w:val="17"/>
              </w:rPr>
              <w:t xml:space="preserve">—</w:t>
            </w:r>
          </w:p>
        </w:tc>
        <w:tc>
          <w:tcPr>
            <w:shd w:val="clear" w:color="auto" w:fill="F2F9F8"/>
          </w:tcPr>
          <w:p>
            <w:pPr>
              <w:pStyle w:val="Compact"/>
              <w:spacing w:after="20" w:before="20" w:line="240" w:lineRule="auto"/>
              <w:jc w:val="left"/>
            </w:pPr>
            <w:r>
              <w:rPr>
                <w:sz w:val="17"/>
              </w:rPr>
              <w:t xml:space="preserve">Carte physique à QR remise aux contribuables sans téléphone (§ 13A.2)</w:t>
            </w:r>
          </w:p>
        </w:tc>
      </w:tr>
      <w:tr>
        <w:tc>
          <w:tcPr/>
          <w:p>
            <w:pPr>
              <w:pStyle w:val="Compact"/>
              <w:spacing w:after="20" w:before="20" w:line="240" w:lineRule="auto"/>
              <w:jc w:val="left"/>
            </w:pPr>
            <w:r>
              <w:rPr>
                <w:sz w:val="17"/>
              </w:rPr>
              <w:t xml:space="preserve">Guichet MOSOLO</w:t>
            </w:r>
          </w:p>
        </w:tc>
        <w:tc>
          <w:tcPr/>
          <w:p>
            <w:pPr>
              <w:pStyle w:val="Compact"/>
              <w:spacing w:after="20" w:before="20" w:line="240" w:lineRule="auto"/>
              <w:jc w:val="left"/>
            </w:pPr>
            <w:r>
              <w:rPr>
                <w:sz w:val="17"/>
              </w:rPr>
              <w:t xml:space="preserve">Kiosk</w:t>
            </w:r>
          </w:p>
        </w:tc>
        <w:tc>
          <w:tcPr/>
          <w:p>
            <w:pPr>
              <w:pStyle w:val="Compact"/>
              <w:spacing w:after="20" w:before="20" w:line="240" w:lineRule="auto"/>
              <w:jc w:val="left"/>
            </w:pPr>
            <w:r>
              <w:rPr>
                <w:sz w:val="17"/>
              </w:rPr>
              <w:t xml:space="preserve">Point d’accueil communal pour l’enrôlement, l’assistance et le paiement bancaire (§ 13A.1)</w:t>
            </w:r>
          </w:p>
        </w:tc>
      </w:tr>
      <w:tr>
        <w:tc>
          <w:tcPr>
            <w:shd w:val="clear" w:color="auto" w:fill="F2F9F8"/>
          </w:tcPr>
          <w:p>
            <w:pPr>
              <w:pStyle w:val="Compact"/>
              <w:spacing w:after="20" w:before="20" w:line="240" w:lineRule="auto"/>
              <w:jc w:val="left"/>
            </w:pPr>
            <w:r>
              <w:rPr>
                <w:sz w:val="17"/>
              </w:rPr>
              <w:t xml:space="preserve">Point de paiement agréé</w:t>
            </w:r>
          </w:p>
        </w:tc>
        <w:tc>
          <w:tcPr>
            <w:shd w:val="clear" w:color="auto" w:fill="F2F9F8"/>
          </w:tcPr>
          <w:p>
            <w:pPr>
              <w:pStyle w:val="Compact"/>
              <w:spacing w:after="20" w:before="20" w:line="240" w:lineRule="auto"/>
              <w:jc w:val="left"/>
            </w:pPr>
            <w:r>
              <w:rPr>
                <w:sz w:val="17"/>
              </w:rPr>
              <w:t xml:space="preserve">Licensed payment point</w:t>
            </w:r>
          </w:p>
        </w:tc>
        <w:tc>
          <w:tcPr>
            <w:shd w:val="clear" w:color="auto" w:fill="F2F9F8"/>
          </w:tcPr>
          <w:p>
            <w:pPr>
              <w:pStyle w:val="Compact"/>
              <w:spacing w:after="20" w:before="20" w:line="240" w:lineRule="auto"/>
              <w:jc w:val="left"/>
            </w:pPr>
            <w:r>
              <w:rPr>
                <w:sz w:val="17"/>
              </w:rPr>
              <w:t xml:space="preserve">Établissement ou agent financier régulé encaissant sur référence vers le compte public (§ 18A.2)</w:t>
            </w:r>
          </w:p>
        </w:tc>
      </w:tr>
      <w:tr>
        <w:tc>
          <w:tcPr/>
          <w:p>
            <w:pPr>
              <w:pStyle w:val="Compact"/>
              <w:spacing w:after="20" w:before="20" w:line="240" w:lineRule="auto"/>
              <w:jc w:val="left"/>
            </w:pPr>
            <w:r>
              <w:rPr>
                <w:sz w:val="17"/>
              </w:rPr>
              <w:t xml:space="preserve">Sous-traitant terrain accrédité</w:t>
            </w:r>
          </w:p>
        </w:tc>
        <w:tc>
          <w:tcPr/>
          <w:p>
            <w:pPr>
              <w:pStyle w:val="Compact"/>
              <w:spacing w:after="20" w:before="20" w:line="240" w:lineRule="auto"/>
              <w:jc w:val="left"/>
            </w:pPr>
            <w:r>
              <w:rPr>
                <w:sz w:val="17"/>
              </w:rPr>
              <w:t xml:space="preserve">Accredited field subcontractor</w:t>
            </w:r>
          </w:p>
        </w:tc>
        <w:tc>
          <w:tcPr/>
          <w:p>
            <w:pPr>
              <w:pStyle w:val="Compact"/>
              <w:spacing w:after="20" w:before="20" w:line="240" w:lineRule="auto"/>
              <w:jc w:val="left"/>
            </w:pPr>
            <w:r>
              <w:rPr>
                <w:sz w:val="17"/>
              </w:rPr>
              <w:t xml:space="preserve">Entité privée autorisée à fournir des agents pour un module, sans pouvoir d’encaissement (§ 15A)</w:t>
            </w:r>
          </w:p>
        </w:tc>
      </w:tr>
      <w:tr>
        <w:tc>
          <w:tcPr>
            <w:shd w:val="clear" w:color="auto" w:fill="F2F9F8"/>
          </w:tcPr>
          <w:p>
            <w:pPr>
              <w:pStyle w:val="Compact"/>
              <w:spacing w:after="20" w:before="20" w:line="240" w:lineRule="auto"/>
              <w:jc w:val="left"/>
            </w:pPr>
            <w:r>
              <w:rPr>
                <w:sz w:val="17"/>
              </w:rPr>
              <w:t xml:space="preserve">Responsable de module</w:t>
            </w:r>
          </w:p>
        </w:tc>
        <w:tc>
          <w:tcPr>
            <w:shd w:val="clear" w:color="auto" w:fill="F2F9F8"/>
          </w:tcPr>
          <w:p>
            <w:pPr>
              <w:pStyle w:val="Compact"/>
              <w:spacing w:after="20" w:before="20" w:line="240" w:lineRule="auto"/>
              <w:jc w:val="left"/>
            </w:pPr>
            <w:r>
              <w:rPr>
                <w:sz w:val="17"/>
              </w:rPr>
              <w:t xml:space="preserve">Module owner</w:t>
            </w:r>
          </w:p>
        </w:tc>
        <w:tc>
          <w:tcPr>
            <w:shd w:val="clear" w:color="auto" w:fill="F2F9F8"/>
          </w:tcPr>
          <w:p>
            <w:pPr>
              <w:pStyle w:val="Compact"/>
              <w:spacing w:after="20" w:before="20" w:line="240" w:lineRule="auto"/>
              <w:jc w:val="left"/>
            </w:pPr>
            <w:r>
              <w:rPr>
                <w:sz w:val="17"/>
              </w:rPr>
              <w:t xml:space="preserve">Cadre de la Ville gérant les équipes d’un module de terrain (§ 15A)</w:t>
            </w:r>
          </w:p>
        </w:tc>
      </w:tr>
      <w:tr>
        <w:tc>
          <w:tcPr/>
          <w:p>
            <w:pPr>
              <w:pStyle w:val="Compact"/>
              <w:spacing w:after="20" w:before="20" w:line="240" w:lineRule="auto"/>
              <w:jc w:val="left"/>
            </w:pPr>
            <w:r>
              <w:rPr>
                <w:sz w:val="17"/>
              </w:rPr>
              <w:t xml:space="preserve">Titre</w:t>
            </w:r>
          </w:p>
        </w:tc>
        <w:tc>
          <w:tcPr/>
          <w:p>
            <w:pPr>
              <w:pStyle w:val="Compact"/>
              <w:spacing w:after="20" w:before="20" w:line="240" w:lineRule="auto"/>
              <w:jc w:val="left"/>
            </w:pPr>
            <w:r>
              <w:rPr>
                <w:sz w:val="17"/>
              </w:rPr>
              <w:t xml:space="preserve">Credential, permit, pass</w:t>
            </w:r>
          </w:p>
        </w:tc>
        <w:tc>
          <w:tcPr/>
          <w:p>
            <w:pPr>
              <w:pStyle w:val="Compact"/>
              <w:spacing w:after="20" w:before="20" w:line="240" w:lineRule="auto"/>
              <w:jc w:val="left"/>
            </w:pPr>
            <w:r>
              <w:rPr>
                <w:sz w:val="17"/>
              </w:rPr>
              <w:t xml:space="preserve">Droit à durée de validité adossé à une quittance (§ 19A)</w:t>
            </w:r>
          </w:p>
        </w:tc>
      </w:tr>
      <w:tr>
        <w:tc>
          <w:tcPr>
            <w:shd w:val="clear" w:color="auto" w:fill="F2F9F8"/>
          </w:tcPr>
          <w:p>
            <w:pPr>
              <w:pStyle w:val="Compact"/>
              <w:spacing w:after="20" w:before="20" w:line="240" w:lineRule="auto"/>
              <w:jc w:val="left"/>
            </w:pPr>
            <w:r>
              <w:rPr>
                <w:sz w:val="17"/>
              </w:rPr>
              <w:t xml:space="preserve">QR dynamique</w:t>
            </w:r>
          </w:p>
        </w:tc>
        <w:tc>
          <w:tcPr>
            <w:shd w:val="clear" w:color="auto" w:fill="F2F9F8"/>
          </w:tcPr>
          <w:p>
            <w:pPr>
              <w:pStyle w:val="Compact"/>
              <w:spacing w:after="20" w:before="20" w:line="240" w:lineRule="auto"/>
              <w:jc w:val="left"/>
            </w:pPr>
            <w:r>
              <w:rPr>
                <w:sz w:val="17"/>
              </w:rPr>
              <w:t xml:space="preserve">Rotating QR</w:t>
            </w:r>
          </w:p>
        </w:tc>
        <w:tc>
          <w:tcPr>
            <w:shd w:val="clear" w:color="auto" w:fill="F2F9F8"/>
          </w:tcPr>
          <w:p>
            <w:pPr>
              <w:pStyle w:val="Compact"/>
              <w:spacing w:after="20" w:before="20" w:line="240" w:lineRule="auto"/>
              <w:jc w:val="left"/>
            </w:pPr>
            <w:r>
              <w:rPr>
                <w:sz w:val="17"/>
              </w:rPr>
              <w:t xml:space="preserve">Code qui change périodiquement pour empêcher les copies (§ 19A.5)</w:t>
            </w:r>
          </w:p>
        </w:tc>
      </w:tr>
      <w:tr>
        <w:tc>
          <w:tcPr/>
          <w:p>
            <w:pPr>
              <w:pStyle w:val="Compact"/>
              <w:spacing w:after="20" w:before="20" w:line="240" w:lineRule="auto"/>
              <w:jc w:val="left"/>
            </w:pPr>
            <w:r>
              <w:rPr>
                <w:sz w:val="17"/>
              </w:rPr>
              <w:t xml:space="preserve">Liste de révocation</w:t>
            </w:r>
          </w:p>
        </w:tc>
        <w:tc>
          <w:tcPr/>
          <w:p>
            <w:pPr>
              <w:pStyle w:val="Compact"/>
              <w:spacing w:after="20" w:before="20" w:line="240" w:lineRule="auto"/>
              <w:jc w:val="left"/>
            </w:pPr>
            <w:r>
              <w:rPr>
                <w:sz w:val="17"/>
              </w:rPr>
              <w:t xml:space="preserve">Revocation list</w:t>
            </w:r>
          </w:p>
        </w:tc>
        <w:tc>
          <w:tcPr/>
          <w:p>
            <w:pPr>
              <w:pStyle w:val="Compact"/>
              <w:spacing w:after="20" w:before="20" w:line="240" w:lineRule="auto"/>
              <w:jc w:val="left"/>
            </w:pPr>
            <w:r>
              <w:rPr>
                <w:sz w:val="17"/>
              </w:rPr>
              <w:t xml:space="preserve">Liste signée des titres annulés, utilisée hors ligne (§ 19A.6)</w:t>
            </w:r>
          </w:p>
        </w:tc>
      </w:tr>
      <w:tr>
        <w:tc>
          <w:tcPr>
            <w:shd w:val="clear" w:color="auto" w:fill="F2F9F8"/>
          </w:tcPr>
          <w:p>
            <w:pPr>
              <w:pStyle w:val="Compact"/>
              <w:spacing w:after="20" w:before="20" w:line="240" w:lineRule="auto"/>
              <w:jc w:val="left"/>
            </w:pPr>
            <w:r>
              <w:rPr>
                <w:sz w:val="17"/>
              </w:rPr>
              <w:t xml:space="preserve">Espace d’entité</w:t>
            </w:r>
          </w:p>
        </w:tc>
        <w:tc>
          <w:tcPr>
            <w:shd w:val="clear" w:color="auto" w:fill="F2F9F8"/>
          </w:tcPr>
          <w:p>
            <w:pPr>
              <w:pStyle w:val="Compact"/>
              <w:spacing w:after="20" w:before="20" w:line="240" w:lineRule="auto"/>
              <w:jc w:val="left"/>
            </w:pPr>
            <w:r>
              <w:rPr>
                <w:sz w:val="17"/>
              </w:rPr>
              <w:t xml:space="preserve">Tenant</w:t>
            </w:r>
          </w:p>
        </w:tc>
        <w:tc>
          <w:tcPr>
            <w:shd w:val="clear" w:color="auto" w:fill="F2F9F8"/>
          </w:tcPr>
          <w:p>
            <w:pPr>
              <w:pStyle w:val="Compact"/>
              <w:spacing w:after="20" w:before="20" w:line="240" w:lineRule="auto"/>
              <w:jc w:val="left"/>
            </w:pPr>
            <w:r>
              <w:rPr>
                <w:sz w:val="17"/>
              </w:rPr>
              <w:t xml:space="preserve">Périmètre cloisonné d’une entité sur le socle commun (§ 10A.2)</w:t>
            </w:r>
          </w:p>
        </w:tc>
      </w:tr>
      <w:tr>
        <w:tc>
          <w:tcPr/>
          <w:p>
            <w:pPr>
              <w:pStyle w:val="Compact"/>
              <w:spacing w:after="20" w:before="20" w:line="240" w:lineRule="auto"/>
              <w:jc w:val="left"/>
            </w:pPr>
            <w:r>
              <w:rPr>
                <w:sz w:val="17"/>
              </w:rPr>
              <w:t xml:space="preserve">Fiche de configuration de module</w:t>
            </w:r>
          </w:p>
        </w:tc>
        <w:tc>
          <w:tcPr/>
          <w:p>
            <w:pPr>
              <w:pStyle w:val="Compact"/>
              <w:spacing w:after="20" w:before="20" w:line="240" w:lineRule="auto"/>
              <w:jc w:val="left"/>
            </w:pPr>
            <w:r>
              <w:rPr>
                <w:sz w:val="17"/>
              </w:rPr>
              <w:t xml:space="preserve">Module configuration</w:t>
            </w:r>
          </w:p>
        </w:tc>
        <w:tc>
          <w:tcPr/>
          <w:p>
            <w:pPr>
              <w:pStyle w:val="Compact"/>
              <w:spacing w:after="20" w:before="20" w:line="240" w:lineRule="auto"/>
              <w:jc w:val="left"/>
            </w:pPr>
            <w:r>
              <w:rPr>
                <w:sz w:val="17"/>
              </w:rPr>
              <w:t xml:space="preserve">Description normalisée d’un service à activer sans redéveloppement (§ 10A.4)</w:t>
            </w:r>
          </w:p>
        </w:tc>
      </w:tr>
      <w:tr>
        <w:tc>
          <w:tcPr>
            <w:shd w:val="clear" w:color="auto" w:fill="F2F9F8"/>
          </w:tcPr>
          <w:p>
            <w:pPr>
              <w:pStyle w:val="Compact"/>
              <w:spacing w:after="20" w:before="20" w:line="240" w:lineRule="auto"/>
              <w:jc w:val="left"/>
            </w:pPr>
            <w:r>
              <w:rPr>
                <w:sz w:val="17"/>
              </w:rPr>
              <w:t xml:space="preserve">Clé de répartition</w:t>
            </w:r>
          </w:p>
        </w:tc>
        <w:tc>
          <w:tcPr>
            <w:shd w:val="clear" w:color="auto" w:fill="F2F9F8"/>
          </w:tcPr>
          <w:p>
            <w:pPr>
              <w:pStyle w:val="Compact"/>
              <w:spacing w:after="20" w:before="20" w:line="240" w:lineRule="auto"/>
              <w:jc w:val="left"/>
            </w:pPr>
            <w:r>
              <w:rPr>
                <w:sz w:val="17"/>
              </w:rPr>
              <w:t xml:space="preserve">Revenue-sharing key</w:t>
            </w:r>
          </w:p>
        </w:tc>
        <w:tc>
          <w:tcPr>
            <w:shd w:val="clear" w:color="auto" w:fill="F2F9F8"/>
          </w:tcPr>
          <w:p>
            <w:pPr>
              <w:pStyle w:val="Compact"/>
              <w:spacing w:after="20" w:before="20" w:line="240" w:lineRule="auto"/>
              <w:jc w:val="left"/>
            </w:pPr>
            <w:r>
              <w:rPr>
                <w:sz w:val="17"/>
              </w:rPr>
              <w:t xml:space="preserve">Pourcentages fixés par acte juridique pour répartir les recettes rapprochées (§ 37A)</w:t>
            </w:r>
          </w:p>
        </w:tc>
      </w:tr>
      <w:tr>
        <w:tc>
          <w:tcPr/>
          <w:p>
            <w:pPr>
              <w:pStyle w:val="Compact"/>
              <w:spacing w:after="20" w:before="20" w:line="240" w:lineRule="auto"/>
              <w:jc w:val="left"/>
            </w:pPr>
            <w:r>
              <w:rPr>
                <w:sz w:val="17"/>
              </w:rPr>
              <w:t xml:space="preserve">Convention tripartite de règlement</w:t>
            </w:r>
          </w:p>
        </w:tc>
        <w:tc>
          <w:tcPr/>
          <w:p>
            <w:pPr>
              <w:pStyle w:val="Compact"/>
              <w:spacing w:after="20" w:before="20" w:line="240" w:lineRule="auto"/>
              <w:jc w:val="left"/>
            </w:pPr>
            <w:r>
              <w:rPr>
                <w:sz w:val="17"/>
              </w:rPr>
              <w:t xml:space="preserve">Tripartite settlement agreement</w:t>
            </w:r>
          </w:p>
        </w:tc>
        <w:tc>
          <w:tcPr/>
          <w:p>
            <w:pPr>
              <w:pStyle w:val="Compact"/>
              <w:spacing w:after="20" w:before="20" w:line="240" w:lineRule="auto"/>
              <w:jc w:val="left"/>
            </w:pPr>
            <w:r>
              <w:rPr>
                <w:sz w:val="17"/>
              </w:rPr>
              <w:t xml:space="preserve">Accord Province – banque – Groupe Nseya pour l’exécution automatique des deux flux (§ 37A.4)</w:t>
            </w:r>
          </w:p>
        </w:tc>
      </w:tr>
      <w:tr>
        <w:tc>
          <w:tcPr>
            <w:shd w:val="clear" w:color="auto" w:fill="F2F9F8"/>
          </w:tcPr>
          <w:p>
            <w:pPr>
              <w:pStyle w:val="Compact"/>
              <w:spacing w:after="20" w:before="20" w:line="240" w:lineRule="auto"/>
              <w:jc w:val="left"/>
            </w:pPr>
            <w:r>
              <w:rPr>
                <w:sz w:val="17"/>
              </w:rPr>
              <w:t xml:space="preserve">Invitation en cascade</w:t>
            </w:r>
          </w:p>
        </w:tc>
        <w:tc>
          <w:tcPr>
            <w:shd w:val="clear" w:color="auto" w:fill="F2F9F8"/>
          </w:tcPr>
          <w:p>
            <w:pPr>
              <w:pStyle w:val="Compact"/>
              <w:spacing w:after="20" w:before="20" w:line="240" w:lineRule="auto"/>
              <w:jc w:val="left"/>
            </w:pPr>
            <w:r>
              <w:rPr>
                <w:sz w:val="17"/>
              </w:rPr>
              <w:t xml:space="preserve">Cascading invitation</w:t>
            </w:r>
          </w:p>
        </w:tc>
        <w:tc>
          <w:tcPr>
            <w:shd w:val="clear" w:color="auto" w:fill="F2F9F8"/>
          </w:tcPr>
          <w:p>
            <w:pPr>
              <w:pStyle w:val="Compact"/>
              <w:spacing w:after="20" w:before="20" w:line="240" w:lineRule="auto"/>
              <w:jc w:val="left"/>
            </w:pPr>
            <w:r>
              <w:rPr>
                <w:sz w:val="17"/>
              </w:rPr>
              <w:t xml:space="preserve">Création des comptes de travail uniquement par invitation, chaque niveau invitant dans son périmètre (§ 12A.2)</w:t>
            </w:r>
          </w:p>
        </w:tc>
      </w:tr>
      <w:tr>
        <w:tc>
          <w:tcPr/>
          <w:p>
            <w:pPr>
              <w:pStyle w:val="Compact"/>
              <w:spacing w:after="20" w:before="20" w:line="240" w:lineRule="auto"/>
              <w:jc w:val="left"/>
            </w:pPr>
            <w:r>
              <w:rPr>
                <w:sz w:val="17"/>
              </w:rPr>
              <w:t xml:space="preserve">Opérateur d’accès désigné</w:t>
            </w:r>
          </w:p>
        </w:tc>
        <w:tc>
          <w:tcPr/>
          <w:p>
            <w:pPr>
              <w:pStyle w:val="Compact"/>
              <w:spacing w:after="20" w:before="20" w:line="240" w:lineRule="auto"/>
              <w:jc w:val="left"/>
            </w:pPr>
            <w:r>
              <w:rPr>
                <w:sz w:val="17"/>
              </w:rPr>
              <w:t xml:space="preserve">Designated access operator</w:t>
            </w:r>
          </w:p>
        </w:tc>
        <w:tc>
          <w:tcPr/>
          <w:p>
            <w:pPr>
              <w:pStyle w:val="Compact"/>
              <w:spacing w:after="20" w:before="20" w:line="240" w:lineRule="auto"/>
              <w:jc w:val="left"/>
            </w:pPr>
            <w:r>
              <w:rPr>
                <w:sz w:val="17"/>
              </w:rPr>
              <w:t xml:space="preserve">Personne désignée par une entité pour finaliser, en leur présence, l’inscription des personnes invitées (§ 12A.7)</w:t>
            </w:r>
          </w:p>
        </w:tc>
      </w:tr>
      <w:tr>
        <w:tc>
          <w:tcPr>
            <w:shd w:val="clear" w:color="auto" w:fill="F2F9F8"/>
          </w:tcPr>
          <w:p>
            <w:pPr>
              <w:pStyle w:val="Compact"/>
              <w:spacing w:after="20" w:before="20" w:line="240" w:lineRule="auto"/>
              <w:jc w:val="left"/>
            </w:pPr>
            <w:r>
              <w:rPr>
                <w:sz w:val="17"/>
              </w:rPr>
              <w:t xml:space="preserve">Accès d’urgence</w:t>
            </w:r>
          </w:p>
        </w:tc>
        <w:tc>
          <w:tcPr>
            <w:shd w:val="clear" w:color="auto" w:fill="F2F9F8"/>
          </w:tcPr>
          <w:p>
            <w:pPr>
              <w:pStyle w:val="Compact"/>
              <w:spacing w:after="20" w:before="20" w:line="240" w:lineRule="auto"/>
              <w:jc w:val="left"/>
            </w:pPr>
            <w:r>
              <w:rPr>
                <w:sz w:val="17"/>
              </w:rPr>
              <w:t xml:space="preserve">Break-glass access</w:t>
            </w:r>
          </w:p>
        </w:tc>
        <w:tc>
          <w:tcPr>
            <w:shd w:val="clear" w:color="auto" w:fill="F2F9F8"/>
          </w:tcPr>
          <w:p>
            <w:pPr>
              <w:pStyle w:val="Compact"/>
              <w:spacing w:after="20" w:before="20" w:line="240" w:lineRule="auto"/>
              <w:jc w:val="left"/>
            </w:pPr>
            <w:r>
              <w:rPr>
                <w:sz w:val="17"/>
              </w:rPr>
              <w:t xml:space="preserve">Accès technique exceptionnel, motivé, limité et signalé (§ 12A.6)</w:t>
            </w:r>
          </w:p>
        </w:tc>
      </w:tr>
      <w:tr>
        <w:tc>
          <w:tcPr/>
          <w:p>
            <w:pPr>
              <w:pStyle w:val="Compact"/>
              <w:spacing w:after="20" w:before="20" w:line="240" w:lineRule="auto"/>
              <w:jc w:val="left"/>
            </w:pPr>
            <w:r>
              <w:rPr>
                <w:sz w:val="17"/>
              </w:rPr>
              <w:t xml:space="preserve">IATA / BSP / TTBS</w:t>
            </w:r>
          </w:p>
        </w:tc>
        <w:tc>
          <w:tcPr/>
          <w:p>
            <w:pPr>
              <w:pStyle w:val="Compact"/>
              <w:spacing w:after="20" w:before="20" w:line="240" w:lineRule="auto"/>
              <w:jc w:val="left"/>
            </w:pPr>
            <w:r>
              <w:rPr>
                <w:sz w:val="17"/>
              </w:rPr>
              <w:t xml:space="preserve">International Air Transport Association / Billing and Settlement Plan / Ticket Tax Box Service</w:t>
            </w:r>
          </w:p>
        </w:tc>
        <w:tc>
          <w:tcPr/>
          <w:p>
            <w:pPr>
              <w:pStyle w:val="Compact"/>
              <w:spacing w:after="20" w:before="20" w:line="240" w:lineRule="auto"/>
              <w:jc w:val="left"/>
            </w:pPr>
            <w:r>
              <w:rPr>
                <w:sz w:val="17"/>
              </w:rPr>
              <w:t xml:space="preserve">Organisation du transport aérien, son système de règlement des ventes et sa base mondiale des taxes (§ 11C)</w:t>
            </w:r>
          </w:p>
        </w:tc>
      </w:tr>
      <w:tr>
        <w:tc>
          <w:tcPr>
            <w:shd w:val="clear" w:color="auto" w:fill="F2F9F8"/>
          </w:tcPr>
          <w:p>
            <w:pPr>
              <w:pStyle w:val="Compact"/>
              <w:spacing w:after="20" w:before="20" w:line="240" w:lineRule="auto"/>
              <w:jc w:val="left"/>
            </w:pPr>
            <w:r>
              <w:rPr>
                <w:sz w:val="17"/>
              </w:rPr>
              <w:t xml:space="preserve">GDS / DCS</w:t>
            </w:r>
          </w:p>
        </w:tc>
        <w:tc>
          <w:tcPr>
            <w:shd w:val="clear" w:color="auto" w:fill="F2F9F8"/>
          </w:tcPr>
          <w:p>
            <w:pPr>
              <w:pStyle w:val="Compact"/>
              <w:spacing w:after="20" w:before="20" w:line="240" w:lineRule="auto"/>
              <w:jc w:val="left"/>
            </w:pPr>
            <w:r>
              <w:rPr>
                <w:sz w:val="17"/>
              </w:rPr>
              <w:t xml:space="preserve">Global Distribution System / Departure Control System</w:t>
            </w:r>
          </w:p>
        </w:tc>
        <w:tc>
          <w:tcPr>
            <w:shd w:val="clear" w:color="auto" w:fill="F2F9F8"/>
          </w:tcPr>
          <w:p>
            <w:pPr>
              <w:pStyle w:val="Compact"/>
              <w:spacing w:after="20" w:before="20" w:line="240" w:lineRule="auto"/>
              <w:jc w:val="left"/>
            </w:pPr>
            <w:r>
              <w:rPr>
                <w:sz w:val="17"/>
              </w:rPr>
              <w:t xml:space="preserve">Systèmes de réservation et de contrôle des départs des compagnies</w:t>
            </w:r>
          </w:p>
        </w:tc>
      </w:tr>
      <w:tr>
        <w:tc>
          <w:tcPr/>
          <w:p>
            <w:pPr>
              <w:pStyle w:val="Compact"/>
              <w:spacing w:after="20" w:before="20" w:line="240" w:lineRule="auto"/>
              <w:jc w:val="left"/>
            </w:pPr>
            <w:r>
              <w:rPr>
                <w:sz w:val="17"/>
              </w:rPr>
              <w:t xml:space="preserve">RVA / DGM</w:t>
            </w:r>
          </w:p>
        </w:tc>
        <w:tc>
          <w:tcPr/>
          <w:p>
            <w:pPr>
              <w:pStyle w:val="Compact"/>
              <w:spacing w:after="20" w:before="20" w:line="240" w:lineRule="auto"/>
              <w:jc w:val="left"/>
            </w:pPr>
            <w:r>
              <w:rPr>
                <w:sz w:val="17"/>
              </w:rPr>
              <w:t xml:space="preserve">—</w:t>
            </w:r>
          </w:p>
        </w:tc>
        <w:tc>
          <w:tcPr/>
          <w:p>
            <w:pPr>
              <w:pStyle w:val="Compact"/>
              <w:spacing w:after="20" w:before="20" w:line="240" w:lineRule="auto"/>
              <w:jc w:val="left"/>
            </w:pPr>
            <w:r>
              <w:rPr>
                <w:sz w:val="17"/>
              </w:rPr>
              <w:t xml:space="preserve">Régie des Voies Aériennes / Direction Générale de Migration</w:t>
            </w:r>
          </w:p>
        </w:tc>
      </w:tr>
      <w:tr>
        <w:tc>
          <w:tcPr>
            <w:shd w:val="clear" w:color="auto" w:fill="F2F9F8"/>
          </w:tcPr>
          <w:p>
            <w:pPr>
              <w:pStyle w:val="Compact"/>
              <w:spacing w:after="20" w:before="20" w:line="240" w:lineRule="auto"/>
              <w:jc w:val="left"/>
            </w:pPr>
            <w:r>
              <w:rPr>
                <w:sz w:val="17"/>
              </w:rPr>
              <w:t xml:space="preserve">RRH</w:t>
            </w:r>
          </w:p>
        </w:tc>
        <w:tc>
          <w:tcPr>
            <w:shd w:val="clear" w:color="auto" w:fill="F2F9F8"/>
          </w:tcPr>
          <w:p>
            <w:pPr>
              <w:pStyle w:val="Compact"/>
              <w:spacing w:after="20" w:before="20" w:line="240" w:lineRule="auto"/>
              <w:jc w:val="left"/>
            </w:pPr>
            <w:r>
              <w:rPr>
                <w:sz w:val="17"/>
              </w:rPr>
              <w:t xml:space="preserve">Revenue Reconciliation Hub</w:t>
            </w:r>
          </w:p>
        </w:tc>
        <w:tc>
          <w:tcPr>
            <w:shd w:val="clear" w:color="auto" w:fill="F2F9F8"/>
          </w:tcPr>
          <w:p>
            <w:pPr>
              <w:pStyle w:val="Compact"/>
              <w:spacing w:after="20" w:before="20" w:line="240" w:lineRule="auto"/>
              <w:jc w:val="left"/>
            </w:pPr>
            <w:r>
              <w:rPr>
                <w:sz w:val="17"/>
              </w:rPr>
              <w:t xml:space="preserve">Hub de réconciliation des recettes aériennes contrôlé par la Ville (§ 11C.3)</w:t>
            </w:r>
          </w:p>
        </w:tc>
      </w:tr>
      <w:tr>
        <w:tc>
          <w:tcPr/>
          <w:p>
            <w:pPr>
              <w:pStyle w:val="Compact"/>
              <w:spacing w:after="20" w:before="20" w:line="240" w:lineRule="auto"/>
              <w:jc w:val="left"/>
            </w:pPr>
            <w:r>
              <w:rPr>
                <w:sz w:val="17"/>
              </w:rPr>
              <w:t xml:space="preserve">IFA</w:t>
            </w:r>
          </w:p>
        </w:tc>
        <w:tc>
          <w:tcPr/>
          <w:p>
            <w:pPr>
              <w:pStyle w:val="Compact"/>
              <w:spacing w:after="20" w:before="20" w:line="240" w:lineRule="auto"/>
              <w:jc w:val="left"/>
            </w:pPr>
            <w:r>
              <w:rPr>
                <w:sz w:val="17"/>
              </w:rPr>
              <w:t xml:space="preserve">—</w:t>
            </w:r>
          </w:p>
        </w:tc>
        <w:tc>
          <w:tcPr/>
          <w:p>
            <w:pPr>
              <w:pStyle w:val="Compact"/>
              <w:spacing w:after="20" w:before="20" w:line="240" w:lineRule="auto"/>
              <w:jc w:val="left"/>
            </w:pPr>
            <w:r>
              <w:rPr>
                <w:sz w:val="17"/>
              </w:rPr>
              <w:t xml:space="preserve">Identifiant Fiscal Aérien rattaché au vol et au passager (§ 11C.3)</w:t>
            </w:r>
          </w:p>
        </w:tc>
      </w:tr>
      <w:tr>
        <w:tc>
          <w:tcPr>
            <w:shd w:val="clear" w:color="auto" w:fill="F2F9F8"/>
          </w:tcPr>
          <w:p>
            <w:pPr>
              <w:pStyle w:val="Compact"/>
              <w:spacing w:after="20" w:before="20" w:line="240" w:lineRule="auto"/>
              <w:jc w:val="left"/>
            </w:pPr>
            <w:r>
              <w:rPr>
                <w:sz w:val="17"/>
              </w:rPr>
              <w:t xml:space="preserve">LPR</w:t>
            </w:r>
          </w:p>
        </w:tc>
        <w:tc>
          <w:tcPr>
            <w:shd w:val="clear" w:color="auto" w:fill="F2F9F8"/>
          </w:tcPr>
          <w:p>
            <w:pPr>
              <w:pStyle w:val="Compact"/>
              <w:spacing w:after="20" w:before="20" w:line="240" w:lineRule="auto"/>
              <w:jc w:val="left"/>
            </w:pPr>
            <w:r>
              <w:rPr>
                <w:sz w:val="17"/>
              </w:rPr>
              <w:t xml:space="preserve">License Plate Recognition</w:t>
            </w:r>
          </w:p>
        </w:tc>
        <w:tc>
          <w:tcPr>
            <w:shd w:val="clear" w:color="auto" w:fill="F2F9F8"/>
          </w:tcPr>
          <w:p>
            <w:pPr>
              <w:pStyle w:val="Compact"/>
              <w:spacing w:after="20" w:before="20" w:line="240" w:lineRule="auto"/>
              <w:jc w:val="left"/>
            </w:pPr>
            <w:r>
              <w:rPr>
                <w:sz w:val="17"/>
              </w:rPr>
              <w:t xml:space="preserve">Lecture automatique des plaques d’immatriculation par caméra (§ 11A.4)</w:t>
            </w:r>
          </w:p>
        </w:tc>
      </w:tr>
      <w:tr>
        <w:tc>
          <w:tcPr/>
          <w:p>
            <w:pPr>
              <w:pStyle w:val="Compact"/>
              <w:spacing w:after="20" w:before="20" w:line="240" w:lineRule="auto"/>
              <w:jc w:val="left"/>
            </w:pPr>
            <w:r>
              <w:rPr>
                <w:sz w:val="17"/>
              </w:rPr>
              <w:t xml:space="preserve">NFIU</w:t>
            </w:r>
          </w:p>
        </w:tc>
        <w:tc>
          <w:tcPr/>
          <w:p>
            <w:pPr>
              <w:pStyle w:val="Compact"/>
              <w:spacing w:after="20" w:before="20" w:line="240" w:lineRule="auto"/>
              <w:jc w:val="left"/>
            </w:pPr>
            <w:r>
              <w:rPr>
                <w:sz w:val="17"/>
              </w:rPr>
              <w:t xml:space="preserve">—</w:t>
            </w:r>
          </w:p>
        </w:tc>
        <w:tc>
          <w:tcPr/>
          <w:p>
            <w:pPr>
              <w:pStyle w:val="Compact"/>
              <w:spacing w:after="20" w:before="20" w:line="240" w:lineRule="auto"/>
              <w:jc w:val="left"/>
            </w:pPr>
            <w:r>
              <w:rPr>
                <w:sz w:val="17"/>
              </w:rPr>
              <w:t xml:space="preserve">Numéro Fiscal Immobilier Unique porté par la plaque fiscale des maisons (§ 16.7)</w:t>
            </w:r>
          </w:p>
        </w:tc>
      </w:tr>
      <w:tr>
        <w:tc>
          <w:tcPr>
            <w:shd w:val="clear" w:color="auto" w:fill="F2F9F8"/>
          </w:tcPr>
          <w:p>
            <w:pPr>
              <w:pStyle w:val="Compact"/>
              <w:spacing w:after="20" w:before="20" w:line="240" w:lineRule="auto"/>
              <w:jc w:val="left"/>
            </w:pPr>
            <w:r>
              <w:rPr>
                <w:sz w:val="17"/>
              </w:rPr>
              <w:t xml:space="preserve">CALCU</w:t>
            </w:r>
          </w:p>
        </w:tc>
        <w:tc>
          <w:tcPr>
            <w:shd w:val="clear" w:color="auto" w:fill="F2F9F8"/>
          </w:tcPr>
          <w:p>
            <w:pPr>
              <w:pStyle w:val="Compact"/>
              <w:spacing w:after="20" w:before="20" w:line="240" w:lineRule="auto"/>
              <w:jc w:val="left"/>
            </w:pPr>
            <w:r>
              <w:rPr>
                <w:sz w:val="17"/>
              </w:rPr>
              <w:t xml:space="preserve">Central Automated Ledger for Control &amp; Understanding</w:t>
            </w:r>
          </w:p>
        </w:tc>
        <w:tc>
          <w:tcPr>
            <w:shd w:val="clear" w:color="auto" w:fill="F2F9F8"/>
          </w:tcPr>
          <w:p>
            <w:pPr>
              <w:pStyle w:val="Compact"/>
              <w:spacing w:after="20" w:before="20" w:line="240" w:lineRule="auto"/>
              <w:jc w:val="left"/>
            </w:pPr>
            <w:r>
              <w:rPr>
                <w:sz w:val="17"/>
              </w:rPr>
              <w:t xml:space="preserve">Module de contrôle de la dépense et des comptes publics (§ 27A)</w:t>
            </w:r>
          </w:p>
        </w:tc>
      </w:tr>
      <w:tr>
        <w:tc>
          <w:tcPr/>
          <w:p>
            <w:pPr>
              <w:pStyle w:val="Compact"/>
              <w:spacing w:after="20" w:before="20" w:line="240" w:lineRule="auto"/>
              <w:jc w:val="left"/>
            </w:pPr>
            <w:r>
              <w:rPr>
                <w:sz w:val="17"/>
              </w:rPr>
              <w:t xml:space="preserve">OCR</w:t>
            </w:r>
          </w:p>
        </w:tc>
        <w:tc>
          <w:tcPr/>
          <w:p>
            <w:pPr>
              <w:pStyle w:val="Compact"/>
              <w:spacing w:after="20" w:before="20" w:line="240" w:lineRule="auto"/>
              <w:jc w:val="left"/>
            </w:pPr>
            <w:r>
              <w:rPr>
                <w:sz w:val="17"/>
              </w:rPr>
              <w:t xml:space="preserve">Optical Character Recognition</w:t>
            </w:r>
          </w:p>
        </w:tc>
        <w:tc>
          <w:tcPr/>
          <w:p>
            <w:pPr>
              <w:pStyle w:val="Compact"/>
              <w:spacing w:after="20" w:before="20" w:line="240" w:lineRule="auto"/>
              <w:jc w:val="left"/>
            </w:pPr>
            <w:r>
              <w:rPr>
                <w:sz w:val="17"/>
              </w:rPr>
              <w:t xml:space="preserve">Lecture optique des caractères, utilisée pour identifier les supports publicitaires</w:t>
            </w:r>
          </w:p>
        </w:tc>
      </w:tr>
      <w:tr>
        <w:tc>
          <w:tcPr>
            <w:shd w:val="clear" w:color="auto" w:fill="F2F9F8"/>
          </w:tcPr>
          <w:p>
            <w:pPr>
              <w:pStyle w:val="Compact"/>
              <w:spacing w:after="20" w:before="20" w:line="240" w:lineRule="auto"/>
              <w:jc w:val="left"/>
            </w:pPr>
            <w:r>
              <w:rPr>
                <w:sz w:val="17"/>
              </w:rPr>
              <w:t xml:space="preserve">Wewa</w:t>
            </w:r>
          </w:p>
        </w:tc>
        <w:tc>
          <w:tcPr>
            <w:shd w:val="clear" w:color="auto" w:fill="F2F9F8"/>
          </w:tcPr>
          <w:p>
            <w:pPr>
              <w:pStyle w:val="Compact"/>
              <w:spacing w:after="20" w:before="20" w:line="240" w:lineRule="auto"/>
              <w:jc w:val="left"/>
            </w:pPr>
            <w:r>
              <w:rPr>
                <w:sz w:val="17"/>
              </w:rPr>
              <w:t xml:space="preserve">Moto-taxi</w:t>
            </w:r>
          </w:p>
        </w:tc>
        <w:tc>
          <w:tcPr>
            <w:shd w:val="clear" w:color="auto" w:fill="F2F9F8"/>
          </w:tcPr>
          <w:p>
            <w:pPr>
              <w:pStyle w:val="Compact"/>
              <w:spacing w:after="20" w:before="20" w:line="240" w:lineRule="auto"/>
              <w:jc w:val="left"/>
            </w:pPr>
            <w:r>
              <w:rPr>
                <w:sz w:val="17"/>
              </w:rPr>
              <w:t xml:space="preserve">Moto-taxi de Kinshasa et son conducteur ; plus d’un million selon l’estimation du promoteur (§ 11D.8)</w:t>
            </w:r>
          </w:p>
        </w:tc>
      </w:tr>
      <w:tr>
        <w:tc>
          <w:tcPr/>
          <w:p>
            <w:pPr>
              <w:pStyle w:val="Compact"/>
              <w:spacing w:after="20" w:before="20" w:line="240" w:lineRule="auto"/>
              <w:jc w:val="left"/>
            </w:pPr>
            <w:r>
              <w:rPr>
                <w:sz w:val="17"/>
              </w:rPr>
              <w:t xml:space="preserve">Contrôle mystère</w:t>
            </w:r>
          </w:p>
        </w:tc>
        <w:tc>
          <w:tcPr/>
          <w:p>
            <w:pPr>
              <w:pStyle w:val="Compact"/>
              <w:spacing w:after="20" w:before="20" w:line="240" w:lineRule="auto"/>
              <w:jc w:val="left"/>
            </w:pPr>
            <w:r>
              <w:rPr>
                <w:sz w:val="17"/>
              </w:rPr>
              <w:t xml:space="preserve">Mystery shopping</w:t>
            </w:r>
          </w:p>
        </w:tc>
        <w:tc>
          <w:tcPr/>
          <w:p>
            <w:pPr>
              <w:pStyle w:val="Compact"/>
              <w:spacing w:after="20" w:before="20" w:line="240" w:lineRule="auto"/>
              <w:jc w:val="left"/>
            </w:pPr>
            <w:r>
              <w:rPr>
                <w:sz w:val="17"/>
              </w:rPr>
              <w:t xml:space="preserve">Vérification anonyme du comportement des agents et points de paiement (§ 18A.8)</w:t>
            </w:r>
          </w:p>
        </w:tc>
      </w:tr>
    </w:tbl>
    <w:bookmarkEnd w:id="328"/>
    <w:bookmarkStart w:id="329" w:name="X5983c25d8643eaf94fefa93c35a5198803f254c"/>
    <w:p>
      <w:pPr>
        <w:pStyle w:val="Heading1"/>
      </w:pPr>
      <w:r>
        <w:t xml:space="preserve">Annexe D — Matrice de traçabilité de la consolidation</w:t>
      </w:r>
    </w:p>
    <w:p>
      <w:pPr>
        <w:pStyle w:val="FirstParagraph"/>
      </w:pPr>
      <w:r>
        <w:t xml:space="preserve">Cette annexe démontre qu’aucun élément des documents sources n’a été omis. Le Document maître (S1) est repris intégralement, chapitre par chapitre, avec la même numérotation ; seule la rédaction de l’alerte juridique du § 1 a été rectifiée (voir la Note de consolidation).</w:t>
      </w:r>
    </w:p>
    <w:p>
      <w:pPr>
        <w:pStyle w:val="BodyText"/>
      </w:pPr>
      <w:r>
        <w:rPr>
          <w:b/>
          <w:bCs/>
        </w:rPr>
        <w:t xml:space="preserve">S2 — Master Product Requirements &amp; Government Implementation Document (47 sections)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Section S2</w:t>
            </w:r>
          </w:p>
        </w:tc>
        <w:tc>
          <w:tcPr>
            <w:shd w:val="clear" w:color="auto" w:fill="1BA996"/>
          </w:tcPr>
          <w:p>
            <w:pPr>
              <w:pStyle w:val="Compact"/>
              <w:spacing w:after="20" w:before="20" w:line="240" w:lineRule="auto"/>
              <w:jc w:val="left"/>
            </w:pPr>
            <w:r>
              <w:rPr>
                <w:b/>
                <w:color w:val="FFFFFF"/>
                <w:sz w:val="17"/>
              </w:rPr>
              <w:t xml:space="preserve">Section consolidée</w:t>
            </w:r>
          </w:p>
        </w:tc>
      </w:tr>
      <w:tr>
        <w:tc>
          <w:tcPr/>
          <w:p>
            <w:pPr>
              <w:pStyle w:val="Compact"/>
              <w:spacing w:after="20" w:before="20" w:line="240" w:lineRule="auto"/>
              <w:jc w:val="left"/>
            </w:pPr>
            <w:r>
              <w:rPr>
                <w:sz w:val="17"/>
              </w:rPr>
              <w:t xml:space="preserve">Note exécutive au Gouverneur</w:t>
            </w:r>
          </w:p>
        </w:tc>
        <w:tc>
          <w:tcPr/>
          <w:p>
            <w:pPr>
              <w:pStyle w:val="Compact"/>
              <w:spacing w:after="20" w:before="20" w:line="240" w:lineRule="auto"/>
              <w:jc w:val="left"/>
            </w:pPr>
            <w:r>
              <w:rPr>
                <w:sz w:val="17"/>
              </w:rPr>
              <w:t xml:space="preserve">Note exécutive (piliers, engagements, pilote)</w:t>
            </w:r>
          </w:p>
        </w:tc>
      </w:tr>
      <w:tr>
        <w:tc>
          <w:tcPr>
            <w:shd w:val="clear" w:color="auto" w:fill="F2F9F8"/>
          </w:tcPr>
          <w:p>
            <w:pPr>
              <w:pStyle w:val="Compact"/>
              <w:spacing w:after="20" w:before="20" w:line="240" w:lineRule="auto"/>
              <w:jc w:val="left"/>
            </w:pPr>
            <w:r>
              <w:rPr>
                <w:sz w:val="17"/>
              </w:rPr>
              <w:t xml:space="preserve">1. Mandat, ambition et résultat public</w:t>
            </w:r>
          </w:p>
        </w:tc>
        <w:tc>
          <w:tcPr>
            <w:shd w:val="clear" w:color="auto" w:fill="F2F9F8"/>
          </w:tcPr>
          <w:p>
            <w:pPr>
              <w:pStyle w:val="Compact"/>
              <w:spacing w:after="20" w:before="20" w:line="240" w:lineRule="auto"/>
              <w:jc w:val="left"/>
            </w:pPr>
            <w:r>
              <w:rPr>
                <w:sz w:val="17"/>
              </w:rPr>
              <w:t xml:space="preserve">§ 3 Positionnement et mandat</w:t>
            </w:r>
          </w:p>
        </w:tc>
      </w:tr>
      <w:tr>
        <w:tc>
          <w:tcPr/>
          <w:p>
            <w:pPr>
              <w:pStyle w:val="Compact"/>
              <w:spacing w:after="20" w:before="20" w:line="240" w:lineRule="auto"/>
              <w:jc w:val="left"/>
            </w:pPr>
            <w:r>
              <w:rPr>
                <w:sz w:val="17"/>
              </w:rPr>
              <w:t xml:space="preserve">2. Principes constitutionnels du produit</w:t>
            </w:r>
          </w:p>
        </w:tc>
        <w:tc>
          <w:tcPr/>
          <w:p>
            <w:pPr>
              <w:pStyle w:val="Compact"/>
              <w:spacing w:after="20" w:before="20" w:line="240" w:lineRule="auto"/>
              <w:jc w:val="left"/>
            </w:pPr>
            <w:r>
              <w:rPr>
                <w:sz w:val="17"/>
              </w:rPr>
              <w:t xml:space="preserve">§ 3 Principes constitutionnels du produit</w:t>
            </w:r>
          </w:p>
        </w:tc>
      </w:tr>
      <w:tr>
        <w:tc>
          <w:tcPr>
            <w:shd w:val="clear" w:color="auto" w:fill="F2F9F8"/>
          </w:tcPr>
          <w:p>
            <w:pPr>
              <w:pStyle w:val="Compact"/>
              <w:spacing w:after="20" w:before="20" w:line="240" w:lineRule="auto"/>
              <w:jc w:val="left"/>
            </w:pPr>
            <w:r>
              <w:rPr>
                <w:sz w:val="17"/>
              </w:rPr>
              <w:t xml:space="preserve">3. Cadre juridique et registre de conformité</w:t>
            </w:r>
          </w:p>
        </w:tc>
        <w:tc>
          <w:tcPr>
            <w:shd w:val="clear" w:color="auto" w:fill="F2F9F8"/>
          </w:tcPr>
          <w:p>
            <w:pPr>
              <w:pStyle w:val="Compact"/>
              <w:spacing w:after="20" w:before="20" w:line="240" w:lineRule="auto"/>
              <w:jc w:val="left"/>
            </w:pPr>
            <w:r>
              <w:rPr>
                <w:sz w:val="17"/>
              </w:rPr>
              <w:t xml:space="preserve">§ 6.1 Périmètre du référentiel à valider</w:t>
            </w:r>
          </w:p>
        </w:tc>
      </w:tr>
      <w:tr>
        <w:tc>
          <w:tcPr/>
          <w:p>
            <w:pPr>
              <w:pStyle w:val="Compact"/>
              <w:spacing w:after="20" w:before="20" w:line="240" w:lineRule="auto"/>
              <w:jc w:val="left"/>
            </w:pPr>
            <w:r>
              <w:rPr>
                <w:sz w:val="17"/>
              </w:rPr>
              <w:t xml:space="preserve">4. Revenue Rule Registry</w:t>
            </w:r>
          </w:p>
        </w:tc>
        <w:tc>
          <w:tcPr/>
          <w:p>
            <w:pPr>
              <w:pStyle w:val="Compact"/>
              <w:spacing w:after="20" w:before="20" w:line="240" w:lineRule="auto"/>
              <w:jc w:val="left"/>
            </w:pPr>
            <w:r>
              <w:rPr>
                <w:sz w:val="17"/>
              </w:rPr>
              <w:t xml:space="preserve">§ 6.2 Registre des règles de recettes ; § 36.1</w:t>
            </w:r>
          </w:p>
        </w:tc>
      </w:tr>
      <w:tr>
        <w:tc>
          <w:tcPr>
            <w:shd w:val="clear" w:color="auto" w:fill="F2F9F8"/>
          </w:tcPr>
          <w:p>
            <w:pPr>
              <w:pStyle w:val="Compact"/>
              <w:spacing w:after="20" w:before="20" w:line="240" w:lineRule="auto"/>
              <w:jc w:val="left"/>
            </w:pPr>
            <w:r>
              <w:rPr>
                <w:sz w:val="17"/>
              </w:rPr>
              <w:t xml:space="preserve">5. Cartographie actuelle des recettes</w:t>
            </w:r>
          </w:p>
        </w:tc>
        <w:tc>
          <w:tcPr>
            <w:shd w:val="clear" w:color="auto" w:fill="F2F9F8"/>
          </w:tcPr>
          <w:p>
            <w:pPr>
              <w:pStyle w:val="Compact"/>
              <w:spacing w:after="20" w:before="20" w:line="240" w:lineRule="auto"/>
              <w:jc w:val="left"/>
            </w:pPr>
            <w:r>
              <w:rPr>
                <w:sz w:val="17"/>
              </w:rPr>
              <w:t xml:space="preserve">§ 7.4</w:t>
            </w:r>
          </w:p>
        </w:tc>
      </w:tr>
      <w:tr>
        <w:tc>
          <w:tcPr/>
          <w:p>
            <w:pPr>
              <w:pStyle w:val="Compact"/>
              <w:spacing w:after="20" w:before="20" w:line="240" w:lineRule="auto"/>
              <w:jc w:val="left"/>
            </w:pPr>
            <w:r>
              <w:rPr>
                <w:sz w:val="17"/>
              </w:rPr>
              <w:t xml:space="preserve">6. Revenue Discovery Engine</w:t>
            </w:r>
          </w:p>
        </w:tc>
        <w:tc>
          <w:tcPr/>
          <w:p>
            <w:pPr>
              <w:pStyle w:val="Compact"/>
              <w:spacing w:after="20" w:before="20" w:line="240" w:lineRule="auto"/>
              <w:jc w:val="left"/>
            </w:pPr>
            <w:r>
              <w:rPr>
                <w:sz w:val="17"/>
              </w:rPr>
              <w:t xml:space="preserve">§ 8.4</w:t>
            </w:r>
          </w:p>
        </w:tc>
      </w:tr>
      <w:tr>
        <w:tc>
          <w:tcPr>
            <w:shd w:val="clear" w:color="auto" w:fill="F2F9F8"/>
          </w:tcPr>
          <w:p>
            <w:pPr>
              <w:pStyle w:val="Compact"/>
              <w:spacing w:after="20" w:before="20" w:line="240" w:lineRule="auto"/>
              <w:jc w:val="left"/>
            </w:pPr>
            <w:r>
              <w:rPr>
                <w:sz w:val="17"/>
              </w:rPr>
              <w:t xml:space="preserve">7. Matrice des opportunités de recettes</w:t>
            </w:r>
          </w:p>
        </w:tc>
        <w:tc>
          <w:tcPr>
            <w:shd w:val="clear" w:color="auto" w:fill="F2F9F8"/>
          </w:tcPr>
          <w:p>
            <w:pPr>
              <w:pStyle w:val="Compact"/>
              <w:spacing w:after="20" w:before="20" w:line="240" w:lineRule="auto"/>
              <w:jc w:val="left"/>
            </w:pPr>
            <w:r>
              <w:rPr>
                <w:sz w:val="17"/>
              </w:rPr>
              <w:t xml:space="preserve">§ 8.4 ; § 38</w:t>
            </w:r>
          </w:p>
        </w:tc>
      </w:tr>
      <w:tr>
        <w:tc>
          <w:tcPr/>
          <w:p>
            <w:pPr>
              <w:pStyle w:val="Compact"/>
              <w:spacing w:after="20" w:before="20" w:line="240" w:lineRule="auto"/>
              <w:jc w:val="left"/>
            </w:pPr>
            <w:r>
              <w:rPr>
                <w:sz w:val="17"/>
              </w:rPr>
              <w:t xml:space="preserve">8. One User — One Account</w:t>
            </w:r>
          </w:p>
        </w:tc>
        <w:tc>
          <w:tcPr/>
          <w:p>
            <w:pPr>
              <w:pStyle w:val="Compact"/>
              <w:spacing w:after="20" w:before="20" w:line="240" w:lineRule="auto"/>
              <w:jc w:val="left"/>
            </w:pPr>
            <w:r>
              <w:rPr>
                <w:sz w:val="17"/>
              </w:rPr>
              <w:t xml:space="preserve">§ 9.1</w:t>
            </w:r>
          </w:p>
        </w:tc>
      </w:tr>
      <w:tr>
        <w:tc>
          <w:tcPr>
            <w:shd w:val="clear" w:color="auto" w:fill="F2F9F8"/>
          </w:tcPr>
          <w:p>
            <w:pPr>
              <w:pStyle w:val="Compact"/>
              <w:spacing w:after="20" w:before="20" w:line="240" w:lineRule="auto"/>
              <w:jc w:val="left"/>
            </w:pPr>
            <w:r>
              <w:rPr>
                <w:sz w:val="17"/>
              </w:rPr>
              <w:t xml:space="preserve">9. Onboarding et identité</w:t>
            </w:r>
          </w:p>
        </w:tc>
        <w:tc>
          <w:tcPr>
            <w:shd w:val="clear" w:color="auto" w:fill="F2F9F8"/>
          </w:tcPr>
          <w:p>
            <w:pPr>
              <w:pStyle w:val="Compact"/>
              <w:spacing w:after="20" w:before="20" w:line="240" w:lineRule="auto"/>
              <w:jc w:val="left"/>
            </w:pPr>
            <w:r>
              <w:rPr>
                <w:sz w:val="17"/>
              </w:rPr>
              <w:t xml:space="preserve">§ 9.1 Déduplication, rôles et cycle de vie</w:t>
            </w:r>
          </w:p>
        </w:tc>
      </w:tr>
      <w:tr>
        <w:tc>
          <w:tcPr/>
          <w:p>
            <w:pPr>
              <w:pStyle w:val="Compact"/>
              <w:spacing w:after="20" w:before="20" w:line="240" w:lineRule="auto"/>
              <w:jc w:val="left"/>
            </w:pPr>
            <w:r>
              <w:rPr>
                <w:sz w:val="17"/>
              </w:rPr>
              <w:t xml:space="preserve">10. Modèle d’autorisation RBAC + ABAC</w:t>
            </w:r>
          </w:p>
        </w:tc>
        <w:tc>
          <w:tcPr/>
          <w:p>
            <w:pPr>
              <w:pStyle w:val="Compact"/>
              <w:spacing w:after="20" w:before="20" w:line="240" w:lineRule="auto"/>
              <w:jc w:val="left"/>
            </w:pPr>
            <w:r>
              <w:rPr>
                <w:sz w:val="17"/>
              </w:rPr>
              <w:t xml:space="preserve">§ 12 Modèle RBAC + ABAC ; § 12.1</w:t>
            </w:r>
          </w:p>
        </w:tc>
      </w:tr>
      <w:tr>
        <w:tc>
          <w:tcPr>
            <w:shd w:val="clear" w:color="auto" w:fill="F2F9F8"/>
          </w:tcPr>
          <w:p>
            <w:pPr>
              <w:pStyle w:val="Compact"/>
              <w:spacing w:after="20" w:before="20" w:line="240" w:lineRule="auto"/>
              <w:jc w:val="left"/>
            </w:pPr>
            <w:r>
              <w:rPr>
                <w:sz w:val="17"/>
              </w:rPr>
              <w:t xml:space="preserve">11. Matrice des rôles institutionnels</w:t>
            </w:r>
          </w:p>
        </w:tc>
        <w:tc>
          <w:tcPr>
            <w:shd w:val="clear" w:color="auto" w:fill="F2F9F8"/>
          </w:tcPr>
          <w:p>
            <w:pPr>
              <w:pStyle w:val="Compact"/>
              <w:spacing w:after="20" w:before="20" w:line="240" w:lineRule="auto"/>
              <w:jc w:val="left"/>
            </w:pPr>
            <w:r>
              <w:rPr>
                <w:sz w:val="17"/>
              </w:rPr>
              <w:t xml:space="preserve">§ 12 ; § 12.2</w:t>
            </w:r>
          </w:p>
        </w:tc>
      </w:tr>
      <w:tr>
        <w:tc>
          <w:tcPr/>
          <w:p>
            <w:pPr>
              <w:pStyle w:val="Compact"/>
              <w:spacing w:after="20" w:before="20" w:line="240" w:lineRule="auto"/>
              <w:jc w:val="left"/>
            </w:pPr>
            <w:r>
              <w:rPr>
                <w:sz w:val="17"/>
              </w:rPr>
              <w:t xml:space="preserve">12. Parcours contribuable</w:t>
            </w:r>
          </w:p>
        </w:tc>
        <w:tc>
          <w:tcPr/>
          <w:p>
            <w:pPr>
              <w:pStyle w:val="Compact"/>
              <w:spacing w:after="20" w:before="20" w:line="240" w:lineRule="auto"/>
              <w:jc w:val="left"/>
            </w:pPr>
            <w:r>
              <w:rPr>
                <w:sz w:val="17"/>
              </w:rPr>
              <w:t xml:space="preserve">§ 13</w:t>
            </w:r>
          </w:p>
        </w:tc>
      </w:tr>
      <w:tr>
        <w:tc>
          <w:tcPr>
            <w:shd w:val="clear" w:color="auto" w:fill="F2F9F8"/>
          </w:tcPr>
          <w:p>
            <w:pPr>
              <w:pStyle w:val="Compact"/>
              <w:spacing w:after="20" w:before="20" w:line="240" w:lineRule="auto"/>
              <w:jc w:val="left"/>
            </w:pPr>
            <w:r>
              <w:rPr>
                <w:sz w:val="17"/>
              </w:rPr>
              <w:t xml:space="preserve">13. Parcours gouvernemental</w:t>
            </w:r>
          </w:p>
        </w:tc>
        <w:tc>
          <w:tcPr>
            <w:shd w:val="clear" w:color="auto" w:fill="F2F9F8"/>
          </w:tcPr>
          <w:p>
            <w:pPr>
              <w:pStyle w:val="Compact"/>
              <w:spacing w:after="20" w:before="20" w:line="240" w:lineRule="auto"/>
              <w:jc w:val="left"/>
            </w:pPr>
            <w:r>
              <w:rPr>
                <w:sz w:val="17"/>
              </w:rPr>
              <w:t xml:space="preserve">§ 14</w:t>
            </w:r>
          </w:p>
        </w:tc>
      </w:tr>
      <w:tr>
        <w:tc>
          <w:tcPr/>
          <w:p>
            <w:pPr>
              <w:pStyle w:val="Compact"/>
              <w:spacing w:after="20" w:before="20" w:line="240" w:lineRule="auto"/>
              <w:jc w:val="left"/>
            </w:pPr>
            <w:r>
              <w:rPr>
                <w:sz w:val="17"/>
              </w:rPr>
              <w:t xml:space="preserve">14. Parcours agent terrain</w:t>
            </w:r>
          </w:p>
        </w:tc>
        <w:tc>
          <w:tcPr/>
          <w:p>
            <w:pPr>
              <w:pStyle w:val="Compact"/>
              <w:spacing w:after="20" w:before="20" w:line="240" w:lineRule="auto"/>
              <w:jc w:val="left"/>
            </w:pPr>
            <w:r>
              <w:rPr>
                <w:sz w:val="17"/>
              </w:rPr>
              <w:t xml:space="preserve">§ 15</w:t>
            </w:r>
          </w:p>
        </w:tc>
      </w:tr>
      <w:tr>
        <w:tc>
          <w:tcPr>
            <w:shd w:val="clear" w:color="auto" w:fill="F2F9F8"/>
          </w:tcPr>
          <w:p>
            <w:pPr>
              <w:pStyle w:val="Compact"/>
              <w:spacing w:after="20" w:before="20" w:line="240" w:lineRule="auto"/>
              <w:jc w:val="left"/>
            </w:pPr>
            <w:r>
              <w:rPr>
                <w:sz w:val="17"/>
              </w:rPr>
              <w:t xml:space="preserve">15. Fiscal GIS</w:t>
            </w:r>
          </w:p>
        </w:tc>
        <w:tc>
          <w:tcPr>
            <w:shd w:val="clear" w:color="auto" w:fill="F2F9F8"/>
          </w:tcPr>
          <w:p>
            <w:pPr>
              <w:pStyle w:val="Compact"/>
              <w:spacing w:after="20" w:before="20" w:line="240" w:lineRule="auto"/>
              <w:jc w:val="left"/>
            </w:pPr>
            <w:r>
              <w:rPr>
                <w:sz w:val="17"/>
              </w:rPr>
              <w:t xml:space="preserve">§ 17</w:t>
            </w:r>
          </w:p>
        </w:tc>
      </w:tr>
      <w:tr>
        <w:tc>
          <w:tcPr/>
          <w:p>
            <w:pPr>
              <w:pStyle w:val="Compact"/>
              <w:spacing w:after="20" w:before="20" w:line="240" w:lineRule="auto"/>
              <w:jc w:val="left"/>
            </w:pPr>
            <w:r>
              <w:rPr>
                <w:sz w:val="17"/>
              </w:rPr>
              <w:t xml:space="preserve">16. Property Intelligence</w:t>
            </w:r>
          </w:p>
        </w:tc>
        <w:tc>
          <w:tcPr/>
          <w:p>
            <w:pPr>
              <w:pStyle w:val="Compact"/>
              <w:spacing w:after="20" w:before="20" w:line="240" w:lineRule="auto"/>
              <w:jc w:val="left"/>
            </w:pPr>
            <w:r>
              <w:rPr>
                <w:sz w:val="17"/>
              </w:rPr>
              <w:t xml:space="preserve">§ 16 Valeur probante et chaîne de responsabilité</w:t>
            </w:r>
          </w:p>
        </w:tc>
      </w:tr>
      <w:tr>
        <w:tc>
          <w:tcPr>
            <w:shd w:val="clear" w:color="auto" w:fill="F2F9F8"/>
          </w:tcPr>
          <w:p>
            <w:pPr>
              <w:pStyle w:val="Compact"/>
              <w:spacing w:after="20" w:before="20" w:line="240" w:lineRule="auto"/>
              <w:jc w:val="left"/>
            </w:pPr>
            <w:r>
              <w:rPr>
                <w:sz w:val="17"/>
              </w:rPr>
              <w:t xml:space="preserve">17. Rental Intelligence</w:t>
            </w:r>
          </w:p>
        </w:tc>
        <w:tc>
          <w:tcPr>
            <w:shd w:val="clear" w:color="auto" w:fill="F2F9F8"/>
          </w:tcPr>
          <w:p>
            <w:pPr>
              <w:pStyle w:val="Compact"/>
              <w:spacing w:after="20" w:before="20" w:line="240" w:lineRule="auto"/>
              <w:jc w:val="left"/>
            </w:pPr>
            <w:r>
              <w:rPr>
                <w:sz w:val="17"/>
              </w:rPr>
              <w:t xml:space="preserve">§ 16 ; § 16.5 Deux couches cartographiques</w:t>
            </w:r>
          </w:p>
        </w:tc>
      </w:tr>
      <w:tr>
        <w:tc>
          <w:tcPr/>
          <w:p>
            <w:pPr>
              <w:pStyle w:val="Compact"/>
              <w:spacing w:after="20" w:before="20" w:line="240" w:lineRule="auto"/>
              <w:jc w:val="left"/>
            </w:pPr>
            <w:r>
              <w:rPr>
                <w:sz w:val="17"/>
              </w:rPr>
              <w:t xml:space="preserve">18. Business &amp; Activity Registry</w:t>
            </w:r>
          </w:p>
        </w:tc>
        <w:tc>
          <w:tcPr/>
          <w:p>
            <w:pPr>
              <w:pStyle w:val="Compact"/>
              <w:spacing w:after="20" w:before="20" w:line="240" w:lineRule="auto"/>
              <w:jc w:val="left"/>
            </w:pPr>
            <w:r>
              <w:rPr>
                <w:sz w:val="17"/>
              </w:rPr>
              <w:t xml:space="preserve">§ 11.1 MOSOLO Business</w:t>
            </w:r>
          </w:p>
        </w:tc>
      </w:tr>
      <w:tr>
        <w:tc>
          <w:tcPr>
            <w:shd w:val="clear" w:color="auto" w:fill="F2F9F8"/>
          </w:tcPr>
          <w:p>
            <w:pPr>
              <w:pStyle w:val="Compact"/>
              <w:spacing w:after="20" w:before="20" w:line="240" w:lineRule="auto"/>
              <w:jc w:val="left"/>
            </w:pPr>
            <w:r>
              <w:rPr>
                <w:sz w:val="17"/>
              </w:rPr>
              <w:t xml:space="preserve">19. Mobility, Vehicle &amp; Parking</w:t>
            </w:r>
          </w:p>
        </w:tc>
        <w:tc>
          <w:tcPr>
            <w:shd w:val="clear" w:color="auto" w:fill="F2F9F8"/>
          </w:tcPr>
          <w:p>
            <w:pPr>
              <w:pStyle w:val="Compact"/>
              <w:spacing w:after="20" w:before="20" w:line="240" w:lineRule="auto"/>
              <w:jc w:val="left"/>
            </w:pPr>
            <w:r>
              <w:rPr>
                <w:sz w:val="17"/>
              </w:rPr>
              <w:t xml:space="preserve">§ 11.1 MOSOLO Mobility et Parking</w:t>
            </w:r>
          </w:p>
        </w:tc>
      </w:tr>
      <w:tr>
        <w:tc>
          <w:tcPr/>
          <w:p>
            <w:pPr>
              <w:pStyle w:val="Compact"/>
              <w:spacing w:after="20" w:before="20" w:line="240" w:lineRule="auto"/>
              <w:jc w:val="left"/>
            </w:pPr>
            <w:r>
              <w:rPr>
                <w:sz w:val="17"/>
              </w:rPr>
              <w:t xml:space="preserve">20. Advertising, Telecom &amp; Public Domain</w:t>
            </w:r>
          </w:p>
        </w:tc>
        <w:tc>
          <w:tcPr/>
          <w:p>
            <w:pPr>
              <w:pStyle w:val="Compact"/>
              <w:spacing w:after="20" w:before="20" w:line="240" w:lineRule="auto"/>
              <w:jc w:val="left"/>
            </w:pPr>
            <w:r>
              <w:rPr>
                <w:sz w:val="17"/>
              </w:rPr>
              <w:t xml:space="preserve">§ 11.1 MOSOLO Advertising, Telecom, Public Domain</w:t>
            </w:r>
          </w:p>
        </w:tc>
      </w:tr>
      <w:tr>
        <w:tc>
          <w:tcPr>
            <w:shd w:val="clear" w:color="auto" w:fill="F2F9F8"/>
          </w:tcPr>
          <w:p>
            <w:pPr>
              <w:pStyle w:val="Compact"/>
              <w:spacing w:after="20" w:before="20" w:line="240" w:lineRule="auto"/>
              <w:jc w:val="left"/>
            </w:pPr>
            <w:r>
              <w:rPr>
                <w:sz w:val="17"/>
              </w:rPr>
              <w:t xml:space="preserve">21. Markets, Ports, Events &amp; Sector Verticals</w:t>
            </w:r>
          </w:p>
        </w:tc>
        <w:tc>
          <w:tcPr>
            <w:shd w:val="clear" w:color="auto" w:fill="F2F9F8"/>
          </w:tcPr>
          <w:p>
            <w:pPr>
              <w:pStyle w:val="Compact"/>
              <w:spacing w:after="20" w:before="20" w:line="240" w:lineRule="auto"/>
              <w:jc w:val="left"/>
            </w:pPr>
            <w:r>
              <w:rPr>
                <w:sz w:val="17"/>
              </w:rPr>
              <w:t xml:space="preserve">§ 11.1 ; module 62</w:t>
            </w:r>
          </w:p>
        </w:tc>
      </w:tr>
      <w:tr>
        <w:tc>
          <w:tcPr/>
          <w:p>
            <w:pPr>
              <w:pStyle w:val="Compact"/>
              <w:spacing w:after="20" w:before="20" w:line="240" w:lineRule="auto"/>
              <w:jc w:val="left"/>
            </w:pPr>
            <w:r>
              <w:rPr>
                <w:sz w:val="17"/>
              </w:rPr>
              <w:t xml:space="preserve">22. Assessment / Liquidation Engine</w:t>
            </w:r>
          </w:p>
        </w:tc>
        <w:tc>
          <w:tcPr/>
          <w:p>
            <w:pPr>
              <w:pStyle w:val="Compact"/>
              <w:spacing w:after="20" w:before="20" w:line="240" w:lineRule="auto"/>
              <w:jc w:val="left"/>
            </w:pPr>
            <w:r>
              <w:rPr>
                <w:sz w:val="17"/>
              </w:rPr>
              <w:t xml:space="preserve">§ 11.2</w:t>
            </w:r>
          </w:p>
        </w:tc>
      </w:tr>
      <w:tr>
        <w:tc>
          <w:tcPr>
            <w:shd w:val="clear" w:color="auto" w:fill="F2F9F8"/>
          </w:tcPr>
          <w:p>
            <w:pPr>
              <w:pStyle w:val="Compact"/>
              <w:spacing w:after="20" w:before="20" w:line="240" w:lineRule="auto"/>
              <w:jc w:val="left"/>
            </w:pPr>
            <w:r>
              <w:rPr>
                <w:sz w:val="17"/>
              </w:rPr>
              <w:t xml:space="preserve">23. Notification Engine</w:t>
            </w:r>
          </w:p>
        </w:tc>
        <w:tc>
          <w:tcPr>
            <w:shd w:val="clear" w:color="auto" w:fill="F2F9F8"/>
          </w:tcPr>
          <w:p>
            <w:pPr>
              <w:pStyle w:val="Compact"/>
              <w:spacing w:after="20" w:before="20" w:line="240" w:lineRule="auto"/>
              <w:jc w:val="left"/>
            </w:pPr>
            <w:r>
              <w:rPr>
                <w:sz w:val="17"/>
              </w:rPr>
              <w:t xml:space="preserve">§ 11.3</w:t>
            </w:r>
          </w:p>
        </w:tc>
      </w:tr>
      <w:tr>
        <w:tc>
          <w:tcPr/>
          <w:p>
            <w:pPr>
              <w:pStyle w:val="Compact"/>
              <w:spacing w:after="20" w:before="20" w:line="240" w:lineRule="auto"/>
              <w:jc w:val="left"/>
            </w:pPr>
            <w:r>
              <w:rPr>
                <w:sz w:val="17"/>
              </w:rPr>
              <w:t xml:space="preserve">24. Payment Orchestration</w:t>
            </w:r>
          </w:p>
        </w:tc>
        <w:tc>
          <w:tcPr/>
          <w:p>
            <w:pPr>
              <w:pStyle w:val="Compact"/>
              <w:spacing w:after="20" w:before="20" w:line="240" w:lineRule="auto"/>
              <w:jc w:val="left"/>
            </w:pPr>
            <w:r>
              <w:rPr>
                <w:sz w:val="17"/>
              </w:rPr>
              <w:t xml:space="preserve">§ 18 ; § 18.5</w:t>
            </w:r>
          </w:p>
        </w:tc>
      </w:tr>
      <w:tr>
        <w:tc>
          <w:tcPr>
            <w:shd w:val="clear" w:color="auto" w:fill="F2F9F8"/>
          </w:tcPr>
          <w:p>
            <w:pPr>
              <w:pStyle w:val="Compact"/>
              <w:spacing w:after="20" w:before="20" w:line="240" w:lineRule="auto"/>
              <w:jc w:val="left"/>
            </w:pPr>
            <w:r>
              <w:rPr>
                <w:sz w:val="17"/>
              </w:rPr>
              <w:t xml:space="preserve">25. Settlement &amp; Reconciliation</w:t>
            </w:r>
          </w:p>
        </w:tc>
        <w:tc>
          <w:tcPr>
            <w:shd w:val="clear" w:color="auto" w:fill="F2F9F8"/>
          </w:tcPr>
          <w:p>
            <w:pPr>
              <w:pStyle w:val="Compact"/>
              <w:spacing w:after="20" w:before="20" w:line="240" w:lineRule="auto"/>
              <w:jc w:val="left"/>
            </w:pPr>
            <w:r>
              <w:rPr>
                <w:sz w:val="17"/>
              </w:rPr>
              <w:t xml:space="preserve">§ 18.5 ; § 20</w:t>
            </w:r>
          </w:p>
        </w:tc>
      </w:tr>
      <w:tr>
        <w:tc>
          <w:tcPr/>
          <w:p>
            <w:pPr>
              <w:pStyle w:val="Compact"/>
              <w:spacing w:after="20" w:before="20" w:line="240" w:lineRule="auto"/>
              <w:jc w:val="left"/>
            </w:pPr>
            <w:r>
              <w:rPr>
                <w:sz w:val="17"/>
              </w:rPr>
              <w:t xml:space="preserve">26. Public Financial Ledger</w:t>
            </w:r>
          </w:p>
        </w:tc>
        <w:tc>
          <w:tcPr/>
          <w:p>
            <w:pPr>
              <w:pStyle w:val="Compact"/>
              <w:spacing w:after="20" w:before="20" w:line="240" w:lineRule="auto"/>
              <w:jc w:val="left"/>
            </w:pPr>
            <w:r>
              <w:rPr>
                <w:sz w:val="17"/>
              </w:rPr>
              <w:t xml:space="preserve">§ 20.1</w:t>
            </w:r>
          </w:p>
        </w:tc>
      </w:tr>
      <w:tr>
        <w:tc>
          <w:tcPr>
            <w:shd w:val="clear" w:color="auto" w:fill="F2F9F8"/>
          </w:tcPr>
          <w:p>
            <w:pPr>
              <w:pStyle w:val="Compact"/>
              <w:spacing w:after="20" w:before="20" w:line="240" w:lineRule="auto"/>
              <w:jc w:val="left"/>
            </w:pPr>
            <w:r>
              <w:rPr>
                <w:sz w:val="17"/>
              </w:rPr>
              <w:t xml:space="preserve">27. E-Receipt &amp; Public Verification</w:t>
            </w:r>
          </w:p>
        </w:tc>
        <w:tc>
          <w:tcPr>
            <w:shd w:val="clear" w:color="auto" w:fill="F2F9F8"/>
          </w:tcPr>
          <w:p>
            <w:pPr>
              <w:pStyle w:val="Compact"/>
              <w:spacing w:after="20" w:before="20" w:line="240" w:lineRule="auto"/>
              <w:jc w:val="left"/>
            </w:pPr>
            <w:r>
              <w:rPr>
                <w:sz w:val="17"/>
              </w:rPr>
              <w:t xml:space="preserve">§ 19 ; § 18.6</w:t>
            </w:r>
          </w:p>
        </w:tc>
      </w:tr>
      <w:tr>
        <w:tc>
          <w:tcPr/>
          <w:p>
            <w:pPr>
              <w:pStyle w:val="Compact"/>
              <w:spacing w:after="20" w:before="20" w:line="240" w:lineRule="auto"/>
              <w:jc w:val="left"/>
            </w:pPr>
            <w:r>
              <w:rPr>
                <w:sz w:val="17"/>
              </w:rPr>
              <w:t xml:space="preserve">28. Recovery &amp; Arrears</w:t>
            </w:r>
          </w:p>
        </w:tc>
        <w:tc>
          <w:tcPr/>
          <w:p>
            <w:pPr>
              <w:pStyle w:val="Compact"/>
              <w:spacing w:after="20" w:before="20" w:line="240" w:lineRule="auto"/>
              <w:jc w:val="left"/>
            </w:pPr>
            <w:r>
              <w:rPr>
                <w:sz w:val="17"/>
              </w:rPr>
              <w:t xml:space="preserve">§ 21.1</w:t>
            </w:r>
          </w:p>
        </w:tc>
      </w:tr>
      <w:tr>
        <w:tc>
          <w:tcPr>
            <w:shd w:val="clear" w:color="auto" w:fill="F2F9F8"/>
          </w:tcPr>
          <w:p>
            <w:pPr>
              <w:pStyle w:val="Compact"/>
              <w:spacing w:after="20" w:before="20" w:line="240" w:lineRule="auto"/>
              <w:jc w:val="left"/>
            </w:pPr>
            <w:r>
              <w:rPr>
                <w:sz w:val="17"/>
              </w:rPr>
              <w:t xml:space="preserve">29. Appeals, Disputes &amp; Exemptions</w:t>
            </w:r>
          </w:p>
        </w:tc>
        <w:tc>
          <w:tcPr>
            <w:shd w:val="clear" w:color="auto" w:fill="F2F9F8"/>
          </w:tcPr>
          <w:p>
            <w:pPr>
              <w:pStyle w:val="Compact"/>
              <w:spacing w:after="20" w:before="20" w:line="240" w:lineRule="auto"/>
              <w:jc w:val="left"/>
            </w:pPr>
            <w:r>
              <w:rPr>
                <w:sz w:val="17"/>
              </w:rPr>
              <w:t xml:space="preserve">§ 22.1</w:t>
            </w:r>
          </w:p>
        </w:tc>
      </w:tr>
      <w:tr>
        <w:tc>
          <w:tcPr/>
          <w:p>
            <w:pPr>
              <w:pStyle w:val="Compact"/>
              <w:spacing w:after="20" w:before="20" w:line="240" w:lineRule="auto"/>
              <w:jc w:val="left"/>
            </w:pPr>
            <w:r>
              <w:rPr>
                <w:sz w:val="17"/>
              </w:rPr>
              <w:t xml:space="preserve">30. Anti-Fraud Control Plane</w:t>
            </w:r>
          </w:p>
        </w:tc>
        <w:tc>
          <w:tcPr/>
          <w:p>
            <w:pPr>
              <w:pStyle w:val="Compact"/>
              <w:spacing w:after="20" w:before="20" w:line="240" w:lineRule="auto"/>
              <w:jc w:val="left"/>
            </w:pPr>
            <w:r>
              <w:rPr>
                <w:sz w:val="17"/>
              </w:rPr>
              <w:t xml:space="preserve">§ 25 Plan de contrôle anti-fraude</w:t>
            </w:r>
          </w:p>
        </w:tc>
      </w:tr>
      <w:tr>
        <w:tc>
          <w:tcPr>
            <w:shd w:val="clear" w:color="auto" w:fill="F2F9F8"/>
          </w:tcPr>
          <w:p>
            <w:pPr>
              <w:pStyle w:val="Compact"/>
              <w:spacing w:after="20" w:before="20" w:line="240" w:lineRule="auto"/>
              <w:jc w:val="left"/>
            </w:pPr>
            <w:r>
              <w:rPr>
                <w:sz w:val="17"/>
              </w:rPr>
              <w:t xml:space="preserve">31. MOSOLO Financial Constitution</w:t>
            </w:r>
          </w:p>
        </w:tc>
        <w:tc>
          <w:tcPr>
            <w:shd w:val="clear" w:color="auto" w:fill="F2F9F8"/>
          </w:tcPr>
          <w:p>
            <w:pPr>
              <w:pStyle w:val="Compact"/>
              <w:spacing w:after="20" w:before="20" w:line="240" w:lineRule="auto"/>
              <w:jc w:val="left"/>
            </w:pPr>
            <w:r>
              <w:rPr>
                <w:sz w:val="17"/>
              </w:rPr>
              <w:t xml:space="preserve">§ 12.3</w:t>
            </w:r>
          </w:p>
        </w:tc>
      </w:tr>
      <w:tr>
        <w:tc>
          <w:tcPr/>
          <w:p>
            <w:pPr>
              <w:pStyle w:val="Compact"/>
              <w:spacing w:after="20" w:before="20" w:line="240" w:lineRule="auto"/>
              <w:jc w:val="left"/>
            </w:pPr>
            <w:r>
              <w:rPr>
                <w:sz w:val="17"/>
              </w:rPr>
              <w:t xml:space="preserve">32. AI Agentic Operating Layer</w:t>
            </w:r>
          </w:p>
        </w:tc>
        <w:tc>
          <w:tcPr/>
          <w:p>
            <w:pPr>
              <w:pStyle w:val="Compact"/>
              <w:spacing w:after="20" w:before="20" w:line="240" w:lineRule="auto"/>
              <w:jc w:val="left"/>
            </w:pPr>
            <w:r>
              <w:rPr>
                <w:sz w:val="17"/>
              </w:rPr>
              <w:t xml:space="preserve">§ 23</w:t>
            </w:r>
          </w:p>
        </w:tc>
      </w:tr>
      <w:tr>
        <w:tc>
          <w:tcPr>
            <w:shd w:val="clear" w:color="auto" w:fill="F2F9F8"/>
          </w:tcPr>
          <w:p>
            <w:pPr>
              <w:pStyle w:val="Compact"/>
              <w:spacing w:after="20" w:before="20" w:line="240" w:lineRule="auto"/>
              <w:jc w:val="left"/>
            </w:pPr>
            <w:r>
              <w:rPr>
                <w:sz w:val="17"/>
              </w:rPr>
              <w:t xml:space="preserve">33. AI Governance &amp; Learning</w:t>
            </w:r>
          </w:p>
        </w:tc>
        <w:tc>
          <w:tcPr>
            <w:shd w:val="clear" w:color="auto" w:fill="F2F9F8"/>
          </w:tcPr>
          <w:p>
            <w:pPr>
              <w:pStyle w:val="Compact"/>
              <w:spacing w:after="20" w:before="20" w:line="240" w:lineRule="auto"/>
              <w:jc w:val="left"/>
            </w:pPr>
            <w:r>
              <w:rPr>
                <w:sz w:val="17"/>
              </w:rPr>
              <w:t xml:space="preserve">§ 23.1</w:t>
            </w:r>
          </w:p>
        </w:tc>
      </w:tr>
      <w:tr>
        <w:tc>
          <w:tcPr/>
          <w:p>
            <w:pPr>
              <w:pStyle w:val="Compact"/>
              <w:spacing w:after="20" w:before="20" w:line="240" w:lineRule="auto"/>
              <w:jc w:val="left"/>
            </w:pPr>
            <w:r>
              <w:rPr>
                <w:sz w:val="17"/>
              </w:rPr>
              <w:t xml:space="preserve">34. Executive Command Centre</w:t>
            </w:r>
          </w:p>
        </w:tc>
        <w:tc>
          <w:tcPr/>
          <w:p>
            <w:pPr>
              <w:pStyle w:val="Compact"/>
              <w:spacing w:after="20" w:before="20" w:line="240" w:lineRule="auto"/>
              <w:jc w:val="left"/>
            </w:pPr>
            <w:r>
              <w:rPr>
                <w:sz w:val="17"/>
              </w:rPr>
              <w:t xml:space="preserve">§ 26.1 Échelle unifiée des états</w:t>
            </w:r>
          </w:p>
        </w:tc>
      </w:tr>
      <w:tr>
        <w:tc>
          <w:tcPr>
            <w:shd w:val="clear" w:color="auto" w:fill="F2F9F8"/>
          </w:tcPr>
          <w:p>
            <w:pPr>
              <w:pStyle w:val="Compact"/>
              <w:spacing w:after="20" w:before="20" w:line="240" w:lineRule="auto"/>
              <w:jc w:val="left"/>
            </w:pPr>
            <w:r>
              <w:rPr>
                <w:sz w:val="17"/>
              </w:rPr>
              <w:t xml:space="preserve">35. Public Investment Intelligence</w:t>
            </w:r>
          </w:p>
        </w:tc>
        <w:tc>
          <w:tcPr>
            <w:shd w:val="clear" w:color="auto" w:fill="F2F9F8"/>
          </w:tcPr>
          <w:p>
            <w:pPr>
              <w:pStyle w:val="Compact"/>
              <w:spacing w:after="20" w:before="20" w:line="240" w:lineRule="auto"/>
              <w:jc w:val="left"/>
            </w:pPr>
            <w:r>
              <w:rPr>
                <w:sz w:val="17"/>
              </w:rPr>
              <w:t xml:space="preserve">§ 27</w:t>
            </w:r>
          </w:p>
        </w:tc>
      </w:tr>
      <w:tr>
        <w:tc>
          <w:tcPr/>
          <w:p>
            <w:pPr>
              <w:pStyle w:val="Compact"/>
              <w:spacing w:after="20" w:before="20" w:line="240" w:lineRule="auto"/>
              <w:jc w:val="left"/>
            </w:pPr>
            <w:r>
              <w:rPr>
                <w:sz w:val="17"/>
              </w:rPr>
              <w:t xml:space="preserve">36. Architecture applicative</w:t>
            </w:r>
          </w:p>
        </w:tc>
        <w:tc>
          <w:tcPr/>
          <w:p>
            <w:pPr>
              <w:pStyle w:val="Compact"/>
              <w:spacing w:after="20" w:before="20" w:line="240" w:lineRule="auto"/>
              <w:jc w:val="left"/>
            </w:pPr>
            <w:r>
              <w:rPr>
                <w:sz w:val="17"/>
              </w:rPr>
              <w:t xml:space="preserve">§ 28.1 à 28.3</w:t>
            </w:r>
          </w:p>
        </w:tc>
      </w:tr>
      <w:tr>
        <w:tc>
          <w:tcPr>
            <w:shd w:val="clear" w:color="auto" w:fill="F2F9F8"/>
          </w:tcPr>
          <w:p>
            <w:pPr>
              <w:pStyle w:val="Compact"/>
              <w:spacing w:after="20" w:before="20" w:line="240" w:lineRule="auto"/>
              <w:jc w:val="left"/>
            </w:pPr>
            <w:r>
              <w:rPr>
                <w:sz w:val="17"/>
              </w:rPr>
              <w:t xml:space="preserve">37. Architecture des données</w:t>
            </w:r>
          </w:p>
        </w:tc>
        <w:tc>
          <w:tcPr>
            <w:shd w:val="clear" w:color="auto" w:fill="F2F9F8"/>
          </w:tcPr>
          <w:p>
            <w:pPr>
              <w:pStyle w:val="Compact"/>
              <w:spacing w:after="20" w:before="20" w:line="240" w:lineRule="auto"/>
              <w:jc w:val="left"/>
            </w:pPr>
            <w:r>
              <w:rPr>
                <w:sz w:val="17"/>
              </w:rPr>
              <w:t xml:space="preserve">§ 28.5</w:t>
            </w:r>
          </w:p>
        </w:tc>
      </w:tr>
      <w:tr>
        <w:tc>
          <w:tcPr/>
          <w:p>
            <w:pPr>
              <w:pStyle w:val="Compact"/>
              <w:spacing w:after="20" w:before="20" w:line="240" w:lineRule="auto"/>
              <w:jc w:val="left"/>
            </w:pPr>
            <w:r>
              <w:rPr>
                <w:sz w:val="17"/>
              </w:rPr>
              <w:t xml:space="preserve">38. Modèle de données développeur</w:t>
            </w:r>
          </w:p>
        </w:tc>
        <w:tc>
          <w:tcPr/>
          <w:p>
            <w:pPr>
              <w:pStyle w:val="Compact"/>
              <w:spacing w:after="20" w:before="20" w:line="240" w:lineRule="auto"/>
              <w:jc w:val="left"/>
            </w:pPr>
            <w:r>
              <w:rPr>
                <w:sz w:val="17"/>
              </w:rPr>
              <w:t xml:space="preserve">§ 29.2</w:t>
            </w:r>
          </w:p>
        </w:tc>
      </w:tr>
      <w:tr>
        <w:tc>
          <w:tcPr>
            <w:shd w:val="clear" w:color="auto" w:fill="F2F9F8"/>
          </w:tcPr>
          <w:p>
            <w:pPr>
              <w:pStyle w:val="Compact"/>
              <w:spacing w:after="20" w:before="20" w:line="240" w:lineRule="auto"/>
              <w:jc w:val="left"/>
            </w:pPr>
            <w:r>
              <w:rPr>
                <w:sz w:val="17"/>
              </w:rPr>
              <w:t xml:space="preserve">39. API Catalogue</w:t>
            </w:r>
          </w:p>
        </w:tc>
        <w:tc>
          <w:tcPr>
            <w:shd w:val="clear" w:color="auto" w:fill="F2F9F8"/>
          </w:tcPr>
          <w:p>
            <w:pPr>
              <w:pStyle w:val="Compact"/>
              <w:spacing w:after="20" w:before="20" w:line="240" w:lineRule="auto"/>
              <w:jc w:val="left"/>
            </w:pPr>
            <w:r>
              <w:rPr>
                <w:sz w:val="17"/>
              </w:rPr>
              <w:t xml:space="preserve">§ 30.1 ; § 30.2</w:t>
            </w:r>
          </w:p>
        </w:tc>
      </w:tr>
      <w:tr>
        <w:tc>
          <w:tcPr/>
          <w:p>
            <w:pPr>
              <w:pStyle w:val="Compact"/>
              <w:spacing w:after="20" w:before="20" w:line="240" w:lineRule="auto"/>
              <w:jc w:val="left"/>
            </w:pPr>
            <w:r>
              <w:rPr>
                <w:sz w:val="17"/>
              </w:rPr>
              <w:t xml:space="preserve">40. Cybersecurity &amp; Zero Trust</w:t>
            </w:r>
          </w:p>
        </w:tc>
        <w:tc>
          <w:tcPr/>
          <w:p>
            <w:pPr>
              <w:pStyle w:val="Compact"/>
              <w:spacing w:after="20" w:before="20" w:line="240" w:lineRule="auto"/>
              <w:jc w:val="left"/>
            </w:pPr>
            <w:r>
              <w:rPr>
                <w:sz w:val="17"/>
              </w:rPr>
              <w:t xml:space="preserve">§ 31</w:t>
            </w:r>
          </w:p>
        </w:tc>
      </w:tr>
      <w:tr>
        <w:tc>
          <w:tcPr>
            <w:shd w:val="clear" w:color="auto" w:fill="F2F9F8"/>
          </w:tcPr>
          <w:p>
            <w:pPr>
              <w:pStyle w:val="Compact"/>
              <w:spacing w:after="20" w:before="20" w:line="240" w:lineRule="auto"/>
              <w:jc w:val="left"/>
            </w:pPr>
            <w:r>
              <w:rPr>
                <w:sz w:val="17"/>
              </w:rPr>
              <w:t xml:space="preserve">41. Data Protection, Sovereignty &amp; Hosting</w:t>
            </w:r>
          </w:p>
        </w:tc>
        <w:tc>
          <w:tcPr>
            <w:shd w:val="clear" w:color="auto" w:fill="F2F9F8"/>
          </w:tcPr>
          <w:p>
            <w:pPr>
              <w:pStyle w:val="Compact"/>
              <w:spacing w:after="20" w:before="20" w:line="240" w:lineRule="auto"/>
              <w:jc w:val="left"/>
            </w:pPr>
            <w:r>
              <w:rPr>
                <w:sz w:val="17"/>
              </w:rPr>
              <w:t xml:space="preserve">§ 32 ; § 33</w:t>
            </w:r>
          </w:p>
        </w:tc>
      </w:tr>
      <w:tr>
        <w:tc>
          <w:tcPr/>
          <w:p>
            <w:pPr>
              <w:pStyle w:val="Compact"/>
              <w:spacing w:after="20" w:before="20" w:line="240" w:lineRule="auto"/>
              <w:jc w:val="left"/>
            </w:pPr>
            <w:r>
              <w:rPr>
                <w:sz w:val="17"/>
              </w:rPr>
              <w:t xml:space="preserve">42. Offline-First Field Platform</w:t>
            </w:r>
          </w:p>
        </w:tc>
        <w:tc>
          <w:tcPr/>
          <w:p>
            <w:pPr>
              <w:pStyle w:val="Compact"/>
              <w:spacing w:after="20" w:before="20" w:line="240" w:lineRule="auto"/>
              <w:jc w:val="left"/>
            </w:pPr>
            <w:r>
              <w:rPr>
                <w:sz w:val="17"/>
              </w:rPr>
              <w:t xml:space="preserve">§ 15.4</w:t>
            </w:r>
          </w:p>
        </w:tc>
      </w:tr>
      <w:tr>
        <w:tc>
          <w:tcPr>
            <w:shd w:val="clear" w:color="auto" w:fill="F2F9F8"/>
          </w:tcPr>
          <w:p>
            <w:pPr>
              <w:pStyle w:val="Compact"/>
              <w:spacing w:after="20" w:before="20" w:line="240" w:lineRule="auto"/>
              <w:jc w:val="left"/>
            </w:pPr>
            <w:r>
              <w:rPr>
                <w:sz w:val="17"/>
              </w:rPr>
              <w:t xml:space="preserve">43. Operating Model &amp; Governance</w:t>
            </w:r>
          </w:p>
        </w:tc>
        <w:tc>
          <w:tcPr>
            <w:shd w:val="clear" w:color="auto" w:fill="F2F9F8"/>
          </w:tcPr>
          <w:p>
            <w:pPr>
              <w:pStyle w:val="Compact"/>
              <w:spacing w:after="20" w:before="20" w:line="240" w:lineRule="auto"/>
              <w:jc w:val="left"/>
            </w:pPr>
            <w:r>
              <w:rPr>
                <w:sz w:val="17"/>
              </w:rPr>
              <w:t xml:space="preserve">§ 36</w:t>
            </w:r>
          </w:p>
        </w:tc>
      </w:tr>
      <w:tr>
        <w:tc>
          <w:tcPr/>
          <w:p>
            <w:pPr>
              <w:pStyle w:val="Compact"/>
              <w:spacing w:after="20" w:before="20" w:line="240" w:lineRule="auto"/>
              <w:jc w:val="left"/>
            </w:pPr>
            <w:r>
              <w:rPr>
                <w:sz w:val="17"/>
              </w:rPr>
              <w:t xml:space="preserve">44. Procurement &amp; Commercial Model</w:t>
            </w:r>
          </w:p>
        </w:tc>
        <w:tc>
          <w:tcPr/>
          <w:p>
            <w:pPr>
              <w:pStyle w:val="Compact"/>
              <w:spacing w:after="20" w:before="20" w:line="240" w:lineRule="auto"/>
              <w:jc w:val="left"/>
            </w:pPr>
            <w:r>
              <w:rPr>
                <w:sz w:val="17"/>
              </w:rPr>
              <w:t xml:space="preserve">§ 37 Clauses de protection obligatoires</w:t>
            </w:r>
          </w:p>
        </w:tc>
      </w:tr>
      <w:tr>
        <w:tc>
          <w:tcPr>
            <w:shd w:val="clear" w:color="auto" w:fill="F2F9F8"/>
          </w:tcPr>
          <w:p>
            <w:pPr>
              <w:pStyle w:val="Compact"/>
              <w:spacing w:after="20" w:before="20" w:line="240" w:lineRule="auto"/>
              <w:jc w:val="left"/>
            </w:pPr>
            <w:r>
              <w:rPr>
                <w:sz w:val="17"/>
              </w:rPr>
              <w:t xml:space="preserve">45. Financial Model, KPI &amp; Benefits Realisation</w:t>
            </w:r>
          </w:p>
        </w:tc>
        <w:tc>
          <w:tcPr>
            <w:shd w:val="clear" w:color="auto" w:fill="F2F9F8"/>
          </w:tcPr>
          <w:p>
            <w:pPr>
              <w:pStyle w:val="Compact"/>
              <w:spacing w:after="20" w:before="20" w:line="240" w:lineRule="auto"/>
              <w:jc w:val="left"/>
            </w:pPr>
            <w:r>
              <w:rPr>
                <w:sz w:val="17"/>
              </w:rPr>
              <w:t xml:space="preserve">§ 38 ; § 39 Indicateurs complémentaires</w:t>
            </w:r>
          </w:p>
        </w:tc>
      </w:tr>
      <w:tr>
        <w:tc>
          <w:tcPr/>
          <w:p>
            <w:pPr>
              <w:pStyle w:val="Compact"/>
              <w:spacing w:after="20" w:before="20" w:line="240" w:lineRule="auto"/>
              <w:jc w:val="left"/>
            </w:pPr>
            <w:r>
              <w:rPr>
                <w:sz w:val="17"/>
              </w:rPr>
              <w:t xml:space="preserve">46. Roadmap, Pilot 180 Days &amp; First 100 Days</w:t>
            </w:r>
          </w:p>
        </w:tc>
        <w:tc>
          <w:tcPr/>
          <w:p>
            <w:pPr>
              <w:pStyle w:val="Compact"/>
              <w:spacing w:after="20" w:before="20" w:line="240" w:lineRule="auto"/>
              <w:jc w:val="left"/>
            </w:pPr>
            <w:r>
              <w:rPr>
                <w:sz w:val="17"/>
              </w:rPr>
              <w:t xml:space="preserve">§ 34.3 ; § 46 Vue synthétique par jalons</w:t>
            </w:r>
          </w:p>
        </w:tc>
      </w:tr>
      <w:tr>
        <w:tc>
          <w:tcPr>
            <w:shd w:val="clear" w:color="auto" w:fill="F2F9F8"/>
          </w:tcPr>
          <w:p>
            <w:pPr>
              <w:pStyle w:val="Compact"/>
              <w:spacing w:after="20" w:before="20" w:line="240" w:lineRule="auto"/>
              <w:jc w:val="left"/>
            </w:pPr>
            <w:r>
              <w:rPr>
                <w:sz w:val="17"/>
              </w:rPr>
              <w:t xml:space="preserve">47. Acceptance, Release Plan &amp; Immediate Decisions</w:t>
            </w:r>
          </w:p>
        </w:tc>
        <w:tc>
          <w:tcPr>
            <w:shd w:val="clear" w:color="auto" w:fill="F2F9F8"/>
          </w:tcPr>
          <w:p>
            <w:pPr>
              <w:pStyle w:val="Compact"/>
              <w:spacing w:after="20" w:before="20" w:line="240" w:lineRule="auto"/>
              <w:jc w:val="left"/>
            </w:pPr>
            <w:r>
              <w:rPr>
                <w:sz w:val="17"/>
              </w:rPr>
              <w:t xml:space="preserve">§ 41 ; § 43 ; § 47.3</w:t>
            </w:r>
          </w:p>
        </w:tc>
      </w:tr>
      <w:tr>
        <w:tc>
          <w:tcPr/>
          <w:p>
            <w:pPr>
              <w:pStyle w:val="Compact"/>
              <w:spacing w:after="20" w:before="20" w:line="240" w:lineRule="auto"/>
              <w:jc w:val="left"/>
            </w:pPr>
            <w:r>
              <w:rPr>
                <w:sz w:val="17"/>
              </w:rPr>
              <w:t xml:space="preserve">Tableau « Élément / Exigence minimale » (répété dans 13 sections)</w:t>
            </w:r>
          </w:p>
        </w:tc>
        <w:tc>
          <w:tcPr/>
          <w:p>
            <w:pPr>
              <w:pStyle w:val="Compact"/>
              <w:spacing w:after="20" w:before="20" w:line="240" w:lineRule="auto"/>
              <w:jc w:val="left"/>
            </w:pPr>
            <w:r>
              <w:rPr>
                <w:sz w:val="17"/>
              </w:rPr>
              <w:t xml:space="preserve">§ 36.1, présenté une seule fois</w:t>
            </w:r>
          </w:p>
        </w:tc>
      </w:tr>
      <w:tr>
        <w:tc>
          <w:tcPr>
            <w:shd w:val="clear" w:color="auto" w:fill="F2F9F8"/>
          </w:tcPr>
          <w:p>
            <w:pPr>
              <w:pStyle w:val="Compact"/>
              <w:spacing w:after="20" w:before="20" w:line="240" w:lineRule="auto"/>
              <w:jc w:val="left"/>
            </w:pPr>
            <w:r>
              <w:rPr>
                <w:sz w:val="17"/>
              </w:rPr>
              <w:t xml:space="preserve">Annexe 1 — Matrice de priorisation des recettes</w:t>
            </w:r>
          </w:p>
        </w:tc>
        <w:tc>
          <w:tcPr>
            <w:shd w:val="clear" w:color="auto" w:fill="F2F9F8"/>
          </w:tcPr>
          <w:p>
            <w:pPr>
              <w:pStyle w:val="Compact"/>
              <w:spacing w:after="20" w:before="20" w:line="240" w:lineRule="auto"/>
              <w:jc w:val="left"/>
            </w:pPr>
            <w:r>
              <w:rPr>
                <w:sz w:val="17"/>
              </w:rPr>
              <w:t xml:space="preserve">§ 45.4</w:t>
            </w:r>
          </w:p>
        </w:tc>
      </w:tr>
      <w:tr>
        <w:tc>
          <w:tcPr/>
          <w:p>
            <w:pPr>
              <w:pStyle w:val="Compact"/>
              <w:spacing w:after="20" w:before="20" w:line="240" w:lineRule="auto"/>
              <w:jc w:val="left"/>
            </w:pPr>
            <w:r>
              <w:rPr>
                <w:sz w:val="17"/>
              </w:rPr>
              <w:t xml:space="preserve">Annexe 2 — Matrice RBAC/ABAC synthétique</w:t>
            </w:r>
          </w:p>
        </w:tc>
        <w:tc>
          <w:tcPr/>
          <w:p>
            <w:pPr>
              <w:pStyle w:val="Compact"/>
              <w:spacing w:after="20" w:before="20" w:line="240" w:lineRule="auto"/>
              <w:jc w:val="left"/>
            </w:pPr>
            <w:r>
              <w:rPr>
                <w:sz w:val="17"/>
              </w:rPr>
              <w:t xml:space="preserve">§ 12.2</w:t>
            </w:r>
          </w:p>
        </w:tc>
      </w:tr>
      <w:tr>
        <w:tc>
          <w:tcPr>
            <w:shd w:val="clear" w:color="auto" w:fill="F2F9F8"/>
          </w:tcPr>
          <w:p>
            <w:pPr>
              <w:pStyle w:val="Compact"/>
              <w:spacing w:after="20" w:before="20" w:line="240" w:lineRule="auto"/>
              <w:jc w:val="left"/>
            </w:pPr>
            <w:r>
              <w:rPr>
                <w:sz w:val="17"/>
              </w:rPr>
              <w:t xml:space="preserve">Annexe 3 — Modèle d’états de paiement</w:t>
            </w:r>
          </w:p>
        </w:tc>
        <w:tc>
          <w:tcPr>
            <w:shd w:val="clear" w:color="auto" w:fill="F2F9F8"/>
          </w:tcPr>
          <w:p>
            <w:pPr>
              <w:pStyle w:val="Compact"/>
              <w:spacing w:after="20" w:before="20" w:line="240" w:lineRule="auto"/>
              <w:jc w:val="left"/>
            </w:pPr>
            <w:r>
              <w:rPr>
                <w:sz w:val="17"/>
              </w:rPr>
              <w:t xml:space="preserve">§ 18.5</w:t>
            </w:r>
          </w:p>
        </w:tc>
      </w:tr>
      <w:tr>
        <w:tc>
          <w:tcPr/>
          <w:p>
            <w:pPr>
              <w:pStyle w:val="Compact"/>
              <w:spacing w:after="20" w:before="20" w:line="240" w:lineRule="auto"/>
              <w:jc w:val="left"/>
            </w:pPr>
            <w:r>
              <w:rPr>
                <w:sz w:val="17"/>
              </w:rPr>
              <w:t xml:space="preserve">Annexe 4 — Exemples d’API</w:t>
            </w:r>
          </w:p>
        </w:tc>
        <w:tc>
          <w:tcPr/>
          <w:p>
            <w:pPr>
              <w:pStyle w:val="Compact"/>
              <w:spacing w:after="20" w:before="20" w:line="240" w:lineRule="auto"/>
              <w:jc w:val="left"/>
            </w:pPr>
            <w:r>
              <w:rPr>
                <w:sz w:val="17"/>
              </w:rPr>
              <w:t xml:space="preserve">§ 30.2</w:t>
            </w:r>
          </w:p>
        </w:tc>
      </w:tr>
      <w:tr>
        <w:tc>
          <w:tcPr>
            <w:shd w:val="clear" w:color="auto" w:fill="F2F9F8"/>
          </w:tcPr>
          <w:p>
            <w:pPr>
              <w:pStyle w:val="Compact"/>
              <w:spacing w:after="20" w:before="20" w:line="240" w:lineRule="auto"/>
              <w:jc w:val="left"/>
            </w:pPr>
            <w:r>
              <w:rPr>
                <w:sz w:val="17"/>
              </w:rPr>
              <w:t xml:space="preserve">Annexe 5 — User stories et critères</w:t>
            </w:r>
          </w:p>
        </w:tc>
        <w:tc>
          <w:tcPr>
            <w:shd w:val="clear" w:color="auto" w:fill="F2F9F8"/>
          </w:tcPr>
          <w:p>
            <w:pPr>
              <w:pStyle w:val="Compact"/>
              <w:spacing w:after="20" w:before="20" w:line="240" w:lineRule="auto"/>
              <w:jc w:val="left"/>
            </w:pPr>
            <w:r>
              <w:rPr>
                <w:sz w:val="17"/>
              </w:rPr>
              <w:t xml:space="preserve">§ 42.1</w:t>
            </w:r>
          </w:p>
        </w:tc>
      </w:tr>
      <w:tr>
        <w:tc>
          <w:tcPr/>
          <w:p>
            <w:pPr>
              <w:pStyle w:val="Compact"/>
              <w:spacing w:after="20" w:before="20" w:line="240" w:lineRule="auto"/>
              <w:jc w:val="left"/>
            </w:pPr>
            <w:r>
              <w:rPr>
                <w:sz w:val="17"/>
              </w:rPr>
              <w:t xml:space="preserve">Annexe 6 — Backlog Epic → Feature → Story</w:t>
            </w:r>
          </w:p>
        </w:tc>
        <w:tc>
          <w:tcPr/>
          <w:p>
            <w:pPr>
              <w:pStyle w:val="Compact"/>
              <w:spacing w:after="20" w:before="20" w:line="240" w:lineRule="auto"/>
              <w:jc w:val="left"/>
            </w:pPr>
            <w:r>
              <w:rPr>
                <w:sz w:val="17"/>
              </w:rPr>
              <w:t xml:space="preserve">§ 42.2</w:t>
            </w:r>
          </w:p>
        </w:tc>
      </w:tr>
      <w:tr>
        <w:tc>
          <w:tcPr>
            <w:shd w:val="clear" w:color="auto" w:fill="F2F9F8"/>
          </w:tcPr>
          <w:p>
            <w:pPr>
              <w:pStyle w:val="Compact"/>
              <w:spacing w:after="20" w:before="20" w:line="240" w:lineRule="auto"/>
              <w:jc w:val="left"/>
            </w:pPr>
            <w:r>
              <w:rPr>
                <w:sz w:val="17"/>
              </w:rPr>
              <w:t xml:space="preserve">Annexe 7 — 10 décisions immédiates</w:t>
            </w:r>
          </w:p>
        </w:tc>
        <w:tc>
          <w:tcPr>
            <w:shd w:val="clear" w:color="auto" w:fill="F2F9F8"/>
          </w:tcPr>
          <w:p>
            <w:pPr>
              <w:pStyle w:val="Compact"/>
              <w:spacing w:after="20" w:before="20" w:line="240" w:lineRule="auto"/>
              <w:jc w:val="left"/>
            </w:pPr>
            <w:r>
              <w:rPr>
                <w:sz w:val="17"/>
              </w:rPr>
              <w:t xml:space="preserve">§ 47.1 ; § 47.3</w:t>
            </w:r>
          </w:p>
        </w:tc>
      </w:tr>
      <w:tr>
        <w:tc>
          <w:tcPr/>
          <w:p>
            <w:pPr>
              <w:pStyle w:val="Compact"/>
              <w:spacing w:after="20" w:before="20" w:line="240" w:lineRule="auto"/>
              <w:jc w:val="left"/>
            </w:pPr>
            <w:r>
              <w:rPr>
                <w:sz w:val="17"/>
              </w:rPr>
              <w:t xml:space="preserve">Conclusion</w:t>
            </w:r>
          </w:p>
        </w:tc>
        <w:tc>
          <w:tcPr/>
          <w:p>
            <w:pPr>
              <w:pStyle w:val="Compact"/>
              <w:spacing w:after="20" w:before="20" w:line="240" w:lineRule="auto"/>
              <w:jc w:val="left"/>
            </w:pPr>
            <w:r>
              <w:rPr>
                <w:sz w:val="17"/>
              </w:rPr>
              <w:t xml:space="preserve">§ 47.4</w:t>
            </w:r>
          </w:p>
        </w:tc>
      </w:tr>
    </w:tbl>
    <w:p>
      <w:pPr>
        <w:pStyle w:val="BodyText"/>
      </w:pPr>
      <w:r>
        <w:rPr>
          <w:b/>
          <w:bCs/>
        </w:rPr>
        <w:t xml:space="preserve">S3 — Dossier consolidé Gouverneur et Spécification directrice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Section S3</w:t>
            </w:r>
          </w:p>
        </w:tc>
        <w:tc>
          <w:tcPr>
            <w:shd w:val="clear" w:color="auto" w:fill="1BA996"/>
          </w:tcPr>
          <w:p>
            <w:pPr>
              <w:pStyle w:val="Compact"/>
              <w:spacing w:after="20" w:before="20" w:line="240" w:lineRule="auto"/>
              <w:jc w:val="left"/>
            </w:pPr>
            <w:r>
              <w:rPr>
                <w:b/>
                <w:color w:val="FFFFFF"/>
                <w:sz w:val="17"/>
              </w:rPr>
              <w:t xml:space="preserve">Section consolidée</w:t>
            </w:r>
          </w:p>
        </w:tc>
      </w:tr>
      <w:tr>
        <w:tc>
          <w:tcPr/>
          <w:p>
            <w:pPr>
              <w:pStyle w:val="Compact"/>
              <w:spacing w:after="20" w:before="20" w:line="240" w:lineRule="auto"/>
              <w:jc w:val="left"/>
            </w:pPr>
            <w:r>
              <w:rPr>
                <w:sz w:val="17"/>
              </w:rPr>
              <w:t xml:space="preserve">Fiche document (version, positionnement, principe)</w:t>
            </w:r>
          </w:p>
        </w:tc>
        <w:tc>
          <w:tcPr/>
          <w:p>
            <w:pPr>
              <w:pStyle w:val="Compact"/>
              <w:spacing w:after="20" w:before="20" w:line="240" w:lineRule="auto"/>
              <w:jc w:val="left"/>
            </w:pPr>
            <w:r>
              <w:rPr>
                <w:sz w:val="17"/>
              </w:rPr>
              <w:t xml:space="preserve">Page de garde ; § 3 Positionnement</w:t>
            </w:r>
          </w:p>
        </w:tc>
      </w:tr>
      <w:tr>
        <w:tc>
          <w:tcPr>
            <w:shd w:val="clear" w:color="auto" w:fill="F2F9F8"/>
          </w:tcPr>
          <w:p>
            <w:pPr>
              <w:pStyle w:val="Compact"/>
              <w:spacing w:after="20" w:before="20" w:line="240" w:lineRule="auto"/>
              <w:jc w:val="left"/>
            </w:pPr>
            <w:r>
              <w:rPr>
                <w:sz w:val="17"/>
              </w:rPr>
              <w:t xml:space="preserve">Note exécutive (décision, cinq piliers, verrou anti-fraude, impact, décision immédiate)</w:t>
            </w:r>
          </w:p>
        </w:tc>
        <w:tc>
          <w:tcPr>
            <w:shd w:val="clear" w:color="auto" w:fill="F2F9F8"/>
          </w:tcPr>
          <w:p>
            <w:pPr>
              <w:pStyle w:val="Compact"/>
              <w:spacing w:after="20" w:before="20" w:line="240" w:lineRule="auto"/>
              <w:jc w:val="left"/>
            </w:pPr>
            <w:r>
              <w:rPr>
                <w:sz w:val="17"/>
              </w:rPr>
              <w:t xml:space="preserve">Note exécutive</w:t>
            </w:r>
          </w:p>
        </w:tc>
      </w:tr>
      <w:tr>
        <w:tc>
          <w:tcPr/>
          <w:p>
            <w:pPr>
              <w:pStyle w:val="Compact"/>
              <w:spacing w:after="20" w:before="20" w:line="240" w:lineRule="auto"/>
              <w:jc w:val="left"/>
            </w:pPr>
            <w:r>
              <w:rPr>
                <w:sz w:val="17"/>
              </w:rPr>
              <w:t xml:space="preserve">1. Vision et mandat</w:t>
            </w:r>
          </w:p>
        </w:tc>
        <w:tc>
          <w:tcPr/>
          <w:p>
            <w:pPr>
              <w:pStyle w:val="Compact"/>
              <w:spacing w:after="20" w:before="20" w:line="240" w:lineRule="auto"/>
              <w:jc w:val="left"/>
            </w:pPr>
            <w:r>
              <w:rPr>
                <w:sz w:val="17"/>
              </w:rPr>
              <w:t xml:space="preserve">§ 3</w:t>
            </w:r>
          </w:p>
        </w:tc>
      </w:tr>
      <w:tr>
        <w:tc>
          <w:tcPr>
            <w:shd w:val="clear" w:color="auto" w:fill="F2F9F8"/>
          </w:tcPr>
          <w:p>
            <w:pPr>
              <w:pStyle w:val="Compact"/>
              <w:spacing w:after="20" w:before="20" w:line="240" w:lineRule="auto"/>
              <w:jc w:val="left"/>
            </w:pPr>
            <w:r>
              <w:rPr>
                <w:sz w:val="17"/>
              </w:rPr>
              <w:t xml:space="preserve">2. Principes non négociables</w:t>
            </w:r>
          </w:p>
        </w:tc>
        <w:tc>
          <w:tcPr>
            <w:shd w:val="clear" w:color="auto" w:fill="F2F9F8"/>
          </w:tcPr>
          <w:p>
            <w:pPr>
              <w:pStyle w:val="Compact"/>
              <w:spacing w:after="20" w:before="20" w:line="240" w:lineRule="auto"/>
              <w:jc w:val="left"/>
            </w:pPr>
            <w:r>
              <w:rPr>
                <w:sz w:val="17"/>
              </w:rPr>
              <w:t xml:space="preserve">§ 3 Principes constitutionnels</w:t>
            </w:r>
          </w:p>
        </w:tc>
      </w:tr>
      <w:tr>
        <w:tc>
          <w:tcPr/>
          <w:p>
            <w:pPr>
              <w:pStyle w:val="Compact"/>
              <w:spacing w:after="20" w:before="20" w:line="240" w:lineRule="auto"/>
              <w:jc w:val="left"/>
            </w:pPr>
            <w:r>
              <w:rPr>
                <w:sz w:val="17"/>
              </w:rPr>
              <w:t xml:space="preserve">3. Registre juridique versionné</w:t>
            </w:r>
          </w:p>
        </w:tc>
        <w:tc>
          <w:tcPr/>
          <w:p>
            <w:pPr>
              <w:pStyle w:val="Compact"/>
              <w:spacing w:after="20" w:before="20" w:line="240" w:lineRule="auto"/>
              <w:jc w:val="left"/>
            </w:pPr>
            <w:r>
              <w:rPr>
                <w:sz w:val="17"/>
              </w:rPr>
              <w:t xml:space="preserve">§ 6.2</w:t>
            </w:r>
          </w:p>
        </w:tc>
      </w:tr>
      <w:tr>
        <w:tc>
          <w:tcPr>
            <w:shd w:val="clear" w:color="auto" w:fill="F2F9F8"/>
          </w:tcPr>
          <w:p>
            <w:pPr>
              <w:pStyle w:val="Compact"/>
              <w:spacing w:after="20" w:before="20" w:line="240" w:lineRule="auto"/>
              <w:jc w:val="left"/>
            </w:pPr>
            <w:r>
              <w:rPr>
                <w:sz w:val="17"/>
              </w:rPr>
              <w:t xml:space="preserve">4. Identité et compte unique</w:t>
            </w:r>
          </w:p>
        </w:tc>
        <w:tc>
          <w:tcPr>
            <w:shd w:val="clear" w:color="auto" w:fill="F2F9F8"/>
          </w:tcPr>
          <w:p>
            <w:pPr>
              <w:pStyle w:val="Compact"/>
              <w:spacing w:after="20" w:before="20" w:line="240" w:lineRule="auto"/>
              <w:jc w:val="left"/>
            </w:pPr>
            <w:r>
              <w:rPr>
                <w:sz w:val="17"/>
              </w:rPr>
              <w:t xml:space="preserve">§ 9.1</w:t>
            </w:r>
          </w:p>
        </w:tc>
      </w:tr>
      <w:tr>
        <w:tc>
          <w:tcPr/>
          <w:p>
            <w:pPr>
              <w:pStyle w:val="Compact"/>
              <w:spacing w:after="20" w:before="20" w:line="240" w:lineRule="auto"/>
              <w:jc w:val="left"/>
            </w:pPr>
            <w:r>
              <w:rPr>
                <w:sz w:val="17"/>
              </w:rPr>
              <w:t xml:space="preserve">5. Fiscal GIS et identifiant géographique</w:t>
            </w:r>
          </w:p>
        </w:tc>
        <w:tc>
          <w:tcPr/>
          <w:p>
            <w:pPr>
              <w:pStyle w:val="Compact"/>
              <w:spacing w:after="20" w:before="20" w:line="240" w:lineRule="auto"/>
              <w:jc w:val="left"/>
            </w:pPr>
            <w:r>
              <w:rPr>
                <w:sz w:val="17"/>
              </w:rPr>
              <w:t xml:space="preserve">§ 17</w:t>
            </w:r>
          </w:p>
        </w:tc>
      </w:tr>
      <w:tr>
        <w:tc>
          <w:tcPr>
            <w:shd w:val="clear" w:color="auto" w:fill="F2F9F8"/>
          </w:tcPr>
          <w:p>
            <w:pPr>
              <w:pStyle w:val="Compact"/>
              <w:spacing w:after="20" w:before="20" w:line="240" w:lineRule="auto"/>
              <w:jc w:val="left"/>
            </w:pPr>
            <w:r>
              <w:rPr>
                <w:sz w:val="17"/>
              </w:rPr>
              <w:t xml:space="preserve">6. Immobilier et intelligence locative</w:t>
            </w:r>
          </w:p>
        </w:tc>
        <w:tc>
          <w:tcPr>
            <w:shd w:val="clear" w:color="auto" w:fill="F2F9F8"/>
          </w:tcPr>
          <w:p>
            <w:pPr>
              <w:pStyle w:val="Compact"/>
              <w:spacing w:after="20" w:before="20" w:line="240" w:lineRule="auto"/>
              <w:jc w:val="left"/>
            </w:pPr>
            <w:r>
              <w:rPr>
                <w:sz w:val="17"/>
              </w:rPr>
              <w:t xml:space="preserve">§ 16</w:t>
            </w:r>
          </w:p>
        </w:tc>
      </w:tr>
      <w:tr>
        <w:tc>
          <w:tcPr/>
          <w:p>
            <w:pPr>
              <w:pStyle w:val="Compact"/>
              <w:spacing w:after="20" w:before="20" w:line="240" w:lineRule="auto"/>
              <w:jc w:val="left"/>
            </w:pPr>
            <w:r>
              <w:rPr>
                <w:sz w:val="17"/>
              </w:rPr>
              <w:t xml:space="preserve">7. Catalogue des recettes</w:t>
            </w:r>
          </w:p>
        </w:tc>
        <w:tc>
          <w:tcPr/>
          <w:p>
            <w:pPr>
              <w:pStyle w:val="Compact"/>
              <w:spacing w:after="20" w:before="20" w:line="240" w:lineRule="auto"/>
              <w:jc w:val="left"/>
            </w:pPr>
            <w:r>
              <w:rPr>
                <w:sz w:val="17"/>
              </w:rPr>
              <w:t xml:space="preserve">§ 7.4</w:t>
            </w:r>
          </w:p>
        </w:tc>
      </w:tr>
      <w:tr>
        <w:tc>
          <w:tcPr>
            <w:shd w:val="clear" w:color="auto" w:fill="F2F9F8"/>
          </w:tcPr>
          <w:p>
            <w:pPr>
              <w:pStyle w:val="Compact"/>
              <w:spacing w:after="20" w:before="20" w:line="240" w:lineRule="auto"/>
              <w:jc w:val="left"/>
            </w:pPr>
            <w:r>
              <w:rPr>
                <w:sz w:val="17"/>
              </w:rPr>
              <w:t xml:space="preserve">8. Revenue Discovery Engine</w:t>
            </w:r>
          </w:p>
        </w:tc>
        <w:tc>
          <w:tcPr>
            <w:shd w:val="clear" w:color="auto" w:fill="F2F9F8"/>
          </w:tcPr>
          <w:p>
            <w:pPr>
              <w:pStyle w:val="Compact"/>
              <w:spacing w:after="20" w:before="20" w:line="240" w:lineRule="auto"/>
              <w:jc w:val="left"/>
            </w:pPr>
            <w:r>
              <w:rPr>
                <w:sz w:val="17"/>
              </w:rPr>
              <w:t xml:space="preserve">§ 8.4</w:t>
            </w:r>
          </w:p>
        </w:tc>
      </w:tr>
      <w:tr>
        <w:tc>
          <w:tcPr/>
          <w:p>
            <w:pPr>
              <w:pStyle w:val="Compact"/>
              <w:spacing w:after="20" w:before="20" w:line="240" w:lineRule="auto"/>
              <w:jc w:val="left"/>
            </w:pPr>
            <w:r>
              <w:rPr>
                <w:sz w:val="17"/>
              </w:rPr>
              <w:t xml:space="preserve">9. Moteur de liquidation</w:t>
            </w:r>
          </w:p>
        </w:tc>
        <w:tc>
          <w:tcPr/>
          <w:p>
            <w:pPr>
              <w:pStyle w:val="Compact"/>
              <w:spacing w:after="20" w:before="20" w:line="240" w:lineRule="auto"/>
              <w:jc w:val="left"/>
            </w:pPr>
            <w:r>
              <w:rPr>
                <w:sz w:val="17"/>
              </w:rPr>
              <w:t xml:space="preserve">§ 11.2</w:t>
            </w:r>
          </w:p>
        </w:tc>
      </w:tr>
      <w:tr>
        <w:tc>
          <w:tcPr>
            <w:shd w:val="clear" w:color="auto" w:fill="F2F9F8"/>
          </w:tcPr>
          <w:p>
            <w:pPr>
              <w:pStyle w:val="Compact"/>
              <w:spacing w:after="20" w:before="20" w:line="240" w:lineRule="auto"/>
              <w:jc w:val="left"/>
            </w:pPr>
            <w:r>
              <w:rPr>
                <w:sz w:val="17"/>
              </w:rPr>
              <w:t xml:space="preserve">10. Notification et dossier contribuable</w:t>
            </w:r>
          </w:p>
        </w:tc>
        <w:tc>
          <w:tcPr>
            <w:shd w:val="clear" w:color="auto" w:fill="F2F9F8"/>
          </w:tcPr>
          <w:p>
            <w:pPr>
              <w:pStyle w:val="Compact"/>
              <w:spacing w:after="20" w:before="20" w:line="240" w:lineRule="auto"/>
              <w:jc w:val="left"/>
            </w:pPr>
            <w:r>
              <w:rPr>
                <w:sz w:val="17"/>
              </w:rPr>
              <w:t xml:space="preserve">§ 11.3</w:t>
            </w:r>
          </w:p>
        </w:tc>
      </w:tr>
      <w:tr>
        <w:tc>
          <w:tcPr/>
          <w:p>
            <w:pPr>
              <w:pStyle w:val="Compact"/>
              <w:spacing w:after="20" w:before="20" w:line="240" w:lineRule="auto"/>
              <w:jc w:val="left"/>
            </w:pPr>
            <w:r>
              <w:rPr>
                <w:sz w:val="17"/>
              </w:rPr>
              <w:t xml:space="preserve">11. Paiements et settlement public</w:t>
            </w:r>
          </w:p>
        </w:tc>
        <w:tc>
          <w:tcPr/>
          <w:p>
            <w:pPr>
              <w:pStyle w:val="Compact"/>
              <w:spacing w:after="20" w:before="20" w:line="240" w:lineRule="auto"/>
              <w:jc w:val="left"/>
            </w:pPr>
            <w:r>
              <w:rPr>
                <w:sz w:val="17"/>
              </w:rPr>
              <w:t xml:space="preserve">§ 18 ; § 18.5</w:t>
            </w:r>
          </w:p>
        </w:tc>
      </w:tr>
      <w:tr>
        <w:tc>
          <w:tcPr>
            <w:shd w:val="clear" w:color="auto" w:fill="F2F9F8"/>
          </w:tcPr>
          <w:p>
            <w:pPr>
              <w:pStyle w:val="Compact"/>
              <w:spacing w:after="20" w:before="20" w:line="240" w:lineRule="auto"/>
              <w:jc w:val="left"/>
            </w:pPr>
            <w:r>
              <w:rPr>
                <w:sz w:val="17"/>
              </w:rPr>
              <w:t xml:space="preserve">12. Rapprochement et grand livre</w:t>
            </w:r>
          </w:p>
        </w:tc>
        <w:tc>
          <w:tcPr>
            <w:shd w:val="clear" w:color="auto" w:fill="F2F9F8"/>
          </w:tcPr>
          <w:p>
            <w:pPr>
              <w:pStyle w:val="Compact"/>
              <w:spacing w:after="20" w:before="20" w:line="240" w:lineRule="auto"/>
              <w:jc w:val="left"/>
            </w:pPr>
            <w:r>
              <w:rPr>
                <w:sz w:val="17"/>
              </w:rPr>
              <w:t xml:space="preserve">§ 20 ; § 20.1</w:t>
            </w:r>
          </w:p>
        </w:tc>
      </w:tr>
      <w:tr>
        <w:tc>
          <w:tcPr/>
          <w:p>
            <w:pPr>
              <w:pStyle w:val="Compact"/>
              <w:spacing w:after="20" w:before="20" w:line="240" w:lineRule="auto"/>
              <w:jc w:val="left"/>
            </w:pPr>
            <w:r>
              <w:rPr>
                <w:sz w:val="17"/>
              </w:rPr>
              <w:t xml:space="preserve">13. Quittance électronique</w:t>
            </w:r>
          </w:p>
        </w:tc>
        <w:tc>
          <w:tcPr/>
          <w:p>
            <w:pPr>
              <w:pStyle w:val="Compact"/>
              <w:spacing w:after="20" w:before="20" w:line="240" w:lineRule="auto"/>
              <w:jc w:val="left"/>
            </w:pPr>
            <w:r>
              <w:rPr>
                <w:sz w:val="17"/>
              </w:rPr>
              <w:t xml:space="preserve">§ 19</w:t>
            </w:r>
          </w:p>
        </w:tc>
      </w:tr>
      <w:tr>
        <w:tc>
          <w:tcPr>
            <w:shd w:val="clear" w:color="auto" w:fill="F2F9F8"/>
          </w:tcPr>
          <w:p>
            <w:pPr>
              <w:pStyle w:val="Compact"/>
              <w:spacing w:after="20" w:before="20" w:line="240" w:lineRule="auto"/>
              <w:jc w:val="left"/>
            </w:pPr>
            <w:r>
              <w:rPr>
                <w:sz w:val="17"/>
              </w:rPr>
              <w:t xml:space="preserve">14. Recouvrement et contentieux</w:t>
            </w:r>
          </w:p>
        </w:tc>
        <w:tc>
          <w:tcPr>
            <w:shd w:val="clear" w:color="auto" w:fill="F2F9F8"/>
          </w:tcPr>
          <w:p>
            <w:pPr>
              <w:pStyle w:val="Compact"/>
              <w:spacing w:after="20" w:before="20" w:line="240" w:lineRule="auto"/>
              <w:jc w:val="left"/>
            </w:pPr>
            <w:r>
              <w:rPr>
                <w:sz w:val="17"/>
              </w:rPr>
              <w:t xml:space="preserve">§ 21 ; § 21.1</w:t>
            </w:r>
          </w:p>
        </w:tc>
      </w:tr>
      <w:tr>
        <w:tc>
          <w:tcPr/>
          <w:p>
            <w:pPr>
              <w:pStyle w:val="Compact"/>
              <w:spacing w:after="20" w:before="20" w:line="240" w:lineRule="auto"/>
              <w:jc w:val="left"/>
            </w:pPr>
            <w:r>
              <w:rPr>
                <w:sz w:val="17"/>
              </w:rPr>
              <w:t xml:space="preserve">15. Contrôle terrain offline-first</w:t>
            </w:r>
          </w:p>
        </w:tc>
        <w:tc>
          <w:tcPr/>
          <w:p>
            <w:pPr>
              <w:pStyle w:val="Compact"/>
              <w:spacing w:after="20" w:before="20" w:line="240" w:lineRule="auto"/>
              <w:jc w:val="left"/>
            </w:pPr>
            <w:r>
              <w:rPr>
                <w:sz w:val="17"/>
              </w:rPr>
              <w:t xml:space="preserve">§ 15.4</w:t>
            </w:r>
          </w:p>
        </w:tc>
      </w:tr>
      <w:tr>
        <w:tc>
          <w:tcPr>
            <w:shd w:val="clear" w:color="auto" w:fill="F2F9F8"/>
          </w:tcPr>
          <w:p>
            <w:pPr>
              <w:pStyle w:val="Compact"/>
              <w:spacing w:after="20" w:before="20" w:line="240" w:lineRule="auto"/>
              <w:jc w:val="left"/>
            </w:pPr>
            <w:r>
              <w:rPr>
                <w:sz w:val="17"/>
              </w:rPr>
              <w:t xml:space="preserve">16. RBAC + ABAC et séparation des pouvoirs</w:t>
            </w:r>
          </w:p>
        </w:tc>
        <w:tc>
          <w:tcPr>
            <w:shd w:val="clear" w:color="auto" w:fill="F2F9F8"/>
          </w:tcPr>
          <w:p>
            <w:pPr>
              <w:pStyle w:val="Compact"/>
              <w:spacing w:after="20" w:before="20" w:line="240" w:lineRule="auto"/>
              <w:jc w:val="left"/>
            </w:pPr>
            <w:r>
              <w:rPr>
                <w:sz w:val="17"/>
              </w:rPr>
              <w:t xml:space="preserve">§ 12 ; § 12.2</w:t>
            </w:r>
          </w:p>
        </w:tc>
      </w:tr>
      <w:tr>
        <w:tc>
          <w:tcPr/>
          <w:p>
            <w:pPr>
              <w:pStyle w:val="Compact"/>
              <w:spacing w:after="20" w:before="20" w:line="240" w:lineRule="auto"/>
              <w:jc w:val="left"/>
            </w:pPr>
            <w:r>
              <w:rPr>
                <w:sz w:val="17"/>
              </w:rPr>
              <w:t xml:space="preserve">17. MOSOLO Financial Constitution</w:t>
            </w:r>
          </w:p>
        </w:tc>
        <w:tc>
          <w:tcPr/>
          <w:p>
            <w:pPr>
              <w:pStyle w:val="Compact"/>
              <w:spacing w:after="20" w:before="20" w:line="240" w:lineRule="auto"/>
              <w:jc w:val="left"/>
            </w:pPr>
            <w:r>
              <w:rPr>
                <w:sz w:val="17"/>
              </w:rPr>
              <w:t xml:space="preserve">§ 12.3</w:t>
            </w:r>
          </w:p>
        </w:tc>
      </w:tr>
      <w:tr>
        <w:tc>
          <w:tcPr>
            <w:shd w:val="clear" w:color="auto" w:fill="F2F9F8"/>
          </w:tcPr>
          <w:p>
            <w:pPr>
              <w:pStyle w:val="Compact"/>
              <w:spacing w:after="20" w:before="20" w:line="240" w:lineRule="auto"/>
              <w:jc w:val="left"/>
            </w:pPr>
            <w:r>
              <w:rPr>
                <w:sz w:val="17"/>
              </w:rPr>
              <w:t xml:space="preserve">18. Anti-fraude et preuve</w:t>
            </w:r>
          </w:p>
        </w:tc>
        <w:tc>
          <w:tcPr>
            <w:shd w:val="clear" w:color="auto" w:fill="F2F9F8"/>
          </w:tcPr>
          <w:p>
            <w:pPr>
              <w:pStyle w:val="Compact"/>
              <w:spacing w:after="20" w:before="20" w:line="240" w:lineRule="auto"/>
              <w:jc w:val="left"/>
            </w:pPr>
            <w:r>
              <w:rPr>
                <w:sz w:val="17"/>
              </w:rPr>
              <w:t xml:space="preserve">§ 25</w:t>
            </w:r>
          </w:p>
        </w:tc>
      </w:tr>
      <w:tr>
        <w:tc>
          <w:tcPr/>
          <w:p>
            <w:pPr>
              <w:pStyle w:val="Compact"/>
              <w:spacing w:after="20" w:before="20" w:line="240" w:lineRule="auto"/>
              <w:jc w:val="left"/>
            </w:pPr>
            <w:r>
              <w:rPr>
                <w:sz w:val="17"/>
              </w:rPr>
              <w:t xml:space="preserve">19. Agents IA</w:t>
            </w:r>
          </w:p>
        </w:tc>
        <w:tc>
          <w:tcPr/>
          <w:p>
            <w:pPr>
              <w:pStyle w:val="Compact"/>
              <w:spacing w:after="20" w:before="20" w:line="240" w:lineRule="auto"/>
              <w:jc w:val="left"/>
            </w:pPr>
            <w:r>
              <w:rPr>
                <w:sz w:val="17"/>
              </w:rPr>
              <w:t xml:space="preserve">§ 23</w:t>
            </w:r>
          </w:p>
        </w:tc>
      </w:tr>
      <w:tr>
        <w:tc>
          <w:tcPr>
            <w:shd w:val="clear" w:color="auto" w:fill="F2F9F8"/>
          </w:tcPr>
          <w:p>
            <w:pPr>
              <w:pStyle w:val="Compact"/>
              <w:spacing w:after="20" w:before="20" w:line="240" w:lineRule="auto"/>
              <w:jc w:val="left"/>
            </w:pPr>
            <w:r>
              <w:rPr>
                <w:sz w:val="17"/>
              </w:rPr>
              <w:t xml:space="preserve">20. Garde-fous IA</w:t>
            </w:r>
          </w:p>
        </w:tc>
        <w:tc>
          <w:tcPr>
            <w:shd w:val="clear" w:color="auto" w:fill="F2F9F8"/>
          </w:tcPr>
          <w:p>
            <w:pPr>
              <w:pStyle w:val="Compact"/>
              <w:spacing w:after="20" w:before="20" w:line="240" w:lineRule="auto"/>
              <w:jc w:val="left"/>
            </w:pPr>
            <w:r>
              <w:rPr>
                <w:sz w:val="17"/>
              </w:rPr>
              <w:t xml:space="preserve">§ 23.1</w:t>
            </w:r>
          </w:p>
        </w:tc>
      </w:tr>
      <w:tr>
        <w:tc>
          <w:tcPr/>
          <w:p>
            <w:pPr>
              <w:pStyle w:val="Compact"/>
              <w:spacing w:after="20" w:before="20" w:line="240" w:lineRule="auto"/>
              <w:jc w:val="left"/>
            </w:pPr>
            <w:r>
              <w:rPr>
                <w:sz w:val="17"/>
              </w:rPr>
              <w:t xml:space="preserve">21. Learning Environment</w:t>
            </w:r>
          </w:p>
        </w:tc>
        <w:tc>
          <w:tcPr/>
          <w:p>
            <w:pPr>
              <w:pStyle w:val="Compact"/>
              <w:spacing w:after="20" w:before="20" w:line="240" w:lineRule="auto"/>
              <w:jc w:val="left"/>
            </w:pPr>
            <w:r>
              <w:rPr>
                <w:sz w:val="17"/>
              </w:rPr>
              <w:t xml:space="preserve">§ 24</w:t>
            </w:r>
          </w:p>
        </w:tc>
      </w:tr>
      <w:tr>
        <w:tc>
          <w:tcPr>
            <w:shd w:val="clear" w:color="auto" w:fill="F2F9F8"/>
          </w:tcPr>
          <w:p>
            <w:pPr>
              <w:pStyle w:val="Compact"/>
              <w:spacing w:after="20" w:before="20" w:line="240" w:lineRule="auto"/>
              <w:jc w:val="left"/>
            </w:pPr>
            <w:r>
              <w:rPr>
                <w:sz w:val="17"/>
              </w:rPr>
              <w:t xml:space="preserve">22. Command Centres</w:t>
            </w:r>
          </w:p>
        </w:tc>
        <w:tc>
          <w:tcPr>
            <w:shd w:val="clear" w:color="auto" w:fill="F2F9F8"/>
          </w:tcPr>
          <w:p>
            <w:pPr>
              <w:pStyle w:val="Compact"/>
              <w:spacing w:after="20" w:before="20" w:line="240" w:lineRule="auto"/>
              <w:jc w:val="left"/>
            </w:pPr>
            <w:r>
              <w:rPr>
                <w:sz w:val="17"/>
              </w:rPr>
              <w:t xml:space="preserve">§ 26</w:t>
            </w:r>
          </w:p>
        </w:tc>
      </w:tr>
      <w:tr>
        <w:tc>
          <w:tcPr/>
          <w:p>
            <w:pPr>
              <w:pStyle w:val="Compact"/>
              <w:spacing w:after="20" w:before="20" w:line="240" w:lineRule="auto"/>
              <w:jc w:val="left"/>
            </w:pPr>
            <w:r>
              <w:rPr>
                <w:sz w:val="17"/>
              </w:rPr>
              <w:t xml:space="preserve">23. Verticales MOSOLO</w:t>
            </w:r>
          </w:p>
        </w:tc>
        <w:tc>
          <w:tcPr/>
          <w:p>
            <w:pPr>
              <w:pStyle w:val="Compact"/>
              <w:spacing w:after="20" w:before="20" w:line="240" w:lineRule="auto"/>
              <w:jc w:val="left"/>
            </w:pPr>
            <w:r>
              <w:rPr>
                <w:sz w:val="17"/>
              </w:rPr>
              <w:t xml:space="preserve">§ 11.1</w:t>
            </w:r>
          </w:p>
        </w:tc>
      </w:tr>
      <w:tr>
        <w:tc>
          <w:tcPr>
            <w:shd w:val="clear" w:color="auto" w:fill="F2F9F8"/>
          </w:tcPr>
          <w:p>
            <w:pPr>
              <w:pStyle w:val="Compact"/>
              <w:spacing w:after="20" w:before="20" w:line="240" w:lineRule="auto"/>
              <w:jc w:val="left"/>
            </w:pPr>
            <w:r>
              <w:rPr>
                <w:sz w:val="17"/>
              </w:rPr>
              <w:t xml:space="preserve">24. Architecture cible</w:t>
            </w:r>
          </w:p>
        </w:tc>
        <w:tc>
          <w:tcPr>
            <w:shd w:val="clear" w:color="auto" w:fill="F2F9F8"/>
          </w:tcPr>
          <w:p>
            <w:pPr>
              <w:pStyle w:val="Compact"/>
              <w:spacing w:after="20" w:before="20" w:line="240" w:lineRule="auto"/>
              <w:jc w:val="left"/>
            </w:pPr>
            <w:r>
              <w:rPr>
                <w:sz w:val="17"/>
              </w:rPr>
              <w:t xml:space="preserve">§ 28</w:t>
            </w:r>
          </w:p>
        </w:tc>
      </w:tr>
      <w:tr>
        <w:tc>
          <w:tcPr/>
          <w:p>
            <w:pPr>
              <w:pStyle w:val="Compact"/>
              <w:spacing w:after="20" w:before="20" w:line="240" w:lineRule="auto"/>
              <w:jc w:val="left"/>
            </w:pPr>
            <w:r>
              <w:rPr>
                <w:sz w:val="17"/>
              </w:rPr>
              <w:t xml:space="preserve">25. Modèle de données</w:t>
            </w:r>
          </w:p>
        </w:tc>
        <w:tc>
          <w:tcPr/>
          <w:p>
            <w:pPr>
              <w:pStyle w:val="Compact"/>
              <w:spacing w:after="20" w:before="20" w:line="240" w:lineRule="auto"/>
              <w:jc w:val="left"/>
            </w:pPr>
            <w:r>
              <w:rPr>
                <w:sz w:val="17"/>
              </w:rPr>
              <w:t xml:space="preserve">§ 29.2</w:t>
            </w:r>
          </w:p>
        </w:tc>
      </w:tr>
      <w:tr>
        <w:tc>
          <w:tcPr>
            <w:shd w:val="clear" w:color="auto" w:fill="F2F9F8"/>
          </w:tcPr>
          <w:p>
            <w:pPr>
              <w:pStyle w:val="Compact"/>
              <w:spacing w:after="20" w:before="20" w:line="240" w:lineRule="auto"/>
              <w:jc w:val="left"/>
            </w:pPr>
            <w:r>
              <w:rPr>
                <w:sz w:val="17"/>
              </w:rPr>
              <w:t xml:space="preserve">26. API et intégrations</w:t>
            </w:r>
          </w:p>
        </w:tc>
        <w:tc>
          <w:tcPr>
            <w:shd w:val="clear" w:color="auto" w:fill="F2F9F8"/>
          </w:tcPr>
          <w:p>
            <w:pPr>
              <w:pStyle w:val="Compact"/>
              <w:spacing w:after="20" w:before="20" w:line="240" w:lineRule="auto"/>
              <w:jc w:val="left"/>
            </w:pPr>
            <w:r>
              <w:rPr>
                <w:sz w:val="17"/>
              </w:rPr>
              <w:t xml:space="preserve">§ 30.1</w:t>
            </w:r>
          </w:p>
        </w:tc>
      </w:tr>
      <w:tr>
        <w:tc>
          <w:tcPr/>
          <w:p>
            <w:pPr>
              <w:pStyle w:val="Compact"/>
              <w:spacing w:after="20" w:before="20" w:line="240" w:lineRule="auto"/>
              <w:jc w:val="left"/>
            </w:pPr>
            <w:r>
              <w:rPr>
                <w:sz w:val="17"/>
              </w:rPr>
              <w:t xml:space="preserve">27. Sécurité et souveraineté</w:t>
            </w:r>
          </w:p>
        </w:tc>
        <w:tc>
          <w:tcPr/>
          <w:p>
            <w:pPr>
              <w:pStyle w:val="Compact"/>
              <w:spacing w:after="20" w:before="20" w:line="240" w:lineRule="auto"/>
              <w:jc w:val="left"/>
            </w:pPr>
            <w:r>
              <w:rPr>
                <w:sz w:val="17"/>
              </w:rPr>
              <w:t xml:space="preserve">§ 31 ; § 33</w:t>
            </w:r>
          </w:p>
        </w:tc>
      </w:tr>
      <w:tr>
        <w:tc>
          <w:tcPr>
            <w:shd w:val="clear" w:color="auto" w:fill="F2F9F8"/>
          </w:tcPr>
          <w:p>
            <w:pPr>
              <w:pStyle w:val="Compact"/>
              <w:spacing w:after="20" w:before="20" w:line="240" w:lineRule="auto"/>
              <w:jc w:val="left"/>
            </w:pPr>
            <w:r>
              <w:rPr>
                <w:sz w:val="17"/>
              </w:rPr>
              <w:t xml:space="preserve">28. Gouvernance des données</w:t>
            </w:r>
          </w:p>
        </w:tc>
        <w:tc>
          <w:tcPr>
            <w:shd w:val="clear" w:color="auto" w:fill="F2F9F8"/>
          </w:tcPr>
          <w:p>
            <w:pPr>
              <w:pStyle w:val="Compact"/>
              <w:spacing w:after="20" w:before="20" w:line="240" w:lineRule="auto"/>
              <w:jc w:val="left"/>
            </w:pPr>
            <w:r>
              <w:rPr>
                <w:sz w:val="17"/>
              </w:rPr>
              <w:t xml:space="preserve">§ 32</w:t>
            </w:r>
          </w:p>
        </w:tc>
      </w:tr>
      <w:tr>
        <w:tc>
          <w:tcPr/>
          <w:p>
            <w:pPr>
              <w:pStyle w:val="Compact"/>
              <w:spacing w:after="20" w:before="20" w:line="240" w:lineRule="auto"/>
              <w:jc w:val="left"/>
            </w:pPr>
            <w:r>
              <w:rPr>
                <w:sz w:val="17"/>
              </w:rPr>
              <w:t xml:space="preserve">29. Allocation et planification publique</w:t>
            </w:r>
          </w:p>
        </w:tc>
        <w:tc>
          <w:tcPr/>
          <w:p>
            <w:pPr>
              <w:pStyle w:val="Compact"/>
              <w:spacing w:after="20" w:before="20" w:line="240" w:lineRule="auto"/>
              <w:jc w:val="left"/>
            </w:pPr>
            <w:r>
              <w:rPr>
                <w:sz w:val="17"/>
              </w:rPr>
              <w:t xml:space="preserve">§ 27</w:t>
            </w:r>
          </w:p>
        </w:tc>
      </w:tr>
      <w:tr>
        <w:tc>
          <w:tcPr>
            <w:shd w:val="clear" w:color="auto" w:fill="F2F9F8"/>
          </w:tcPr>
          <w:p>
            <w:pPr>
              <w:pStyle w:val="Compact"/>
              <w:spacing w:after="20" w:before="20" w:line="240" w:lineRule="auto"/>
              <w:jc w:val="left"/>
            </w:pPr>
            <w:r>
              <w:rPr>
                <w:sz w:val="17"/>
              </w:rPr>
              <w:t xml:space="preserve">30. Procurement et modèle commercial</w:t>
            </w:r>
          </w:p>
        </w:tc>
        <w:tc>
          <w:tcPr>
            <w:shd w:val="clear" w:color="auto" w:fill="F2F9F8"/>
          </w:tcPr>
          <w:p>
            <w:pPr>
              <w:pStyle w:val="Compact"/>
              <w:spacing w:after="20" w:before="20" w:line="240" w:lineRule="auto"/>
              <w:jc w:val="left"/>
            </w:pPr>
            <w:r>
              <w:rPr>
                <w:sz w:val="17"/>
              </w:rPr>
              <w:t xml:space="preserve">§ 37</w:t>
            </w:r>
          </w:p>
        </w:tc>
      </w:tr>
      <w:tr>
        <w:tc>
          <w:tcPr/>
          <w:p>
            <w:pPr>
              <w:pStyle w:val="Compact"/>
              <w:spacing w:after="20" w:before="20" w:line="240" w:lineRule="auto"/>
              <w:jc w:val="left"/>
            </w:pPr>
            <w:r>
              <w:rPr>
                <w:sz w:val="17"/>
              </w:rPr>
              <w:t xml:space="preserve">31. Pilotage 180 jours</w:t>
            </w:r>
          </w:p>
        </w:tc>
        <w:tc>
          <w:tcPr/>
          <w:p>
            <w:pPr>
              <w:pStyle w:val="Compact"/>
              <w:spacing w:after="20" w:before="20" w:line="240" w:lineRule="auto"/>
              <w:jc w:val="left"/>
            </w:pPr>
            <w:r>
              <w:rPr>
                <w:sz w:val="17"/>
              </w:rPr>
              <w:t xml:space="preserve">§ 45.5</w:t>
            </w:r>
          </w:p>
        </w:tc>
      </w:tr>
      <w:tr>
        <w:tc>
          <w:tcPr>
            <w:shd w:val="clear" w:color="auto" w:fill="F2F9F8"/>
          </w:tcPr>
          <w:p>
            <w:pPr>
              <w:pStyle w:val="Compact"/>
              <w:spacing w:after="20" w:before="20" w:line="240" w:lineRule="auto"/>
              <w:jc w:val="left"/>
            </w:pPr>
            <w:r>
              <w:rPr>
                <w:sz w:val="17"/>
              </w:rPr>
              <w:t xml:space="preserve">32. KPI</w:t>
            </w:r>
          </w:p>
        </w:tc>
        <w:tc>
          <w:tcPr>
            <w:shd w:val="clear" w:color="auto" w:fill="F2F9F8"/>
          </w:tcPr>
          <w:p>
            <w:pPr>
              <w:pStyle w:val="Compact"/>
              <w:spacing w:after="20" w:before="20" w:line="240" w:lineRule="auto"/>
              <w:jc w:val="left"/>
            </w:pPr>
            <w:r>
              <w:rPr>
                <w:sz w:val="17"/>
              </w:rPr>
              <w:t xml:space="preserve">§ 39</w:t>
            </w:r>
          </w:p>
        </w:tc>
      </w:tr>
      <w:tr>
        <w:tc>
          <w:tcPr/>
          <w:p>
            <w:pPr>
              <w:pStyle w:val="Compact"/>
              <w:spacing w:after="20" w:before="20" w:line="240" w:lineRule="auto"/>
              <w:jc w:val="left"/>
            </w:pPr>
            <w:r>
              <w:rPr>
                <w:sz w:val="17"/>
              </w:rPr>
              <w:t xml:space="preserve">33. Scénarios financiers</w:t>
            </w:r>
          </w:p>
        </w:tc>
        <w:tc>
          <w:tcPr/>
          <w:p>
            <w:pPr>
              <w:pStyle w:val="Compact"/>
              <w:spacing w:after="20" w:before="20" w:line="240" w:lineRule="auto"/>
              <w:jc w:val="left"/>
            </w:pPr>
            <w:r>
              <w:rPr>
                <w:sz w:val="17"/>
              </w:rPr>
              <w:t xml:space="preserve">§ 38</w:t>
            </w:r>
          </w:p>
        </w:tc>
      </w:tr>
      <w:tr>
        <w:tc>
          <w:tcPr>
            <w:shd w:val="clear" w:color="auto" w:fill="F2F9F8"/>
          </w:tcPr>
          <w:p>
            <w:pPr>
              <w:pStyle w:val="Compact"/>
              <w:spacing w:after="20" w:before="20" w:line="240" w:lineRule="auto"/>
              <w:jc w:val="left"/>
            </w:pPr>
            <w:r>
              <w:rPr>
                <w:sz w:val="17"/>
              </w:rPr>
              <w:t xml:space="preserve">34. Plan 100 jours</w:t>
            </w:r>
          </w:p>
        </w:tc>
        <w:tc>
          <w:tcPr>
            <w:shd w:val="clear" w:color="auto" w:fill="F2F9F8"/>
          </w:tcPr>
          <w:p>
            <w:pPr>
              <w:pStyle w:val="Compact"/>
              <w:spacing w:after="20" w:before="20" w:line="240" w:lineRule="auto"/>
              <w:jc w:val="left"/>
            </w:pPr>
            <w:r>
              <w:rPr>
                <w:sz w:val="17"/>
              </w:rPr>
              <w:t xml:space="preserve">§ 46</w:t>
            </w:r>
          </w:p>
        </w:tc>
      </w:tr>
      <w:tr>
        <w:tc>
          <w:tcPr/>
          <w:p>
            <w:pPr>
              <w:pStyle w:val="Compact"/>
              <w:spacing w:after="20" w:before="20" w:line="240" w:lineRule="auto"/>
              <w:jc w:val="left"/>
            </w:pPr>
            <w:r>
              <w:rPr>
                <w:sz w:val="17"/>
              </w:rPr>
              <w:t xml:space="preserve">35. Roadmap 24 mois</w:t>
            </w:r>
          </w:p>
        </w:tc>
        <w:tc>
          <w:tcPr/>
          <w:p>
            <w:pPr>
              <w:pStyle w:val="Compact"/>
              <w:spacing w:after="20" w:before="20" w:line="240" w:lineRule="auto"/>
              <w:jc w:val="left"/>
            </w:pPr>
            <w:r>
              <w:rPr>
                <w:sz w:val="17"/>
              </w:rPr>
              <w:t xml:space="preserve">§ 34.3</w:t>
            </w:r>
          </w:p>
        </w:tc>
      </w:tr>
      <w:tr>
        <w:tc>
          <w:tcPr>
            <w:shd w:val="clear" w:color="auto" w:fill="F2F9F8"/>
          </w:tcPr>
          <w:p>
            <w:pPr>
              <w:pStyle w:val="Compact"/>
              <w:spacing w:after="20" w:before="20" w:line="240" w:lineRule="auto"/>
              <w:jc w:val="left"/>
            </w:pPr>
            <w:r>
              <w:rPr>
                <w:sz w:val="17"/>
              </w:rPr>
              <w:t xml:space="preserve">36. Critères d’acceptation</w:t>
            </w:r>
          </w:p>
        </w:tc>
        <w:tc>
          <w:tcPr>
            <w:shd w:val="clear" w:color="auto" w:fill="F2F9F8"/>
          </w:tcPr>
          <w:p>
            <w:pPr>
              <w:pStyle w:val="Compact"/>
              <w:spacing w:after="20" w:before="20" w:line="240" w:lineRule="auto"/>
              <w:jc w:val="left"/>
            </w:pPr>
            <w:r>
              <w:rPr>
                <w:sz w:val="17"/>
              </w:rPr>
              <w:t xml:space="preserve">§ 41</w:t>
            </w:r>
          </w:p>
        </w:tc>
      </w:tr>
      <w:tr>
        <w:tc>
          <w:tcPr/>
          <w:p>
            <w:pPr>
              <w:pStyle w:val="Compact"/>
              <w:spacing w:after="20" w:before="20" w:line="240" w:lineRule="auto"/>
              <w:jc w:val="left"/>
            </w:pPr>
            <w:r>
              <w:rPr>
                <w:sz w:val="17"/>
              </w:rPr>
              <w:t xml:space="preserve">37. Décisions requises du Gouverneur</w:t>
            </w:r>
          </w:p>
        </w:tc>
        <w:tc>
          <w:tcPr/>
          <w:p>
            <w:pPr>
              <w:pStyle w:val="Compact"/>
              <w:spacing w:after="20" w:before="20" w:line="240" w:lineRule="auto"/>
              <w:jc w:val="left"/>
            </w:pPr>
            <w:r>
              <w:rPr>
                <w:sz w:val="17"/>
              </w:rPr>
              <w:t xml:space="preserve">§ 47.1 ; § 47.3</w:t>
            </w:r>
          </w:p>
        </w:tc>
      </w:tr>
      <w:tr>
        <w:tc>
          <w:tcPr>
            <w:shd w:val="clear" w:color="auto" w:fill="F2F9F8"/>
          </w:tcPr>
          <w:p>
            <w:pPr>
              <w:pStyle w:val="Compact"/>
              <w:spacing w:after="20" w:before="20" w:line="240" w:lineRule="auto"/>
              <w:jc w:val="left"/>
            </w:pPr>
            <w:r>
              <w:rPr>
                <w:sz w:val="17"/>
              </w:rPr>
              <w:t xml:space="preserve">Annexe A — Matrice de priorité du pilote</w:t>
            </w:r>
          </w:p>
        </w:tc>
        <w:tc>
          <w:tcPr>
            <w:shd w:val="clear" w:color="auto" w:fill="F2F9F8"/>
          </w:tcPr>
          <w:p>
            <w:pPr>
              <w:pStyle w:val="Compact"/>
              <w:spacing w:after="20" w:before="20" w:line="240" w:lineRule="auto"/>
              <w:jc w:val="left"/>
            </w:pPr>
            <w:r>
              <w:rPr>
                <w:sz w:val="17"/>
              </w:rPr>
              <w:t xml:space="preserve">§ 45.4</w:t>
            </w:r>
          </w:p>
        </w:tc>
      </w:tr>
      <w:tr>
        <w:tc>
          <w:tcPr/>
          <w:p>
            <w:pPr>
              <w:pStyle w:val="Compact"/>
              <w:spacing w:after="20" w:before="20" w:line="240" w:lineRule="auto"/>
              <w:jc w:val="left"/>
            </w:pPr>
            <w:r>
              <w:rPr>
                <w:sz w:val="17"/>
              </w:rPr>
              <w:t xml:space="preserve">Annexe B — Exemple d’API</w:t>
            </w:r>
          </w:p>
        </w:tc>
        <w:tc>
          <w:tcPr/>
          <w:p>
            <w:pPr>
              <w:pStyle w:val="Compact"/>
              <w:spacing w:after="20" w:before="20" w:line="240" w:lineRule="auto"/>
              <w:jc w:val="left"/>
            </w:pPr>
            <w:r>
              <w:rPr>
                <w:sz w:val="17"/>
              </w:rPr>
              <w:t xml:space="preserve">§ 30.3</w:t>
            </w:r>
          </w:p>
        </w:tc>
      </w:tr>
      <w:tr>
        <w:tc>
          <w:tcPr>
            <w:shd w:val="clear" w:color="auto" w:fill="F2F9F8"/>
          </w:tcPr>
          <w:p>
            <w:pPr>
              <w:pStyle w:val="Compact"/>
              <w:spacing w:after="20" w:before="20" w:line="240" w:lineRule="auto"/>
              <w:jc w:val="left"/>
            </w:pPr>
            <w:r>
              <w:rPr>
                <w:sz w:val="17"/>
              </w:rPr>
              <w:t xml:space="preserve">Annexe C — User stories et critères</w:t>
            </w:r>
          </w:p>
        </w:tc>
        <w:tc>
          <w:tcPr>
            <w:shd w:val="clear" w:color="auto" w:fill="F2F9F8"/>
          </w:tcPr>
          <w:p>
            <w:pPr>
              <w:pStyle w:val="Compact"/>
              <w:spacing w:after="20" w:before="20" w:line="240" w:lineRule="auto"/>
              <w:jc w:val="left"/>
            </w:pPr>
            <w:r>
              <w:rPr>
                <w:sz w:val="17"/>
              </w:rPr>
              <w:t xml:space="preserve">§ 13.6 ; § 15.4 ; § 20.1 ; § 42.1</w:t>
            </w:r>
          </w:p>
        </w:tc>
      </w:tr>
      <w:tr>
        <w:tc>
          <w:tcPr/>
          <w:p>
            <w:pPr>
              <w:pStyle w:val="Compact"/>
              <w:spacing w:after="20" w:before="20" w:line="240" w:lineRule="auto"/>
              <w:jc w:val="left"/>
            </w:pPr>
            <w:r>
              <w:rPr>
                <w:sz w:val="17"/>
              </w:rPr>
              <w:t xml:space="preserve">Conclusion</w:t>
            </w:r>
          </w:p>
        </w:tc>
        <w:tc>
          <w:tcPr/>
          <w:p>
            <w:pPr>
              <w:pStyle w:val="Compact"/>
              <w:spacing w:after="20" w:before="20" w:line="240" w:lineRule="auto"/>
              <w:jc w:val="left"/>
            </w:pPr>
            <w:r>
              <w:rPr>
                <w:sz w:val="17"/>
              </w:rPr>
              <w:t xml:space="preserve">§ 47.4</w:t>
            </w:r>
          </w:p>
        </w:tc>
      </w:tr>
    </w:tbl>
    <w:p>
      <w:pPr>
        <w:pStyle w:val="BodyText"/>
      </w:pPr>
      <w:r>
        <w:rPr>
          <w:b/>
          <w:bCs/>
        </w:rPr>
        <w:t xml:space="preserve">S4 — Note exécutive au Gouverneur du 24 septembre 2026</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Élément S4</w:t>
            </w:r>
          </w:p>
        </w:tc>
        <w:tc>
          <w:tcPr>
            <w:shd w:val="clear" w:color="auto" w:fill="1BA996"/>
          </w:tcPr>
          <w:p>
            <w:pPr>
              <w:pStyle w:val="Compact"/>
              <w:spacing w:after="20" w:before="20" w:line="240" w:lineRule="auto"/>
              <w:jc w:val="left"/>
            </w:pPr>
            <w:r>
              <w:rPr>
                <w:b/>
                <w:color w:val="FFFFFF"/>
                <w:sz w:val="17"/>
              </w:rPr>
              <w:t xml:space="preserve">Section consolidée</w:t>
            </w:r>
          </w:p>
        </w:tc>
      </w:tr>
      <w:tr>
        <w:tc>
          <w:tcPr/>
          <w:p>
            <w:pPr>
              <w:pStyle w:val="Compact"/>
              <w:spacing w:after="20" w:before="20" w:line="240" w:lineRule="auto"/>
              <w:jc w:val="left"/>
            </w:pPr>
            <w:r>
              <w:rPr>
                <w:sz w:val="17"/>
              </w:rPr>
              <w:t xml:space="preserve">Devise, constat budgétaire, « ce qui n’est pas vu n’est pas liquidé »</w:t>
            </w:r>
          </w:p>
        </w:tc>
        <w:tc>
          <w:tcPr/>
          <w:p>
            <w:pPr>
              <w:pStyle w:val="Compact"/>
              <w:spacing w:after="20" w:before="20" w:line="240" w:lineRule="auto"/>
              <w:jc w:val="left"/>
            </w:pPr>
            <w:r>
              <w:rPr>
                <w:sz w:val="17"/>
              </w:rPr>
              <w:t xml:space="preserve">Note exécutive</w:t>
            </w:r>
          </w:p>
        </w:tc>
      </w:tr>
      <w:tr>
        <w:tc>
          <w:tcPr>
            <w:shd w:val="clear" w:color="auto" w:fill="F2F9F8"/>
          </w:tcPr>
          <w:p>
            <w:pPr>
              <w:pStyle w:val="Compact"/>
              <w:spacing w:after="20" w:before="20" w:line="240" w:lineRule="auto"/>
              <w:jc w:val="left"/>
            </w:pPr>
            <w:r>
              <w:rPr>
                <w:sz w:val="17"/>
              </w:rPr>
              <w:t xml:space="preserve">Le constat est déjà établi (TADAT, contrat de performance, gisement)</w:t>
            </w:r>
          </w:p>
        </w:tc>
        <w:tc>
          <w:tcPr>
            <w:shd w:val="clear" w:color="auto" w:fill="F2F9F8"/>
          </w:tcPr>
          <w:p>
            <w:pPr>
              <w:pStyle w:val="Compact"/>
              <w:spacing w:after="20" w:before="20" w:line="240" w:lineRule="auto"/>
              <w:jc w:val="left"/>
            </w:pPr>
            <w:r>
              <w:rPr>
                <w:sz w:val="17"/>
              </w:rPr>
              <w:t xml:space="preserve">Note exécutive ; § 2</w:t>
            </w:r>
          </w:p>
        </w:tc>
      </w:tr>
      <w:tr>
        <w:tc>
          <w:tcPr/>
          <w:p>
            <w:pPr>
              <w:pStyle w:val="Compact"/>
              <w:spacing w:after="20" w:before="20" w:line="240" w:lineRule="auto"/>
              <w:jc w:val="left"/>
            </w:pPr>
            <w:r>
              <w:rPr>
                <w:sz w:val="17"/>
              </w:rPr>
              <w:t xml:space="preserve">Ce que KINSHASA MOSOLO apporte (cinq apports)</w:t>
            </w:r>
          </w:p>
        </w:tc>
        <w:tc>
          <w:tcPr/>
          <w:p>
            <w:pPr>
              <w:pStyle w:val="Compact"/>
              <w:spacing w:after="20" w:before="20" w:line="240" w:lineRule="auto"/>
              <w:jc w:val="left"/>
            </w:pPr>
            <w:r>
              <w:rPr>
                <w:sz w:val="17"/>
              </w:rPr>
              <w:t xml:space="preserve">Note exécutive — Ce que MOSOLO change concrètement</w:t>
            </w:r>
          </w:p>
        </w:tc>
      </w:tr>
      <w:tr>
        <w:tc>
          <w:tcPr>
            <w:shd w:val="clear" w:color="auto" w:fill="F2F9F8"/>
          </w:tcPr>
          <w:p>
            <w:pPr>
              <w:pStyle w:val="Compact"/>
              <w:spacing w:after="20" w:before="20" w:line="240" w:lineRule="auto"/>
              <w:jc w:val="left"/>
            </w:pPr>
            <w:r>
              <w:rPr>
                <w:sz w:val="17"/>
              </w:rPr>
              <w:t xml:space="preserve">Alerte juridique (Ordonnance-loi n° 13/001, taux IRL de 22 %)</w:t>
            </w:r>
          </w:p>
        </w:tc>
        <w:tc>
          <w:tcPr>
            <w:shd w:val="clear" w:color="auto" w:fill="F2F9F8"/>
          </w:tcPr>
          <w:p>
            <w:pPr>
              <w:pStyle w:val="Compact"/>
              <w:spacing w:after="20" w:before="20" w:line="240" w:lineRule="auto"/>
              <w:jc w:val="left"/>
            </w:pPr>
            <w:r>
              <w:rPr>
                <w:sz w:val="17"/>
              </w:rPr>
              <w:t xml:space="preserve">Note exécutive ; § 1 ; § 16.2</w:t>
            </w:r>
          </w:p>
        </w:tc>
      </w:tr>
      <w:tr>
        <w:tc>
          <w:tcPr/>
          <w:p>
            <w:pPr>
              <w:pStyle w:val="Compact"/>
              <w:spacing w:after="20" w:before="20" w:line="240" w:lineRule="auto"/>
              <w:jc w:val="left"/>
            </w:pPr>
            <w:r>
              <w:rPr>
                <w:sz w:val="17"/>
              </w:rPr>
              <w:t xml:space="preserve">Décision demandée (tableau en cinq lignes)</w:t>
            </w:r>
          </w:p>
        </w:tc>
        <w:tc>
          <w:tcPr/>
          <w:p>
            <w:pPr>
              <w:pStyle w:val="Compact"/>
              <w:spacing w:after="20" w:before="20" w:line="240" w:lineRule="auto"/>
              <w:jc w:val="left"/>
            </w:pPr>
            <w:r>
              <w:rPr>
                <w:sz w:val="17"/>
              </w:rPr>
              <w:t xml:space="preserve">Note exécutive ; § 47</w:t>
            </w:r>
          </w:p>
        </w:tc>
      </w:tr>
      <w:tr>
        <w:tc>
          <w:tcPr>
            <w:shd w:val="clear" w:color="auto" w:fill="F2F9F8"/>
          </w:tcPr>
          <w:p>
            <w:pPr>
              <w:pStyle w:val="Compact"/>
              <w:spacing w:after="20" w:before="20" w:line="240" w:lineRule="auto"/>
              <w:jc w:val="left"/>
            </w:pPr>
            <w:r>
              <w:rPr>
                <w:sz w:val="17"/>
              </w:rPr>
              <w:t xml:space="preserve">Calendrier (recensement avant l’échéance de février)</w:t>
            </w:r>
          </w:p>
        </w:tc>
        <w:tc>
          <w:tcPr>
            <w:shd w:val="clear" w:color="auto" w:fill="F2F9F8"/>
          </w:tcPr>
          <w:p>
            <w:pPr>
              <w:pStyle w:val="Compact"/>
              <w:spacing w:after="20" w:before="20" w:line="240" w:lineRule="auto"/>
              <w:jc w:val="left"/>
            </w:pPr>
            <w:r>
              <w:rPr>
                <w:sz w:val="17"/>
              </w:rPr>
              <w:t xml:space="preserve">Note exécutive ; § 45.2</w:t>
            </w:r>
          </w:p>
        </w:tc>
      </w:tr>
    </w:tbl>
    <w:p>
      <w:pPr>
        <w:pStyle w:val="BodyText"/>
      </w:pPr>
      <w:r>
        <w:rPr>
          <w:b/>
          <w:bCs/>
        </w:rPr>
        <w:t xml:space="preserve">Version 2.1 — compléments demandés après revue</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Question soulevée</w:t>
            </w:r>
          </w:p>
        </w:tc>
        <w:tc>
          <w:tcPr>
            <w:shd w:val="clear" w:color="auto" w:fill="1BA996"/>
          </w:tcPr>
          <w:p>
            <w:pPr>
              <w:pStyle w:val="Compact"/>
              <w:spacing w:after="20" w:before="20" w:line="240" w:lineRule="auto"/>
              <w:jc w:val="left"/>
            </w:pPr>
            <w:r>
              <w:rPr>
                <w:b/>
                <w:color w:val="FFFFFF"/>
                <w:sz w:val="17"/>
              </w:rPr>
              <w:t xml:space="preserve">Réponse dans le document</w:t>
            </w:r>
          </w:p>
        </w:tc>
      </w:tr>
      <w:tr>
        <w:tc>
          <w:tcPr/>
          <w:p>
            <w:pPr>
              <w:pStyle w:val="Compact"/>
              <w:spacing w:after="20" w:before="20" w:line="240" w:lineRule="auto"/>
              <w:jc w:val="left"/>
            </w:pPr>
            <w:r>
              <w:rPr>
                <w:sz w:val="17"/>
              </w:rPr>
              <w:t xml:space="preserve">Enregistrement des personnes ne sachant pas lire ou écrire, sans smartphone, sans Internet ou avec un Internet lent</w:t>
            </w:r>
          </w:p>
        </w:tc>
        <w:tc>
          <w:tcPr/>
          <w:p>
            <w:pPr>
              <w:pStyle w:val="Compact"/>
              <w:spacing w:after="20" w:before="20" w:line="240" w:lineRule="auto"/>
              <w:jc w:val="left"/>
            </w:pPr>
            <w:r>
              <w:rPr>
                <w:sz w:val="17"/>
              </w:rPr>
              <w:t xml:space="preserve">Chapitre 13A ; § 9.2 (niveau N0-A) ; modules 63 à 65</w:t>
            </w:r>
          </w:p>
        </w:tc>
      </w:tr>
      <w:tr>
        <w:tc>
          <w:tcPr>
            <w:shd w:val="clear" w:color="auto" w:fill="F2F9F8"/>
          </w:tcPr>
          <w:p>
            <w:pPr>
              <w:pStyle w:val="Compact"/>
              <w:spacing w:after="20" w:before="20" w:line="240" w:lineRule="auto"/>
              <w:jc w:val="left"/>
            </w:pPr>
            <w:r>
              <w:rPr>
                <w:sz w:val="17"/>
              </w:rPr>
              <w:t xml:space="preserve">Comment payer, où payer, par qui (contribuable, agent ou combiné)</w:t>
            </w:r>
          </w:p>
        </w:tc>
        <w:tc>
          <w:tcPr>
            <w:shd w:val="clear" w:color="auto" w:fill="F2F9F8"/>
          </w:tcPr>
          <w:p>
            <w:pPr>
              <w:pStyle w:val="Compact"/>
              <w:spacing w:after="20" w:before="20" w:line="240" w:lineRule="auto"/>
              <w:jc w:val="left"/>
            </w:pPr>
            <w:r>
              <w:rPr>
                <w:sz w:val="17"/>
              </w:rPr>
              <w:t xml:space="preserve">§ 18A.1 à 18A.3 ; § 18.1 (définition des agents agréés) ; module 66</w:t>
            </w:r>
          </w:p>
        </w:tc>
      </w:tr>
      <w:tr>
        <w:tc>
          <w:tcPr/>
          <w:p>
            <w:pPr>
              <w:pStyle w:val="Compact"/>
              <w:spacing w:after="20" w:before="20" w:line="240" w:lineRule="auto"/>
              <w:jc w:val="left"/>
            </w:pPr>
            <w:r>
              <w:rPr>
                <w:sz w:val="17"/>
              </w:rPr>
              <w:t xml:space="preserve">Preuve de paiement produite</w:t>
            </w:r>
          </w:p>
        </w:tc>
        <w:tc>
          <w:tcPr/>
          <w:p>
            <w:pPr>
              <w:pStyle w:val="Compact"/>
              <w:spacing w:after="20" w:before="20" w:line="240" w:lineRule="auto"/>
              <w:jc w:val="left"/>
            </w:pPr>
            <w:r>
              <w:rPr>
                <w:sz w:val="17"/>
              </w:rPr>
              <w:t xml:space="preserve">§ 18A.4 ; § 19</w:t>
            </w:r>
          </w:p>
        </w:tc>
      </w:tr>
      <w:tr>
        <w:tc>
          <w:tcPr>
            <w:shd w:val="clear" w:color="auto" w:fill="F2F9F8"/>
          </w:tcPr>
          <w:p>
            <w:pPr>
              <w:pStyle w:val="Compact"/>
              <w:spacing w:after="20" w:before="20" w:line="240" w:lineRule="auto"/>
              <w:jc w:val="left"/>
            </w:pPr>
            <w:r>
              <w:rPr>
                <w:sz w:val="17"/>
              </w:rPr>
              <w:t xml:space="preserve">Ce qui est vérifié, par qui et comment ; authenticité de la preuve</w:t>
            </w:r>
          </w:p>
        </w:tc>
        <w:tc>
          <w:tcPr>
            <w:shd w:val="clear" w:color="auto" w:fill="F2F9F8"/>
          </w:tcPr>
          <w:p>
            <w:pPr>
              <w:pStyle w:val="Compact"/>
              <w:spacing w:after="20" w:before="20" w:line="240" w:lineRule="auto"/>
              <w:jc w:val="left"/>
            </w:pPr>
            <w:r>
              <w:rPr>
                <w:sz w:val="17"/>
              </w:rPr>
              <w:t xml:space="preserve">§ 18A.5 ; § 18A.6 ; module 68</w:t>
            </w:r>
          </w:p>
        </w:tc>
      </w:tr>
      <w:tr>
        <w:tc>
          <w:tcPr/>
          <w:p>
            <w:pPr>
              <w:pStyle w:val="Compact"/>
              <w:spacing w:after="20" w:before="20" w:line="240" w:lineRule="auto"/>
              <w:jc w:val="left"/>
            </w:pPr>
            <w:r>
              <w:rPr>
                <w:sz w:val="17"/>
              </w:rPr>
              <w:t xml:space="preserve">Lutte contre la fraude et verrouillage des fuites d’argent</w:t>
            </w:r>
          </w:p>
        </w:tc>
        <w:tc>
          <w:tcPr/>
          <w:p>
            <w:pPr>
              <w:pStyle w:val="Compact"/>
              <w:spacing w:after="20" w:before="20" w:line="240" w:lineRule="auto"/>
              <w:jc w:val="left"/>
            </w:pPr>
            <w:r>
              <w:rPr>
                <w:sz w:val="17"/>
              </w:rPr>
              <w:t xml:space="preserve">§ 18A.7 ; § 18A.8 ; § 25 ; module 69</w:t>
            </w:r>
          </w:p>
        </w:tc>
      </w:tr>
      <w:tr>
        <w:tc>
          <w:tcPr>
            <w:shd w:val="clear" w:color="auto" w:fill="F2F9F8"/>
          </w:tcPr>
          <w:p>
            <w:pPr>
              <w:pStyle w:val="Compact"/>
              <w:spacing w:after="20" w:before="20" w:line="240" w:lineRule="auto"/>
              <w:jc w:val="left"/>
            </w:pPr>
            <w:r>
              <w:rPr>
                <w:sz w:val="17"/>
              </w:rPr>
              <w:t xml:space="preserve">Sous-traitants pouvant s’inscrire et gérer plusieurs agents ; responsables de module gérant plusieurs agents</w:t>
            </w:r>
          </w:p>
        </w:tc>
        <w:tc>
          <w:tcPr>
            <w:shd w:val="clear" w:color="auto" w:fill="F2F9F8"/>
          </w:tcPr>
          <w:p>
            <w:pPr>
              <w:pStyle w:val="Compact"/>
              <w:spacing w:after="20" w:before="20" w:line="240" w:lineRule="auto"/>
              <w:jc w:val="left"/>
            </w:pPr>
            <w:r>
              <w:rPr>
                <w:sz w:val="17"/>
              </w:rPr>
              <w:t xml:space="preserve">Chapitre 15A ; § 12.4 ; § 37 ; module 67</w:t>
            </w:r>
          </w:p>
        </w:tc>
      </w:tr>
      <w:tr>
        <w:tc>
          <w:tcPr/>
          <w:p>
            <w:pPr>
              <w:pStyle w:val="Compact"/>
              <w:spacing w:after="20" w:before="20" w:line="240" w:lineRule="auto"/>
              <w:jc w:val="left"/>
            </w:pPr>
            <w:r>
              <w:rPr>
                <w:sz w:val="17"/>
              </w:rPr>
              <w:t xml:space="preserve">Mises à jour transverses</w:t>
            </w:r>
          </w:p>
        </w:tc>
        <w:tc>
          <w:tcPr/>
          <w:p>
            <w:pPr>
              <w:pStyle w:val="Compact"/>
              <w:spacing w:after="20" w:before="20" w:line="240" w:lineRule="auto"/>
              <w:jc w:val="left"/>
            </w:pPr>
            <w:r>
              <w:rPr>
                <w:sz w:val="17"/>
              </w:rPr>
              <w:t xml:space="preserve">§ 30.4 (API) ; § 39 et § 40 (indicateurs, risques) ; § 41 (critères) ; § 42.3 et § 42.4 (backlog) ; § 44 (tests) ; § 45.6 (pilote) ; § 47.3 (décisions 10 à 13) ; Annexe B (points 12 à 15) ; Annexe C</w:t>
            </w:r>
          </w:p>
        </w:tc>
      </w:tr>
    </w:tbl>
    <w:p>
      <w:pPr>
        <w:pStyle w:val="BodyText"/>
      </w:pPr>
      <w:r>
        <w:rPr>
          <w:b/>
          <w:bCs/>
        </w:rPr>
        <w:t xml:space="preserve">Version 2.2 — coexistence des entités et titres à durée de validité</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Question soulevée</w:t>
            </w:r>
          </w:p>
        </w:tc>
        <w:tc>
          <w:tcPr>
            <w:shd w:val="clear" w:color="auto" w:fill="1BA996"/>
          </w:tcPr>
          <w:p>
            <w:pPr>
              <w:pStyle w:val="Compact"/>
              <w:spacing w:after="20" w:before="20" w:line="240" w:lineRule="auto"/>
              <w:jc w:val="left"/>
            </w:pPr>
            <w:r>
              <w:rPr>
                <w:b/>
                <w:color w:val="FFFFFF"/>
                <w:sz w:val="17"/>
              </w:rPr>
              <w:t xml:space="preserve">Réponse dans le document</w:t>
            </w:r>
          </w:p>
        </w:tc>
      </w:tr>
      <w:tr>
        <w:tc>
          <w:tcPr/>
          <w:p>
            <w:pPr>
              <w:pStyle w:val="Compact"/>
              <w:spacing w:after="20" w:before="20" w:line="240" w:lineRule="auto"/>
              <w:jc w:val="left"/>
            </w:pPr>
            <w:r>
              <w:rPr>
                <w:sz w:val="17"/>
              </w:rPr>
              <w:t xml:space="preserve">Services et entités aux besoins et intérêts différents sur une même plateforme</w:t>
            </w:r>
          </w:p>
        </w:tc>
        <w:tc>
          <w:tcPr/>
          <w:p>
            <w:pPr>
              <w:pStyle w:val="Compact"/>
              <w:spacing w:after="20" w:before="20" w:line="240" w:lineRule="auto"/>
              <w:jc w:val="left"/>
            </w:pPr>
            <w:r>
              <w:rPr>
                <w:sz w:val="17"/>
              </w:rPr>
              <w:t xml:space="preserve">Chapitre 10A ; module 72 ; § 30.5 ; décision 14</w:t>
            </w:r>
          </w:p>
        </w:tc>
      </w:tr>
      <w:tr>
        <w:tc>
          <w:tcPr>
            <w:shd w:val="clear" w:color="auto" w:fill="F2F9F8"/>
          </w:tcPr>
          <w:p>
            <w:pPr>
              <w:pStyle w:val="Compact"/>
              <w:spacing w:after="20" w:before="20" w:line="240" w:lineRule="auto"/>
              <w:jc w:val="left"/>
            </w:pPr>
            <w:r>
              <w:rPr>
                <w:sz w:val="17"/>
              </w:rPr>
              <w:t xml:space="preserve">Preuves avec date, heure et compte à rebours ; statuts rouge (expiré), ambre (bientôt expiré), vert (valide)</w:t>
            </w:r>
          </w:p>
        </w:tc>
        <w:tc>
          <w:tcPr>
            <w:shd w:val="clear" w:color="auto" w:fill="F2F9F8"/>
          </w:tcPr>
          <w:p>
            <w:pPr>
              <w:pStyle w:val="Compact"/>
              <w:spacing w:after="20" w:before="20" w:line="240" w:lineRule="auto"/>
              <w:jc w:val="left"/>
            </w:pPr>
            <w:r>
              <w:rPr>
                <w:sz w:val="17"/>
              </w:rPr>
              <w:t xml:space="preserve">§ 19A.2 ; § 19A.5 ; § 19A.6</w:t>
            </w:r>
          </w:p>
        </w:tc>
      </w:tr>
      <w:tr>
        <w:tc>
          <w:tcPr/>
          <w:p>
            <w:pPr>
              <w:pStyle w:val="Compact"/>
              <w:spacing w:after="20" w:before="20" w:line="240" w:lineRule="auto"/>
              <w:jc w:val="left"/>
            </w:pPr>
            <w:r>
              <w:rPr>
                <w:sz w:val="17"/>
              </w:rPr>
              <w:t xml:space="preserve">Titres journaliers, hebdomadaires ou autres selon le module (stationnement, mobilité, marchés, ports, etc.)</w:t>
            </w:r>
          </w:p>
        </w:tc>
        <w:tc>
          <w:tcPr/>
          <w:p>
            <w:pPr>
              <w:pStyle w:val="Compact"/>
              <w:spacing w:after="20" w:before="20" w:line="240" w:lineRule="auto"/>
              <w:jc w:val="left"/>
            </w:pPr>
            <w:r>
              <w:rPr>
                <w:sz w:val="17"/>
              </w:rPr>
              <w:t xml:space="preserve">§ 19A.3 ; § 19A.4 ; modules 70 et 71</w:t>
            </w:r>
          </w:p>
        </w:tc>
      </w:tr>
      <w:tr>
        <w:tc>
          <w:tcPr>
            <w:shd w:val="clear" w:color="auto" w:fill="F2F9F8"/>
          </w:tcPr>
          <w:p>
            <w:pPr>
              <w:pStyle w:val="Compact"/>
              <w:spacing w:after="20" w:before="20" w:line="240" w:lineRule="auto"/>
              <w:jc w:val="left"/>
            </w:pPr>
            <w:r>
              <w:rPr>
                <w:sz w:val="17"/>
              </w:rPr>
              <w:t xml:space="preserve">QR et mécanismes différents selon le module</w:t>
            </w:r>
          </w:p>
        </w:tc>
        <w:tc>
          <w:tcPr>
            <w:shd w:val="clear" w:color="auto" w:fill="F2F9F8"/>
          </w:tcPr>
          <w:p>
            <w:pPr>
              <w:pStyle w:val="Compact"/>
              <w:spacing w:after="20" w:before="20" w:line="240" w:lineRule="auto"/>
              <w:jc w:val="left"/>
            </w:pPr>
            <w:r>
              <w:rPr>
                <w:sz w:val="17"/>
              </w:rPr>
              <w:t xml:space="preserve">§ 19A.4 ; § 19A.5</w:t>
            </w:r>
          </w:p>
        </w:tc>
      </w:tr>
      <w:tr>
        <w:tc>
          <w:tcPr/>
          <w:p>
            <w:pPr>
              <w:pStyle w:val="Compact"/>
              <w:spacing w:after="20" w:before="20" w:line="240" w:lineRule="auto"/>
              <w:jc w:val="left"/>
            </w:pPr>
            <w:r>
              <w:rPr>
                <w:sz w:val="17"/>
              </w:rPr>
              <w:t xml:space="preserve">Mises à jour transverses</w:t>
            </w:r>
          </w:p>
        </w:tc>
        <w:tc>
          <w:tcPr/>
          <w:p>
            <w:pPr>
              <w:pStyle w:val="Compact"/>
              <w:spacing w:after="20" w:before="20" w:line="240" w:lineRule="auto"/>
              <w:jc w:val="left"/>
            </w:pPr>
            <w:r>
              <w:rPr>
                <w:sz w:val="17"/>
              </w:rPr>
              <w:t xml:space="preserve">§ 29.2 ; § 39 ; § 40 ; § 41 ; § 42.5 ; § 42.6 ; § 44 ; § 47.3 (décisions 14 et 15) ; Annexe B (points 16 et 17) ; Annexe C</w:t>
            </w:r>
          </w:p>
        </w:tc>
      </w:tr>
    </w:tbl>
    <w:p>
      <w:pPr>
        <w:pStyle w:val="BodyText"/>
      </w:pPr>
      <w:r>
        <w:rPr>
          <w:b/>
          <w:bCs/>
        </w:rPr>
        <w:t xml:space="preserve">Version 2.3 — modèle de financement et de partage des recettes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Élément</w:t>
            </w:r>
          </w:p>
        </w:tc>
        <w:tc>
          <w:tcPr>
            <w:shd w:val="clear" w:color="auto" w:fill="1BA996"/>
          </w:tcPr>
          <w:p>
            <w:pPr>
              <w:pStyle w:val="Compact"/>
              <w:spacing w:after="20" w:before="20" w:line="240" w:lineRule="auto"/>
              <w:jc w:val="left"/>
            </w:pPr>
            <w:r>
              <w:rPr>
                <w:b/>
                <w:color w:val="FFFFFF"/>
                <w:sz w:val="17"/>
              </w:rPr>
              <w:t xml:space="preserve">Section</w:t>
            </w:r>
          </w:p>
        </w:tc>
      </w:tr>
      <w:tr>
        <w:tc>
          <w:tcPr/>
          <w:p>
            <w:pPr>
              <w:pStyle w:val="Compact"/>
              <w:spacing w:after="20" w:before="20" w:line="240" w:lineRule="auto"/>
              <w:jc w:val="left"/>
            </w:pPr>
            <w:r>
              <w:rPr>
                <w:sz w:val="17"/>
              </w:rPr>
              <w:t xml:space="preserve">Financement intégral du système d’exploitation numérique par Groupe Nseya ; 10 % des recettes générées pendant 30 ans</w:t>
            </w:r>
          </w:p>
        </w:tc>
        <w:tc>
          <w:tcPr/>
          <w:p>
            <w:pPr>
              <w:pStyle w:val="Compact"/>
              <w:spacing w:after="20" w:before="20" w:line="240" w:lineRule="auto"/>
              <w:jc w:val="left"/>
            </w:pPr>
            <w:r>
              <w:rPr>
                <w:sz w:val="17"/>
              </w:rPr>
              <w:t xml:space="preserve">§ 37A.1, § 37A.2, § 37A.7</w:t>
            </w:r>
          </w:p>
        </w:tc>
      </w:tr>
      <w:tr>
        <w:tc>
          <w:tcPr>
            <w:shd w:val="clear" w:color="auto" w:fill="F2F9F8"/>
          </w:tcPr>
          <w:p>
            <w:pPr>
              <w:pStyle w:val="Compact"/>
              <w:spacing w:after="20" w:before="20" w:line="240" w:lineRule="auto"/>
              <w:jc w:val="left"/>
            </w:pPr>
            <w:r>
              <w:rPr>
                <w:sz w:val="17"/>
              </w:rPr>
              <w:t xml:space="preserve">10 % aux ministères de tutelle ; 10 % aux agents et sous-traitants ; 70 % au Gouvernement provincial</w:t>
            </w:r>
          </w:p>
        </w:tc>
        <w:tc>
          <w:tcPr>
            <w:shd w:val="clear" w:color="auto" w:fill="F2F9F8"/>
          </w:tcPr>
          <w:p>
            <w:pPr>
              <w:pStyle w:val="Compact"/>
              <w:spacing w:after="20" w:before="20" w:line="240" w:lineRule="auto"/>
              <w:jc w:val="left"/>
            </w:pPr>
            <w:r>
              <w:rPr>
                <w:sz w:val="17"/>
              </w:rPr>
              <w:t xml:space="preserve">§ 37A.2, § 37A.5</w:t>
            </w:r>
          </w:p>
        </w:tc>
      </w:tr>
      <w:tr>
        <w:tc>
          <w:tcPr/>
          <w:p>
            <w:pPr>
              <w:pStyle w:val="Compact"/>
              <w:spacing w:after="20" w:before="20" w:line="240" w:lineRule="auto"/>
              <w:jc w:val="left"/>
            </w:pPr>
            <w:r>
              <w:rPr>
                <w:sz w:val="17"/>
              </w:rPr>
              <w:t xml:space="preserve">Deux flux de décaissement seulement (10 % Groupe Nseya ; 90 % Gouvernement)</w:t>
            </w:r>
          </w:p>
        </w:tc>
        <w:tc>
          <w:tcPr/>
          <w:p>
            <w:pPr>
              <w:pStyle w:val="Compact"/>
              <w:spacing w:after="20" w:before="20" w:line="240" w:lineRule="auto"/>
              <w:jc w:val="left"/>
            </w:pPr>
            <w:r>
              <w:rPr>
                <w:sz w:val="17"/>
              </w:rPr>
              <w:t xml:space="preserve">§ 37A.4</w:t>
            </w:r>
          </w:p>
        </w:tc>
      </w:tr>
      <w:tr>
        <w:tc>
          <w:tcPr>
            <w:shd w:val="clear" w:color="auto" w:fill="F2F9F8"/>
          </w:tcPr>
          <w:p>
            <w:pPr>
              <w:pStyle w:val="Compact"/>
              <w:spacing w:after="20" w:before="20" w:line="240" w:lineRule="auto"/>
              <w:jc w:val="left"/>
            </w:pPr>
            <w:r>
              <w:rPr>
                <w:sz w:val="17"/>
              </w:rPr>
              <w:t xml:space="preserve">Tableau de bord indiquant ce que chaque bénéficiaire doit recevoir</w:t>
            </w:r>
          </w:p>
        </w:tc>
        <w:tc>
          <w:tcPr>
            <w:shd w:val="clear" w:color="auto" w:fill="F2F9F8"/>
          </w:tcPr>
          <w:p>
            <w:pPr>
              <w:pStyle w:val="Compact"/>
              <w:spacing w:after="20" w:before="20" w:line="240" w:lineRule="auto"/>
              <w:jc w:val="left"/>
            </w:pPr>
            <w:r>
              <w:rPr>
                <w:sz w:val="17"/>
              </w:rPr>
              <w:t xml:space="preserve">§ 37A.6</w:t>
            </w:r>
          </w:p>
        </w:tc>
      </w:tr>
      <w:tr>
        <w:tc>
          <w:tcPr/>
          <w:p>
            <w:pPr>
              <w:pStyle w:val="Compact"/>
              <w:spacing w:after="20" w:before="20" w:line="240" w:lineRule="auto"/>
              <w:jc w:val="left"/>
            </w:pPr>
            <w:r>
              <w:rPr>
                <w:sz w:val="17"/>
              </w:rPr>
              <w:t xml:space="preserve">Passages mis en cohérence</w:t>
            </w:r>
          </w:p>
        </w:tc>
        <w:tc>
          <w:tcPr/>
          <w:p>
            <w:pPr>
              <w:pStyle w:val="Compact"/>
              <w:spacing w:after="20" w:before="20" w:line="240" w:lineRule="auto"/>
              <w:jc w:val="left"/>
            </w:pPr>
            <w:r>
              <w:rPr>
                <w:sz w:val="17"/>
              </w:rPr>
              <w:t xml:space="preserve">Note exécutive (tableau des décisions) ; § 15A.7 ; § 27.1 ; § 37 ; § 38.3 ; § 47.1 (décision 10) ; § 47.3 (décision 16)</w:t>
            </w:r>
          </w:p>
        </w:tc>
      </w:tr>
      <w:tr>
        <w:tc>
          <w:tcPr>
            <w:shd w:val="clear" w:color="auto" w:fill="F2F9F8"/>
          </w:tcPr>
          <w:p>
            <w:pPr>
              <w:pStyle w:val="Compact"/>
              <w:spacing w:after="20" w:before="20" w:line="240" w:lineRule="auto"/>
              <w:jc w:val="left"/>
            </w:pPr>
            <w:r>
              <w:rPr>
                <w:sz w:val="17"/>
              </w:rPr>
              <w:t xml:space="preserve">Mises à jour transverses</w:t>
            </w:r>
          </w:p>
        </w:tc>
        <w:tc>
          <w:tcPr>
            <w:shd w:val="clear" w:color="auto" w:fill="F2F9F8"/>
          </w:tcPr>
          <w:p>
            <w:pPr>
              <w:pStyle w:val="Compact"/>
              <w:spacing w:after="20" w:before="20" w:line="240" w:lineRule="auto"/>
              <w:jc w:val="left"/>
            </w:pPr>
            <w:r>
              <w:rPr>
                <w:sz w:val="17"/>
              </w:rPr>
              <w:t xml:space="preserve">Module 73 ; § 29.2 ; § 30.6 ; § 39 ; § 40 ; § 41 ; § 42.7 ; Annexe B (points 18 à 21) ; Annexe C</w:t>
            </w:r>
          </w:p>
        </w:tc>
      </w:tr>
    </w:tbl>
    <w:p>
      <w:pPr>
        <w:pStyle w:val="BodyText"/>
      </w:pPr>
      <w:r>
        <w:rPr>
          <w:b/>
          <w:bCs/>
        </w:rPr>
        <w:t xml:space="preserve">Version 2.4 — périmètre de l’investissement de Groupe Nseya</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Élément</w:t>
            </w:r>
          </w:p>
        </w:tc>
        <w:tc>
          <w:tcPr>
            <w:shd w:val="clear" w:color="auto" w:fill="1BA996"/>
          </w:tcPr>
          <w:p>
            <w:pPr>
              <w:pStyle w:val="Compact"/>
              <w:spacing w:after="20" w:before="20" w:line="240" w:lineRule="auto"/>
              <w:jc w:val="left"/>
            </w:pPr>
            <w:r>
              <w:rPr>
                <w:b/>
                <w:color w:val="FFFFFF"/>
                <w:sz w:val="17"/>
              </w:rPr>
              <w:t xml:space="preserve">Section</w:t>
            </w:r>
          </w:p>
        </w:tc>
      </w:tr>
      <w:tr>
        <w:tc>
          <w:tcPr/>
          <w:p>
            <w:pPr>
              <w:pStyle w:val="Compact"/>
              <w:spacing w:after="20" w:before="20" w:line="240" w:lineRule="auto"/>
              <w:jc w:val="left"/>
            </w:pPr>
            <w:r>
              <w:rPr>
                <w:sz w:val="17"/>
              </w:rPr>
              <w:t xml:space="preserve">Investissement limité au système d’exploitation numérique ; moyens physiques exclus</w:t>
            </w:r>
          </w:p>
        </w:tc>
        <w:tc>
          <w:tcPr/>
          <w:p>
            <w:pPr>
              <w:pStyle w:val="Compact"/>
              <w:spacing w:after="20" w:before="20" w:line="240" w:lineRule="auto"/>
              <w:jc w:val="left"/>
            </w:pPr>
            <w:r>
              <w:rPr>
                <w:sz w:val="17"/>
              </w:rPr>
              <w:t xml:space="preserve">§ 37A (introduction) ; § 37A.1</w:t>
            </w:r>
          </w:p>
        </w:tc>
      </w:tr>
      <w:tr>
        <w:tc>
          <w:tcPr>
            <w:shd w:val="clear" w:color="auto" w:fill="F2F9F8"/>
          </w:tcPr>
          <w:p>
            <w:pPr>
              <w:pStyle w:val="Compact"/>
              <w:spacing w:after="20" w:before="20" w:line="240" w:lineRule="auto"/>
              <w:jc w:val="left"/>
            </w:pPr>
            <w:r>
              <w:rPr>
                <w:sz w:val="17"/>
              </w:rPr>
              <w:t xml:space="preserve">Financement des moyens physiques à arrêter avant le pilote</w:t>
            </w:r>
          </w:p>
        </w:tc>
        <w:tc>
          <w:tcPr>
            <w:shd w:val="clear" w:color="auto" w:fill="F2F9F8"/>
          </w:tcPr>
          <w:p>
            <w:pPr>
              <w:pStyle w:val="Compact"/>
              <w:spacing w:after="20" w:before="20" w:line="240" w:lineRule="auto"/>
              <w:jc w:val="left"/>
            </w:pPr>
            <w:r>
              <w:rPr>
                <w:sz w:val="17"/>
              </w:rPr>
              <w:t xml:space="preserve">§ 37A.1 ; § 40 (nouveau risque) ; § 47.3 (décision 17) ; Annexe B (point 22)</w:t>
            </w:r>
          </w:p>
        </w:tc>
      </w:tr>
      <w:tr>
        <w:tc>
          <w:tcPr/>
          <w:p>
            <w:pPr>
              <w:pStyle w:val="Compact"/>
              <w:spacing w:after="20" w:before="20" w:line="240" w:lineRule="auto"/>
              <w:jc w:val="left"/>
            </w:pPr>
            <w:r>
              <w:rPr>
                <w:sz w:val="17"/>
              </w:rPr>
              <w:t xml:space="preserve">Passages mis en cohérence</w:t>
            </w:r>
          </w:p>
        </w:tc>
        <w:tc>
          <w:tcPr/>
          <w:p>
            <w:pPr>
              <w:pStyle w:val="Compact"/>
              <w:spacing w:after="20" w:before="20" w:line="240" w:lineRule="auto"/>
              <w:jc w:val="left"/>
            </w:pPr>
            <w:r>
              <w:rPr>
                <w:sz w:val="17"/>
              </w:rPr>
              <w:t xml:space="preserve">Note exécutive (tableau des décisions) ; § 37 (encadré « Modèle retenu ») ; § 47.1 (décision 10) ; § 47.3 (décision 16)</w:t>
            </w:r>
          </w:p>
        </w:tc>
      </w:tr>
    </w:tbl>
    <w:p>
      <w:pPr>
        <w:pStyle w:val="BodyText"/>
      </w:pPr>
      <w:r>
        <w:rPr>
          <w:b/>
          <w:bCs/>
        </w:rPr>
        <w:t xml:space="preserve">Version 2.5 — gestion des accès et invitations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Élément</w:t>
            </w:r>
          </w:p>
        </w:tc>
        <w:tc>
          <w:tcPr>
            <w:shd w:val="clear" w:color="auto" w:fill="1BA996"/>
          </w:tcPr>
          <w:p>
            <w:pPr>
              <w:pStyle w:val="Compact"/>
              <w:spacing w:after="20" w:before="20" w:line="240" w:lineRule="auto"/>
              <w:jc w:val="left"/>
            </w:pPr>
            <w:r>
              <w:rPr>
                <w:b/>
                <w:color w:val="FFFFFF"/>
                <w:sz w:val="17"/>
              </w:rPr>
              <w:t xml:space="preserve">Section</w:t>
            </w:r>
          </w:p>
        </w:tc>
      </w:tr>
      <w:tr>
        <w:tc>
          <w:tcPr/>
          <w:p>
            <w:pPr>
              <w:pStyle w:val="Compact"/>
              <w:spacing w:after="20" w:before="20" w:line="240" w:lineRule="auto"/>
              <w:jc w:val="left"/>
            </w:pPr>
            <w:r>
              <w:rPr>
                <w:sz w:val="17"/>
              </w:rPr>
              <w:t xml:space="preserve">L’administrateur de la plateforme invite toutes les entités, du Gouverneur à l’agent de terrain</w:t>
            </w:r>
          </w:p>
        </w:tc>
        <w:tc>
          <w:tcPr/>
          <w:p>
            <w:pPr>
              <w:pStyle w:val="Compact"/>
              <w:spacing w:after="20" w:before="20" w:line="240" w:lineRule="auto"/>
              <w:jc w:val="left"/>
            </w:pPr>
            <w:r>
              <w:rPr>
                <w:sz w:val="17"/>
              </w:rPr>
              <w:t xml:space="preserve">§ 12A.2</w:t>
            </w:r>
          </w:p>
        </w:tc>
      </w:tr>
      <w:tr>
        <w:tc>
          <w:tcPr>
            <w:shd w:val="clear" w:color="auto" w:fill="F2F9F8"/>
          </w:tcPr>
          <w:p>
            <w:pPr>
              <w:pStyle w:val="Compact"/>
              <w:spacing w:after="20" w:before="20" w:line="240" w:lineRule="auto"/>
              <w:jc w:val="left"/>
            </w:pPr>
            <w:r>
              <w:rPr>
                <w:sz w:val="17"/>
              </w:rPr>
              <w:t xml:space="preserve">L’administrateur rattache les modules aux ministères et aux autres entités</w:t>
            </w:r>
          </w:p>
        </w:tc>
        <w:tc>
          <w:tcPr>
            <w:shd w:val="clear" w:color="auto" w:fill="F2F9F8"/>
          </w:tcPr>
          <w:p>
            <w:pPr>
              <w:pStyle w:val="Compact"/>
              <w:spacing w:after="20" w:before="20" w:line="240" w:lineRule="auto"/>
              <w:jc w:val="left"/>
            </w:pPr>
            <w:r>
              <w:rPr>
                <w:sz w:val="17"/>
              </w:rPr>
              <w:t xml:space="preserve">§ 12A.3</w:t>
            </w:r>
          </w:p>
        </w:tc>
      </w:tr>
      <w:tr>
        <w:tc>
          <w:tcPr/>
          <w:p>
            <w:pPr>
              <w:pStyle w:val="Compact"/>
              <w:spacing w:after="20" w:before="20" w:line="240" w:lineRule="auto"/>
              <w:jc w:val="left"/>
            </w:pPr>
            <w:r>
              <w:rPr>
                <w:sz w:val="17"/>
              </w:rPr>
              <w:t xml:space="preserve">L’administrateur et chaque entité invitent et ajoutent des personnes à différents niveaux d’accès, y compris des agents de terrain</w:t>
            </w:r>
          </w:p>
        </w:tc>
        <w:tc>
          <w:tcPr/>
          <w:p>
            <w:pPr>
              <w:pStyle w:val="Compact"/>
              <w:spacing w:after="20" w:before="20" w:line="240" w:lineRule="auto"/>
              <w:jc w:val="left"/>
            </w:pPr>
            <w:r>
              <w:rPr>
                <w:sz w:val="17"/>
              </w:rPr>
              <w:t xml:space="preserve">§ 12A.2, § 12A.4, § 12A.5</w:t>
            </w:r>
          </w:p>
        </w:tc>
      </w:tr>
      <w:tr>
        <w:tc>
          <w:tcPr>
            <w:shd w:val="clear" w:color="auto" w:fill="F2F9F8"/>
          </w:tcPr>
          <w:p>
            <w:pPr>
              <w:pStyle w:val="Compact"/>
              <w:spacing w:after="20" w:before="20" w:line="240" w:lineRule="auto"/>
              <w:jc w:val="left"/>
            </w:pPr>
            <w:r>
              <w:rPr>
                <w:sz w:val="17"/>
              </w:rPr>
              <w:t xml:space="preserve">Aucune inscription publique pour les intervenants ; inscription publique réservée au public</w:t>
            </w:r>
          </w:p>
        </w:tc>
        <w:tc>
          <w:tcPr>
            <w:shd w:val="clear" w:color="auto" w:fill="F2F9F8"/>
          </w:tcPr>
          <w:p>
            <w:pPr>
              <w:pStyle w:val="Compact"/>
              <w:spacing w:after="20" w:before="20" w:line="240" w:lineRule="auto"/>
              <w:jc w:val="left"/>
            </w:pPr>
            <w:r>
              <w:rPr>
                <w:sz w:val="17"/>
              </w:rPr>
              <w:t xml:space="preserve">§ 12A.1</w:t>
            </w:r>
          </w:p>
        </w:tc>
      </w:tr>
      <w:tr>
        <w:tc>
          <w:tcPr/>
          <w:p>
            <w:pPr>
              <w:pStyle w:val="Compact"/>
              <w:spacing w:after="20" w:before="20" w:line="240" w:lineRule="auto"/>
              <w:jc w:val="left"/>
            </w:pPr>
            <w:r>
              <w:rPr>
                <w:sz w:val="17"/>
              </w:rPr>
              <w:t xml:space="preserve">Passages mis en cohérence</w:t>
            </w:r>
          </w:p>
        </w:tc>
        <w:tc>
          <w:tcPr/>
          <w:p>
            <w:pPr>
              <w:pStyle w:val="Compact"/>
              <w:spacing w:after="20" w:before="20" w:line="240" w:lineRule="auto"/>
              <w:jc w:val="left"/>
            </w:pPr>
            <w:r>
              <w:rPr>
                <w:sz w:val="17"/>
              </w:rPr>
              <w:t xml:space="preserve">§ 12.4 (sous-traitants) ; § 15A.3 (accréditation sur invitation) ; § 30.4 (route des sous-traitants)</w:t>
            </w:r>
          </w:p>
        </w:tc>
      </w:tr>
      <w:tr>
        <w:tc>
          <w:tcPr>
            <w:shd w:val="clear" w:color="auto" w:fill="F2F9F8"/>
          </w:tcPr>
          <w:p>
            <w:pPr>
              <w:pStyle w:val="Compact"/>
              <w:spacing w:after="20" w:before="20" w:line="240" w:lineRule="auto"/>
              <w:jc w:val="left"/>
            </w:pPr>
            <w:r>
              <w:rPr>
                <w:sz w:val="17"/>
              </w:rPr>
              <w:t xml:space="preserve">Mises à jour transverses</w:t>
            </w:r>
          </w:p>
        </w:tc>
        <w:tc>
          <w:tcPr>
            <w:shd w:val="clear" w:color="auto" w:fill="F2F9F8"/>
          </w:tcPr>
          <w:p>
            <w:pPr>
              <w:pStyle w:val="Compact"/>
              <w:spacing w:after="20" w:before="20" w:line="240" w:lineRule="auto"/>
              <w:jc w:val="left"/>
            </w:pPr>
            <w:r>
              <w:rPr>
                <w:sz w:val="17"/>
              </w:rPr>
              <w:t xml:space="preserve">Module 74 ; § 30.7 ; § 40 ; § 41 ; § 42.8 ; § 47.3 (décision 18) ; Annexe C</w:t>
            </w:r>
          </w:p>
        </w:tc>
      </w:tr>
    </w:tbl>
    <w:p>
      <w:pPr>
        <w:pStyle w:val="BodyText"/>
      </w:pPr>
      <w:r>
        <w:rPr>
          <w:b/>
          <w:bCs/>
        </w:rPr>
        <w:t xml:space="preserve">Version 2.6 — finalisation des inscriptions des intervenants</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Élément</w:t>
            </w:r>
          </w:p>
        </w:tc>
        <w:tc>
          <w:tcPr>
            <w:shd w:val="clear" w:color="auto" w:fill="1BA996"/>
          </w:tcPr>
          <w:p>
            <w:pPr>
              <w:pStyle w:val="Compact"/>
              <w:spacing w:after="20" w:before="20" w:line="240" w:lineRule="auto"/>
              <w:jc w:val="left"/>
            </w:pPr>
            <w:r>
              <w:rPr>
                <w:b/>
                <w:color w:val="FFFFFF"/>
                <w:sz w:val="17"/>
              </w:rPr>
              <w:t xml:space="preserve">Section</w:t>
            </w:r>
          </w:p>
        </w:tc>
      </w:tr>
      <w:tr>
        <w:tc>
          <w:tcPr/>
          <w:p>
            <w:pPr>
              <w:pStyle w:val="Compact"/>
              <w:spacing w:after="20" w:before="20" w:line="240" w:lineRule="auto"/>
              <w:jc w:val="left"/>
            </w:pPr>
            <w:r>
              <w:rPr>
                <w:sz w:val="17"/>
              </w:rPr>
              <w:t xml:space="preserve">Seules les personnes invitées s’inscrivent, depuis leur lien d’invitation, et finalisent elles-mêmes leur inscription</w:t>
            </w:r>
          </w:p>
        </w:tc>
        <w:tc>
          <w:tcPr/>
          <w:p>
            <w:pPr>
              <w:pStyle w:val="Compact"/>
              <w:spacing w:after="20" w:before="20" w:line="240" w:lineRule="auto"/>
              <w:jc w:val="left"/>
            </w:pPr>
            <w:r>
              <w:rPr>
                <w:sz w:val="17"/>
              </w:rPr>
              <w:t xml:space="preserve">§ 12A.1, § 12A.5 (étape 2)</w:t>
            </w:r>
          </w:p>
        </w:tc>
      </w:tr>
      <w:tr>
        <w:tc>
          <w:tcPr>
            <w:shd w:val="clear" w:color="auto" w:fill="F2F9F8"/>
          </w:tcPr>
          <w:p>
            <w:pPr>
              <w:pStyle w:val="Compact"/>
              <w:spacing w:after="20" w:before="20" w:line="240" w:lineRule="auto"/>
              <w:jc w:val="left"/>
            </w:pPr>
            <w:r>
              <w:rPr>
                <w:sz w:val="17"/>
              </w:rPr>
              <w:t xml:space="preserve">Un opérateur d’accès désigné dans chaque entité peut inscrire les personnes invitées, en leur présence</w:t>
            </w:r>
          </w:p>
        </w:tc>
        <w:tc>
          <w:tcPr>
            <w:shd w:val="clear" w:color="auto" w:fill="F2F9F8"/>
          </w:tcPr>
          <w:p>
            <w:pPr>
              <w:pStyle w:val="Compact"/>
              <w:spacing w:after="20" w:before="20" w:line="240" w:lineRule="auto"/>
              <w:jc w:val="left"/>
            </w:pPr>
            <w:r>
              <w:rPr>
                <w:sz w:val="17"/>
              </w:rPr>
              <w:t xml:space="preserve">§ 12A.7</w:t>
            </w:r>
          </w:p>
        </w:tc>
      </w:tr>
      <w:tr>
        <w:tc>
          <w:tcPr/>
          <w:p>
            <w:pPr>
              <w:pStyle w:val="Compact"/>
              <w:spacing w:after="20" w:before="20" w:line="240" w:lineRule="auto"/>
              <w:jc w:val="left"/>
            </w:pPr>
            <w:r>
              <w:rPr>
                <w:sz w:val="17"/>
              </w:rPr>
              <w:t xml:space="preserve">Mises à jour transverses</w:t>
            </w:r>
          </w:p>
        </w:tc>
        <w:tc>
          <w:tcPr/>
          <w:p>
            <w:pPr>
              <w:pStyle w:val="Compact"/>
              <w:spacing w:after="20" w:before="20" w:line="240" w:lineRule="auto"/>
              <w:jc w:val="left"/>
            </w:pPr>
            <w:r>
              <w:rPr>
                <w:sz w:val="17"/>
              </w:rPr>
              <w:t xml:space="preserve">§ 12A.4 ; § 30.7 ; § 40 ; § 41 ; § 42.8 ; § 47.3 (décision 18) ; Annexe C</w:t>
            </w:r>
          </w:p>
        </w:tc>
      </w:tr>
    </w:tbl>
    <w:p>
      <w:pPr>
        <w:pStyle w:val="BodyText"/>
      </w:pPr>
      <w:r>
        <w:rPr>
          <w:b/>
          <w:bCs/>
        </w:rPr>
        <w:t xml:space="preserve">Version 2.7 — intégration des documents S5 à S13</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Élément source</w:t>
            </w:r>
          </w:p>
        </w:tc>
        <w:tc>
          <w:tcPr>
            <w:shd w:val="clear" w:color="auto" w:fill="1BA996"/>
          </w:tcPr>
          <w:p>
            <w:pPr>
              <w:pStyle w:val="Compact"/>
              <w:spacing w:after="20" w:before="20" w:line="240" w:lineRule="auto"/>
              <w:jc w:val="left"/>
            </w:pPr>
            <w:r>
              <w:rPr>
                <w:b/>
                <w:color w:val="FFFFFF"/>
                <w:sz w:val="17"/>
              </w:rPr>
              <w:t xml:space="preserve">Section consolidée</w:t>
            </w:r>
          </w:p>
        </w:tc>
      </w:tr>
      <w:tr>
        <w:tc>
          <w:tcPr/>
          <w:p>
            <w:pPr>
              <w:pStyle w:val="Compact"/>
              <w:spacing w:after="20" w:before="20" w:line="240" w:lineRule="auto"/>
              <w:jc w:val="left"/>
            </w:pPr>
            <w:r>
              <w:rPr>
                <w:sz w:val="17"/>
              </w:rPr>
              <w:t xml:space="preserve">S5 — Décision, résultats à 24 mois, principes non négociables</w:t>
            </w:r>
          </w:p>
        </w:tc>
        <w:tc>
          <w:tcPr/>
          <w:p>
            <w:pPr>
              <w:pStyle w:val="Compact"/>
              <w:spacing w:after="20" w:before="20" w:line="240" w:lineRule="auto"/>
              <w:jc w:val="left"/>
            </w:pPr>
            <w:r>
              <w:rPr>
                <w:sz w:val="17"/>
              </w:rPr>
              <w:t xml:space="preserve">Note exécutive ; § 3 (principes constitutionnels) ; § 5</w:t>
            </w:r>
          </w:p>
        </w:tc>
      </w:tr>
      <w:tr>
        <w:tc>
          <w:tcPr>
            <w:shd w:val="clear" w:color="auto" w:fill="F2F9F8"/>
          </w:tcPr>
          <w:p>
            <w:pPr>
              <w:pStyle w:val="Compact"/>
              <w:spacing w:after="20" w:before="20" w:line="240" w:lineRule="auto"/>
              <w:jc w:val="left"/>
            </w:pPr>
            <w:r>
              <w:rPr>
                <w:sz w:val="17"/>
              </w:rPr>
              <w:t xml:space="preserve">S5 — Bascule stratégique et équation de croissance</w:t>
            </w:r>
          </w:p>
        </w:tc>
        <w:tc>
          <w:tcPr>
            <w:shd w:val="clear" w:color="auto" w:fill="F2F9F8"/>
          </w:tcPr>
          <w:p>
            <w:pPr>
              <w:pStyle w:val="Compact"/>
              <w:spacing w:after="20" w:before="20" w:line="240" w:lineRule="auto"/>
              <w:jc w:val="left"/>
            </w:pPr>
            <w:r>
              <w:rPr>
                <w:sz w:val="17"/>
              </w:rPr>
              <w:t xml:space="preserve">§ 2 (équation de croissance)</w:t>
            </w:r>
          </w:p>
        </w:tc>
      </w:tr>
      <w:tr>
        <w:tc>
          <w:tcPr/>
          <w:p>
            <w:pPr>
              <w:pStyle w:val="Compact"/>
              <w:spacing w:after="20" w:before="20" w:line="240" w:lineRule="auto"/>
              <w:jc w:val="left"/>
            </w:pPr>
            <w:r>
              <w:rPr>
                <w:sz w:val="17"/>
              </w:rPr>
              <w:t xml:space="preserve">S5 — Registre juridique, statuts, Loi 18/014</w:t>
            </w:r>
          </w:p>
        </w:tc>
        <w:tc>
          <w:tcPr/>
          <w:p>
            <w:pPr>
              <w:pStyle w:val="Compact"/>
              <w:spacing w:after="20" w:before="20" w:line="240" w:lineRule="auto"/>
              <w:jc w:val="left"/>
            </w:pPr>
            <w:r>
              <w:rPr>
                <w:sz w:val="17"/>
              </w:rPr>
              <w:t xml:space="preserve">§ 6.1, § 6.2</w:t>
            </w:r>
          </w:p>
        </w:tc>
      </w:tr>
      <w:tr>
        <w:tc>
          <w:tcPr>
            <w:shd w:val="clear" w:color="auto" w:fill="F2F9F8"/>
          </w:tcPr>
          <w:p>
            <w:pPr>
              <w:pStyle w:val="Compact"/>
              <w:spacing w:after="20" w:before="20" w:line="240" w:lineRule="auto"/>
              <w:jc w:val="left"/>
            </w:pPr>
            <w:r>
              <w:rPr>
                <w:sz w:val="17"/>
              </w:rPr>
              <w:t xml:space="preserve">S5 — Portefeuille, recettes administratives</w:t>
            </w:r>
          </w:p>
        </w:tc>
        <w:tc>
          <w:tcPr>
            <w:shd w:val="clear" w:color="auto" w:fill="F2F9F8"/>
          </w:tcPr>
          <w:p>
            <w:pPr>
              <w:pStyle w:val="Compact"/>
              <w:spacing w:after="20" w:before="20" w:line="240" w:lineRule="auto"/>
              <w:jc w:val="left"/>
            </w:pPr>
            <w:r>
              <w:rPr>
                <w:sz w:val="17"/>
              </w:rPr>
              <w:t xml:space="preserve">§ 7.5</w:t>
            </w:r>
          </w:p>
        </w:tc>
      </w:tr>
      <w:tr>
        <w:tc>
          <w:tcPr/>
          <w:p>
            <w:pPr>
              <w:pStyle w:val="Compact"/>
              <w:spacing w:after="20" w:before="20" w:line="240" w:lineRule="auto"/>
              <w:jc w:val="left"/>
            </w:pPr>
            <w:r>
              <w:rPr>
                <w:sz w:val="17"/>
              </w:rPr>
              <w:t xml:space="preserve">S5 — Graphe fiscal, parcours, canaux</w:t>
            </w:r>
          </w:p>
        </w:tc>
        <w:tc>
          <w:tcPr/>
          <w:p>
            <w:pPr>
              <w:pStyle w:val="Compact"/>
              <w:spacing w:after="20" w:before="20" w:line="240" w:lineRule="auto"/>
              <w:jc w:val="left"/>
            </w:pPr>
            <w:r>
              <w:rPr>
                <w:sz w:val="17"/>
              </w:rPr>
              <w:t xml:space="preserve">§ 9 (graphe fiscal) ; § 13 ; § 13A.1</w:t>
            </w:r>
          </w:p>
        </w:tc>
      </w:tr>
      <w:tr>
        <w:tc>
          <w:tcPr>
            <w:shd w:val="clear" w:color="auto" w:fill="F2F9F8"/>
          </w:tcPr>
          <w:p>
            <w:pPr>
              <w:pStyle w:val="Compact"/>
              <w:spacing w:after="20" w:before="20" w:line="240" w:lineRule="auto"/>
              <w:jc w:val="left"/>
            </w:pPr>
            <w:r>
              <w:rPr>
                <w:sz w:val="17"/>
              </w:rPr>
              <w:t xml:space="preserve">S5 — Modules M01–M20</w:t>
            </w:r>
          </w:p>
        </w:tc>
        <w:tc>
          <w:tcPr>
            <w:shd w:val="clear" w:color="auto" w:fill="F2F9F8"/>
          </w:tcPr>
          <w:p>
            <w:pPr>
              <w:pStyle w:val="Compact"/>
              <w:spacing w:after="20" w:before="20" w:line="240" w:lineRule="auto"/>
              <w:jc w:val="left"/>
            </w:pPr>
            <w:r>
              <w:rPr>
                <w:sz w:val="17"/>
              </w:rPr>
              <w:t xml:space="preserve">§ 11 (correspondance)</w:t>
            </w:r>
          </w:p>
        </w:tc>
      </w:tr>
      <w:tr>
        <w:tc>
          <w:tcPr/>
          <w:p>
            <w:pPr>
              <w:pStyle w:val="Compact"/>
              <w:spacing w:after="20" w:before="20" w:line="240" w:lineRule="auto"/>
              <w:jc w:val="left"/>
            </w:pPr>
            <w:r>
              <w:rPr>
                <w:sz w:val="17"/>
              </w:rPr>
              <w:t xml:space="preserve">S5 — Recensement par vagues, revenus locatifs, identifiant géofiscal</w:t>
            </w:r>
          </w:p>
        </w:tc>
        <w:tc>
          <w:tcPr/>
          <w:p>
            <w:pPr>
              <w:pStyle w:val="Compact"/>
              <w:spacing w:after="20" w:before="20" w:line="240" w:lineRule="auto"/>
              <w:jc w:val="left"/>
            </w:pPr>
            <w:r>
              <w:rPr>
                <w:sz w:val="17"/>
              </w:rPr>
              <w:t xml:space="preserve">§ 16.8 ; § 17.4 ; § 17.5</w:t>
            </w:r>
          </w:p>
        </w:tc>
      </w:tr>
      <w:tr>
        <w:tc>
          <w:tcPr>
            <w:shd w:val="clear" w:color="auto" w:fill="F2F9F8"/>
          </w:tcPr>
          <w:p>
            <w:pPr>
              <w:pStyle w:val="Compact"/>
              <w:spacing w:after="20" w:before="20" w:line="240" w:lineRule="auto"/>
              <w:jc w:val="left"/>
            </w:pPr>
            <w:r>
              <w:rPr>
                <w:sz w:val="17"/>
              </w:rPr>
              <w:t xml:space="preserve">S5 — États financiers, verrouillage des bénéficiaires</w:t>
            </w:r>
          </w:p>
        </w:tc>
        <w:tc>
          <w:tcPr>
            <w:shd w:val="clear" w:color="auto" w:fill="F2F9F8"/>
          </w:tcPr>
          <w:p>
            <w:pPr>
              <w:pStyle w:val="Compact"/>
              <w:spacing w:after="20" w:before="20" w:line="240" w:lineRule="auto"/>
              <w:jc w:val="left"/>
            </w:pPr>
            <w:r>
              <w:rPr>
                <w:sz w:val="17"/>
              </w:rPr>
              <w:t xml:space="preserve">§ 18.5, § 18.6 ; § 12.3</w:t>
            </w:r>
          </w:p>
        </w:tc>
      </w:tr>
      <w:tr>
        <w:tc>
          <w:tcPr/>
          <w:p>
            <w:pPr>
              <w:pStyle w:val="Compact"/>
              <w:spacing w:after="20" w:before="20" w:line="240" w:lineRule="auto"/>
              <w:jc w:val="left"/>
            </w:pPr>
            <w:r>
              <w:rPr>
                <w:sz w:val="17"/>
              </w:rPr>
              <w:t xml:space="preserve">S5 — Impossibilités, hiérarchie, contrôle privilégié, preuve, annexes A et B</w:t>
            </w:r>
          </w:p>
        </w:tc>
        <w:tc>
          <w:tcPr/>
          <w:p>
            <w:pPr>
              <w:pStyle w:val="Compact"/>
              <w:spacing w:after="20" w:before="20" w:line="240" w:lineRule="auto"/>
              <w:jc w:val="left"/>
            </w:pPr>
            <w:r>
              <w:rPr>
                <w:sz w:val="17"/>
              </w:rPr>
              <w:t xml:space="preserve">§ 12.5 ; § 25 ; § 29.3</w:t>
            </w:r>
          </w:p>
        </w:tc>
      </w:tr>
      <w:tr>
        <w:tc>
          <w:tcPr>
            <w:shd w:val="clear" w:color="auto" w:fill="F2F9F8"/>
          </w:tcPr>
          <w:p>
            <w:pPr>
              <w:pStyle w:val="Compact"/>
              <w:spacing w:after="20" w:before="20" w:line="240" w:lineRule="auto"/>
              <w:jc w:val="left"/>
            </w:pPr>
            <w:r>
              <w:rPr>
                <w:sz w:val="17"/>
              </w:rPr>
              <w:t xml:space="preserve">S5 — Architecture, disponibilité, souveraineté</w:t>
            </w:r>
          </w:p>
        </w:tc>
        <w:tc>
          <w:tcPr>
            <w:shd w:val="clear" w:color="auto" w:fill="F2F9F8"/>
          </w:tcPr>
          <w:p>
            <w:pPr>
              <w:pStyle w:val="Compact"/>
              <w:spacing w:after="20" w:before="20" w:line="240" w:lineRule="auto"/>
              <w:jc w:val="left"/>
            </w:pPr>
            <w:r>
              <w:rPr>
                <w:sz w:val="17"/>
              </w:rPr>
              <w:t xml:space="preserve">§ 28.6 ; § 33</w:t>
            </w:r>
          </w:p>
        </w:tc>
      </w:tr>
      <w:tr>
        <w:tc>
          <w:tcPr/>
          <w:p>
            <w:pPr>
              <w:pStyle w:val="Compact"/>
              <w:spacing w:after="20" w:before="20" w:line="240" w:lineRule="auto"/>
              <w:jc w:val="left"/>
            </w:pPr>
            <w:r>
              <w:rPr>
                <w:sz w:val="17"/>
              </w:rPr>
              <w:t xml:space="preserve">S5 — Agents IA, moteur de maximisation, cas d’usage</w:t>
            </w:r>
          </w:p>
        </w:tc>
        <w:tc>
          <w:tcPr/>
          <w:p>
            <w:pPr>
              <w:pStyle w:val="Compact"/>
              <w:spacing w:after="20" w:before="20" w:line="240" w:lineRule="auto"/>
              <w:jc w:val="left"/>
            </w:pPr>
            <w:r>
              <w:rPr>
                <w:sz w:val="17"/>
              </w:rPr>
              <w:t xml:space="preserve">§ 23 ; § 8.7</w:t>
            </w:r>
          </w:p>
        </w:tc>
      </w:tr>
      <w:tr>
        <w:tc>
          <w:tcPr>
            <w:shd w:val="clear" w:color="auto" w:fill="F2F9F8"/>
          </w:tcPr>
          <w:p>
            <w:pPr>
              <w:pStyle w:val="Compact"/>
              <w:spacing w:after="20" w:before="20" w:line="240" w:lineRule="auto"/>
              <w:jc w:val="left"/>
            </w:pPr>
            <w:r>
              <w:rPr>
                <w:sz w:val="17"/>
              </w:rPr>
              <w:t xml:space="preserve">S5 — Données, API, exigences non fonctionnelles</w:t>
            </w:r>
          </w:p>
        </w:tc>
        <w:tc>
          <w:tcPr>
            <w:shd w:val="clear" w:color="auto" w:fill="F2F9F8"/>
          </w:tcPr>
          <w:p>
            <w:pPr>
              <w:pStyle w:val="Compact"/>
              <w:spacing w:after="20" w:before="20" w:line="240" w:lineRule="auto"/>
              <w:jc w:val="left"/>
            </w:pPr>
            <w:r>
              <w:rPr>
                <w:sz w:val="17"/>
              </w:rPr>
              <w:t xml:space="preserve">§ 29.3 ; § 30.8 ; § 31.1</w:t>
            </w:r>
          </w:p>
        </w:tc>
      </w:tr>
      <w:tr>
        <w:tc>
          <w:tcPr/>
          <w:p>
            <w:pPr>
              <w:pStyle w:val="Compact"/>
              <w:spacing w:after="20" w:before="20" w:line="240" w:lineRule="auto"/>
              <w:jc w:val="left"/>
            </w:pPr>
            <w:r>
              <w:rPr>
                <w:sz w:val="17"/>
              </w:rPr>
              <w:t xml:space="preserve">S5 — Tableaux de bord, salle de contrôle</w:t>
            </w:r>
          </w:p>
        </w:tc>
        <w:tc>
          <w:tcPr/>
          <w:p>
            <w:pPr>
              <w:pStyle w:val="Compact"/>
              <w:spacing w:after="20" w:before="20" w:line="240" w:lineRule="auto"/>
              <w:jc w:val="left"/>
            </w:pPr>
            <w:r>
              <w:rPr>
                <w:sz w:val="17"/>
              </w:rPr>
              <w:t xml:space="preserve">§ 26</w:t>
            </w:r>
          </w:p>
        </w:tc>
      </w:tr>
      <w:tr>
        <w:tc>
          <w:tcPr>
            <w:shd w:val="clear" w:color="auto" w:fill="F2F9F8"/>
          </w:tcPr>
          <w:p>
            <w:pPr>
              <w:pStyle w:val="Compact"/>
              <w:spacing w:after="20" w:before="20" w:line="240" w:lineRule="auto"/>
              <w:jc w:val="left"/>
            </w:pPr>
            <w:r>
              <w:rPr>
                <w:sz w:val="17"/>
              </w:rPr>
              <w:t xml:space="preserve">S5 — Recouvrement par segment</w:t>
            </w:r>
          </w:p>
        </w:tc>
        <w:tc>
          <w:tcPr>
            <w:shd w:val="clear" w:color="auto" w:fill="F2F9F8"/>
          </w:tcPr>
          <w:p>
            <w:pPr>
              <w:pStyle w:val="Compact"/>
              <w:spacing w:after="20" w:before="20" w:line="240" w:lineRule="auto"/>
              <w:jc w:val="left"/>
            </w:pPr>
            <w:r>
              <w:rPr>
                <w:sz w:val="17"/>
              </w:rPr>
              <w:t xml:space="preserve">§ 21.2</w:t>
            </w:r>
          </w:p>
        </w:tc>
      </w:tr>
      <w:tr>
        <w:tc>
          <w:tcPr/>
          <w:p>
            <w:pPr>
              <w:pStyle w:val="Compact"/>
              <w:spacing w:after="20" w:before="20" w:line="240" w:lineRule="auto"/>
              <w:jc w:val="left"/>
            </w:pPr>
            <w:r>
              <w:rPr>
                <w:sz w:val="17"/>
              </w:rPr>
              <w:t xml:space="preserve">S5 — Gouvernance, propriété du système</w:t>
            </w:r>
          </w:p>
        </w:tc>
        <w:tc>
          <w:tcPr/>
          <w:p>
            <w:pPr>
              <w:pStyle w:val="Compact"/>
              <w:spacing w:after="20" w:before="20" w:line="240" w:lineRule="auto"/>
              <w:jc w:val="left"/>
            </w:pPr>
            <w:r>
              <w:rPr>
                <w:sz w:val="17"/>
              </w:rPr>
              <w:t xml:space="preserve">§ 36 ; § 33</w:t>
            </w:r>
          </w:p>
        </w:tc>
      </w:tr>
      <w:tr>
        <w:tc>
          <w:tcPr>
            <w:shd w:val="clear" w:color="auto" w:fill="F2F9F8"/>
          </w:tcPr>
          <w:p>
            <w:pPr>
              <w:pStyle w:val="Compact"/>
              <w:spacing w:after="20" w:before="20" w:line="240" w:lineRule="auto"/>
              <w:jc w:val="left"/>
            </w:pPr>
            <w:r>
              <w:rPr>
                <w:sz w:val="17"/>
              </w:rPr>
              <w:t xml:space="preserve">S5 — Déploiement, pilote, passage à l’échelle</w:t>
            </w:r>
          </w:p>
        </w:tc>
        <w:tc>
          <w:tcPr>
            <w:shd w:val="clear" w:color="auto" w:fill="F2F9F8"/>
          </w:tcPr>
          <w:p>
            <w:pPr>
              <w:pStyle w:val="Compact"/>
              <w:spacing w:after="20" w:before="20" w:line="240" w:lineRule="auto"/>
              <w:jc w:val="left"/>
            </w:pPr>
            <w:r>
              <w:rPr>
                <w:sz w:val="17"/>
              </w:rPr>
              <w:t xml:space="preserve">§ 34.4 ; § 45</w:t>
            </w:r>
          </w:p>
        </w:tc>
      </w:tr>
      <w:tr>
        <w:tc>
          <w:tcPr/>
          <w:p>
            <w:pPr>
              <w:pStyle w:val="Compact"/>
              <w:spacing w:after="20" w:before="20" w:line="240" w:lineRule="auto"/>
              <w:jc w:val="left"/>
            </w:pPr>
            <w:r>
              <w:rPr>
                <w:sz w:val="17"/>
              </w:rPr>
              <w:t xml:space="preserve">S5 — Douze leviers, 100 premiers jours</w:t>
            </w:r>
          </w:p>
        </w:tc>
        <w:tc>
          <w:tcPr/>
          <w:p>
            <w:pPr>
              <w:pStyle w:val="Compact"/>
              <w:spacing w:after="20" w:before="20" w:line="240" w:lineRule="auto"/>
              <w:jc w:val="left"/>
            </w:pPr>
            <w:r>
              <w:rPr>
                <w:sz w:val="17"/>
              </w:rPr>
              <w:t xml:space="preserve">§ 8.6 ; § 46</w:t>
            </w:r>
          </w:p>
        </w:tc>
      </w:tr>
      <w:tr>
        <w:tc>
          <w:tcPr>
            <w:shd w:val="clear" w:color="auto" w:fill="F2F9F8"/>
          </w:tcPr>
          <w:p>
            <w:pPr>
              <w:pStyle w:val="Compact"/>
              <w:spacing w:after="20" w:before="20" w:line="240" w:lineRule="auto"/>
              <w:jc w:val="left"/>
            </w:pPr>
            <w:r>
              <w:rPr>
                <w:sz w:val="17"/>
              </w:rPr>
              <w:t xml:space="preserve">S5 — Indicateurs</w:t>
            </w:r>
          </w:p>
        </w:tc>
        <w:tc>
          <w:tcPr>
            <w:shd w:val="clear" w:color="auto" w:fill="F2F9F8"/>
          </w:tcPr>
          <w:p>
            <w:pPr>
              <w:pStyle w:val="Compact"/>
              <w:spacing w:after="20" w:before="20" w:line="240" w:lineRule="auto"/>
              <w:jc w:val="left"/>
            </w:pPr>
            <w:r>
              <w:rPr>
                <w:sz w:val="17"/>
              </w:rPr>
              <w:t xml:space="preserve">§ 39</w:t>
            </w:r>
          </w:p>
        </w:tc>
      </w:tr>
      <w:tr>
        <w:tc>
          <w:tcPr/>
          <w:p>
            <w:pPr>
              <w:pStyle w:val="Compact"/>
              <w:spacing w:after="20" w:before="20" w:line="240" w:lineRule="auto"/>
              <w:jc w:val="left"/>
            </w:pPr>
            <w:r>
              <w:rPr>
                <w:sz w:val="17"/>
              </w:rPr>
              <w:t xml:space="preserve">S5 — Modèle économique, règles commerciales</w:t>
            </w:r>
          </w:p>
        </w:tc>
        <w:tc>
          <w:tcPr/>
          <w:p>
            <w:pPr>
              <w:pStyle w:val="Compact"/>
              <w:spacing w:after="20" w:before="20" w:line="240" w:lineRule="auto"/>
              <w:jc w:val="left"/>
            </w:pPr>
            <w:r>
              <w:rPr>
                <w:sz w:val="17"/>
              </w:rPr>
              <w:t xml:space="preserve">§ 37 ; § 37A.8</w:t>
            </w:r>
          </w:p>
        </w:tc>
      </w:tr>
      <w:tr>
        <w:tc>
          <w:tcPr>
            <w:shd w:val="clear" w:color="auto" w:fill="F2F9F8"/>
          </w:tcPr>
          <w:p>
            <w:pPr>
              <w:pStyle w:val="Compact"/>
              <w:spacing w:after="20" w:before="20" w:line="240" w:lineRule="auto"/>
              <w:jc w:val="left"/>
            </w:pPr>
            <w:r>
              <w:rPr>
                <w:sz w:val="17"/>
              </w:rPr>
              <w:t xml:space="preserve">S5 — Risques, critères d’acceptation, décisions</w:t>
            </w:r>
          </w:p>
        </w:tc>
        <w:tc>
          <w:tcPr>
            <w:shd w:val="clear" w:color="auto" w:fill="F2F9F8"/>
          </w:tcPr>
          <w:p>
            <w:pPr>
              <w:pStyle w:val="Compact"/>
              <w:spacing w:after="20" w:before="20" w:line="240" w:lineRule="auto"/>
              <w:jc w:val="left"/>
            </w:pPr>
            <w:r>
              <w:rPr>
                <w:sz w:val="17"/>
              </w:rPr>
              <w:t xml:space="preserve">§ 40 ; § 41 ; § 47</w:t>
            </w:r>
          </w:p>
        </w:tc>
      </w:tr>
      <w:tr>
        <w:tc>
          <w:tcPr/>
          <w:p>
            <w:pPr>
              <w:pStyle w:val="Compact"/>
              <w:spacing w:after="20" w:before="20" w:line="240" w:lineRule="auto"/>
              <w:jc w:val="left"/>
            </w:pPr>
            <w:r>
              <w:rPr>
                <w:sz w:val="17"/>
              </w:rPr>
              <w:t xml:space="preserve">S6 — KIN-AVIA FISCUS, sections 1 à 12</w:t>
            </w:r>
          </w:p>
        </w:tc>
        <w:tc>
          <w:tcPr/>
          <w:p>
            <w:pPr>
              <w:pStyle w:val="Compact"/>
              <w:spacing w:after="20" w:before="20" w:line="240" w:lineRule="auto"/>
              <w:jc w:val="left"/>
            </w:pPr>
            <w:r>
              <w:rPr>
                <w:sz w:val="17"/>
              </w:rPr>
              <w:t xml:space="preserve">§ 11C ; décision 20 ; Annexe B (points 23, 24)</w:t>
            </w:r>
          </w:p>
        </w:tc>
      </w:tr>
      <w:tr>
        <w:tc>
          <w:tcPr>
            <w:shd w:val="clear" w:color="auto" w:fill="F2F9F8"/>
          </w:tcPr>
          <w:p>
            <w:pPr>
              <w:pStyle w:val="Compact"/>
              <w:spacing w:after="20" w:before="20" w:line="240" w:lineRule="auto"/>
              <w:jc w:val="left"/>
            </w:pPr>
            <w:r>
              <w:rPr>
                <w:sz w:val="17"/>
              </w:rPr>
              <w:t xml:space="preserve">S7 — RakaPay, sections 1 à 12</w:t>
            </w:r>
          </w:p>
        </w:tc>
        <w:tc>
          <w:tcPr>
            <w:shd w:val="clear" w:color="auto" w:fill="F2F9F8"/>
          </w:tcPr>
          <w:p>
            <w:pPr>
              <w:pStyle w:val="Compact"/>
              <w:spacing w:after="20" w:before="20" w:line="240" w:lineRule="auto"/>
              <w:jc w:val="left"/>
            </w:pPr>
            <w:r>
              <w:rPr>
                <w:sz w:val="17"/>
              </w:rPr>
              <w:t xml:space="preserve">§ 11D ; § 19A ; décision 24 ; Annexe B (point 26)</w:t>
            </w:r>
          </w:p>
        </w:tc>
      </w:tr>
      <w:tr>
        <w:tc>
          <w:tcPr/>
          <w:p>
            <w:pPr>
              <w:pStyle w:val="Compact"/>
              <w:spacing w:after="20" w:before="20" w:line="240" w:lineRule="auto"/>
              <w:jc w:val="left"/>
            </w:pPr>
            <w:r>
              <w:rPr>
                <w:sz w:val="17"/>
              </w:rPr>
              <w:t xml:space="preserve">S8 — ParkSmart, sections 1 à 13</w:t>
            </w:r>
          </w:p>
        </w:tc>
        <w:tc>
          <w:tcPr/>
          <w:p>
            <w:pPr>
              <w:pStyle w:val="Compact"/>
              <w:spacing w:after="20" w:before="20" w:line="240" w:lineRule="auto"/>
              <w:jc w:val="left"/>
            </w:pPr>
            <w:r>
              <w:rPr>
                <w:sz w:val="17"/>
              </w:rPr>
              <w:t xml:space="preserve">§ 11A ; décision 19 ; Annexe B (point 25)</w:t>
            </w:r>
          </w:p>
        </w:tc>
      </w:tr>
      <w:tr>
        <w:tc>
          <w:tcPr>
            <w:shd w:val="clear" w:color="auto" w:fill="F2F9F8"/>
          </w:tcPr>
          <w:p>
            <w:pPr>
              <w:pStyle w:val="Compact"/>
              <w:spacing w:after="20" w:before="20" w:line="240" w:lineRule="auto"/>
              <w:jc w:val="left"/>
            </w:pPr>
            <w:r>
              <w:rPr>
                <w:sz w:val="17"/>
              </w:rPr>
              <w:t xml:space="preserve">S9 — CALCU et note technique</w:t>
            </w:r>
          </w:p>
        </w:tc>
        <w:tc>
          <w:tcPr>
            <w:shd w:val="clear" w:color="auto" w:fill="F2F9F8"/>
          </w:tcPr>
          <w:p>
            <w:pPr>
              <w:pStyle w:val="Compact"/>
              <w:spacing w:after="20" w:before="20" w:line="240" w:lineRule="auto"/>
              <w:jc w:val="left"/>
            </w:pPr>
            <w:r>
              <w:rPr>
                <w:sz w:val="17"/>
              </w:rPr>
              <w:t xml:space="preserve">§ 27A ; décision 23 ; Annexe B (point 27)</w:t>
            </w:r>
          </w:p>
        </w:tc>
      </w:tr>
      <w:tr>
        <w:tc>
          <w:tcPr/>
          <w:p>
            <w:pPr>
              <w:pStyle w:val="Compact"/>
              <w:spacing w:after="20" w:before="20" w:line="240" w:lineRule="auto"/>
              <w:jc w:val="left"/>
            </w:pPr>
            <w:r>
              <w:rPr>
                <w:sz w:val="17"/>
              </w:rPr>
              <w:t xml:space="preserve">S10 — KIN PUB CONTROL, sections 1 à 18</w:t>
            </w:r>
          </w:p>
        </w:tc>
        <w:tc>
          <w:tcPr/>
          <w:p>
            <w:pPr>
              <w:pStyle w:val="Compact"/>
              <w:spacing w:after="20" w:before="20" w:line="240" w:lineRule="auto"/>
              <w:jc w:val="left"/>
            </w:pPr>
            <w:r>
              <w:rPr>
                <w:sz w:val="17"/>
              </w:rPr>
              <w:t xml:space="preserve">§ 11B ; décision 21</w:t>
            </w:r>
          </w:p>
        </w:tc>
      </w:tr>
      <w:tr>
        <w:tc>
          <w:tcPr>
            <w:shd w:val="clear" w:color="auto" w:fill="F2F9F8"/>
          </w:tcPr>
          <w:p>
            <w:pPr>
              <w:pStyle w:val="Compact"/>
              <w:spacing w:after="20" w:before="20" w:line="240" w:lineRule="auto"/>
              <w:jc w:val="left"/>
            </w:pPr>
            <w:r>
              <w:rPr>
                <w:sz w:val="17"/>
              </w:rPr>
              <w:t xml:space="preserve">S11 — Plaques fiscales NFIU</w:t>
            </w:r>
          </w:p>
        </w:tc>
        <w:tc>
          <w:tcPr>
            <w:shd w:val="clear" w:color="auto" w:fill="F2F9F8"/>
          </w:tcPr>
          <w:p>
            <w:pPr>
              <w:pStyle w:val="Compact"/>
              <w:spacing w:after="20" w:before="20" w:line="240" w:lineRule="auto"/>
              <w:jc w:val="left"/>
            </w:pPr>
            <w:r>
              <w:rPr>
                <w:sz w:val="17"/>
              </w:rPr>
              <w:t xml:space="preserve">§ 16.7 ; § 15.5 ; décision 22 ; Annexe B (point 28)</w:t>
            </w:r>
          </w:p>
        </w:tc>
      </w:tr>
      <w:tr>
        <w:tc>
          <w:tcPr/>
          <w:p>
            <w:pPr>
              <w:pStyle w:val="Compact"/>
              <w:spacing w:after="20" w:before="20" w:line="240" w:lineRule="auto"/>
              <w:jc w:val="left"/>
            </w:pPr>
            <w:r>
              <w:rPr>
                <w:sz w:val="17"/>
              </w:rPr>
              <w:t xml:space="preserve">S12 — Plan directeur anglais</w:t>
            </w:r>
          </w:p>
        </w:tc>
        <w:tc>
          <w:tcPr/>
          <w:p>
            <w:pPr>
              <w:pStyle w:val="Compact"/>
              <w:spacing w:after="20" w:before="20" w:line="240" w:lineRule="auto"/>
              <w:jc w:val="left"/>
            </w:pPr>
            <w:r>
              <w:rPr>
                <w:sz w:val="17"/>
              </w:rPr>
              <w:t xml:space="preserve">§ 8.5 ; § 13A.1 (WhatsApp) ; § 28.6 ; § 7.5 (e-DGRK)</w:t>
            </w:r>
          </w:p>
        </w:tc>
      </w:tr>
      <w:tr>
        <w:tc>
          <w:tcPr>
            <w:shd w:val="clear" w:color="auto" w:fill="F2F9F8"/>
          </w:tcPr>
          <w:p>
            <w:pPr>
              <w:pStyle w:val="Compact"/>
              <w:spacing w:after="20" w:before="20" w:line="240" w:lineRule="auto"/>
              <w:jc w:val="left"/>
            </w:pPr>
            <w:r>
              <w:rPr>
                <w:sz w:val="17"/>
              </w:rPr>
              <w:t xml:space="preserve">S13 — Note de projet KIN-RECETTES et liste des impôts</w:t>
            </w:r>
          </w:p>
        </w:tc>
        <w:tc>
          <w:tcPr>
            <w:shd w:val="clear" w:color="auto" w:fill="F2F9F8"/>
          </w:tcPr>
          <w:p>
            <w:pPr>
              <w:pStyle w:val="Compact"/>
              <w:spacing w:after="20" w:before="20" w:line="240" w:lineRule="auto"/>
              <w:jc w:val="left"/>
            </w:pPr>
            <w:r>
              <w:rPr>
                <w:sz w:val="17"/>
              </w:rPr>
              <w:t xml:space="preserve">Base de S1 ; § 15.5 (écrans de contrôle, 430 m)</w:t>
            </w:r>
          </w:p>
        </w:tc>
      </w:tr>
    </w:tbl>
    <w:p>
      <w:pPr>
        <w:pStyle w:val="BodyText"/>
      </w:pPr>
      <w:r>
        <w:rPr>
          <w:b/>
          <w:bCs/>
        </w:rPr>
        <w:t xml:space="preserve">Version 2.8 — compléments RakaPay et moto-taxis (wewa)</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Élément</w:t>
            </w:r>
          </w:p>
        </w:tc>
        <w:tc>
          <w:tcPr>
            <w:shd w:val="clear" w:color="auto" w:fill="1BA996"/>
          </w:tcPr>
          <w:p>
            <w:pPr>
              <w:pStyle w:val="Compact"/>
              <w:spacing w:after="20" w:before="20" w:line="240" w:lineRule="auto"/>
              <w:jc w:val="left"/>
            </w:pPr>
            <w:r>
              <w:rPr>
                <w:b/>
                <w:color w:val="FFFFFF"/>
                <w:sz w:val="17"/>
              </w:rPr>
              <w:t xml:space="preserve">Section</w:t>
            </w:r>
          </w:p>
        </w:tc>
      </w:tr>
      <w:tr>
        <w:tc>
          <w:tcPr/>
          <w:p>
            <w:pPr>
              <w:pStyle w:val="Compact"/>
              <w:spacing w:after="20" w:before="20" w:line="240" w:lineRule="auto"/>
              <w:jc w:val="left"/>
            </w:pPr>
            <w:r>
              <w:rPr>
                <w:sz w:val="17"/>
              </w:rPr>
              <w:t xml:space="preserve">RakaPay : parcours usager, agent, opérateur et supervision ; commission calculée instantanément ; audit comportemental et blocage préventif</w:t>
            </w:r>
          </w:p>
        </w:tc>
        <w:tc>
          <w:tcPr/>
          <w:p>
            <w:pPr>
              <w:pStyle w:val="Compact"/>
              <w:spacing w:after="20" w:before="20" w:line="240" w:lineRule="auto"/>
              <w:jc w:val="left"/>
            </w:pPr>
            <w:r>
              <w:rPr>
                <w:sz w:val="17"/>
              </w:rPr>
              <w:t xml:space="preserve">§ 11D.6</w:t>
            </w:r>
          </w:p>
        </w:tc>
      </w:tr>
      <w:tr>
        <w:tc>
          <w:tcPr>
            <w:shd w:val="clear" w:color="auto" w:fill="F2F9F8"/>
          </w:tcPr>
          <w:p>
            <w:pPr>
              <w:pStyle w:val="Compact"/>
              <w:spacing w:after="20" w:before="20" w:line="240" w:lineRule="auto"/>
              <w:jc w:val="left"/>
            </w:pPr>
            <w:r>
              <w:rPr>
                <w:sz w:val="17"/>
              </w:rPr>
              <w:t xml:space="preserve">RakaPay : modèle économique ouvert, opérateurs privés et commission de service séparée des recettes publiques</w:t>
            </w:r>
          </w:p>
        </w:tc>
        <w:tc>
          <w:tcPr>
            <w:shd w:val="clear" w:color="auto" w:fill="F2F9F8"/>
          </w:tcPr>
          <w:p>
            <w:pPr>
              <w:pStyle w:val="Compact"/>
              <w:spacing w:after="20" w:before="20" w:line="240" w:lineRule="auto"/>
              <w:jc w:val="left"/>
            </w:pPr>
            <w:r>
              <w:rPr>
                <w:sz w:val="17"/>
              </w:rPr>
              <w:t xml:space="preserve">§ 11D.7</w:t>
            </w:r>
          </w:p>
        </w:tc>
      </w:tr>
      <w:tr>
        <w:tc>
          <w:tcPr/>
          <w:p>
            <w:pPr>
              <w:pStyle w:val="Compact"/>
              <w:spacing w:after="20" w:before="20" w:line="240" w:lineRule="auto"/>
              <w:jc w:val="left"/>
            </w:pPr>
            <w:r>
              <w:rPr>
                <w:sz w:val="17"/>
              </w:rPr>
              <w:t xml:space="preserve">Moto-taxis (wewa) : registre, pass, paiement sans espèces, contrôle protecteur, coopératives, bénéfices, illustration, déploiement, cadre juridique</w:t>
            </w:r>
          </w:p>
        </w:tc>
        <w:tc>
          <w:tcPr/>
          <w:p>
            <w:pPr>
              <w:pStyle w:val="Compact"/>
              <w:spacing w:after="20" w:before="20" w:line="240" w:lineRule="auto"/>
              <w:jc w:val="left"/>
            </w:pPr>
            <w:r>
              <w:rPr>
                <w:sz w:val="17"/>
              </w:rPr>
              <w:t xml:space="preserve">Chapitre dédié en v2.8, devenu § 11D.8 en v2.9 ; module 81 ; § 11.1 ; § 19A.4</w:t>
            </w:r>
          </w:p>
        </w:tc>
      </w:tr>
      <w:tr>
        <w:tc>
          <w:tcPr>
            <w:shd w:val="clear" w:color="auto" w:fill="F2F9F8"/>
          </w:tcPr>
          <w:p>
            <w:pPr>
              <w:pStyle w:val="Compact"/>
              <w:spacing w:after="20" w:before="20" w:line="240" w:lineRule="auto"/>
              <w:jc w:val="left"/>
            </w:pPr>
            <w:r>
              <w:rPr>
                <w:sz w:val="17"/>
              </w:rPr>
              <w:t xml:space="preserve">Mises à jour transverses</w:t>
            </w:r>
          </w:p>
        </w:tc>
        <w:tc>
          <w:tcPr>
            <w:shd w:val="clear" w:color="auto" w:fill="F2F9F8"/>
          </w:tcPr>
          <w:p>
            <w:pPr>
              <w:pStyle w:val="Compact"/>
              <w:spacing w:after="20" w:before="20" w:line="240" w:lineRule="auto"/>
              <w:jc w:val="left"/>
            </w:pPr>
            <w:r>
              <w:rPr>
                <w:sz w:val="17"/>
              </w:rPr>
              <w:t xml:space="preserve">§ 39 ; § 40 ; § 41 ; § 42.10 ; § 47.3 (décision 25) ; Annexe B (point 29) ; Annexe C</w:t>
            </w:r>
          </w:p>
        </w:tc>
      </w:tr>
    </w:tbl>
    <w:p>
      <w:pPr>
        <w:pStyle w:val="BodyText"/>
      </w:pPr>
      <w:r>
        <w:rPr>
          <w:b/>
          <w:bCs/>
        </w:rPr>
        <w:t xml:space="preserve">Version 2.9 — intégration des moto-taxis (wewa) dans la billetterie RakaPay</w:t>
      </w:r>
    </w:p>
    <w:tbl>
      <w:tblPr>
        <w:tblStyle w:val="Table"/>
        <w:tblW w:type="pct" w:w="5000"/>
        <w:jc w:val="star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blHeader/>
        </w:trPr>
        <w:tc>
          <w:tcPr>
            <w:shd w:val="clear" w:color="auto" w:fill="1BA996"/>
          </w:tcPr>
          <w:p>
            <w:pPr>
              <w:pStyle w:val="Compact"/>
              <w:spacing w:after="20" w:before="20" w:line="240" w:lineRule="auto"/>
              <w:jc w:val="left"/>
            </w:pPr>
            <w:r>
              <w:rPr>
                <w:b/>
                <w:color w:val="FFFFFF"/>
                <w:sz w:val="17"/>
              </w:rPr>
              <w:t xml:space="preserve">Élément</w:t>
            </w:r>
          </w:p>
        </w:tc>
        <w:tc>
          <w:tcPr>
            <w:shd w:val="clear" w:color="auto" w:fill="1BA996"/>
          </w:tcPr>
          <w:p>
            <w:pPr>
              <w:pStyle w:val="Compact"/>
              <w:spacing w:after="20" w:before="20" w:line="240" w:lineRule="auto"/>
              <w:jc w:val="left"/>
            </w:pPr>
            <w:r>
              <w:rPr>
                <w:b/>
                <w:color w:val="FFFFFF"/>
                <w:sz w:val="17"/>
              </w:rPr>
              <w:t xml:space="preserve">Section</w:t>
            </w:r>
          </w:p>
        </w:tc>
      </w:tr>
      <w:tr>
        <w:tc>
          <w:tcPr/>
          <w:p>
            <w:pPr>
              <w:pStyle w:val="Compact"/>
              <w:spacing w:after="20" w:before="20" w:line="240" w:lineRule="auto"/>
              <w:jc w:val="left"/>
            </w:pPr>
            <w:r>
              <w:rPr>
                <w:sz w:val="17"/>
              </w:rPr>
              <w:t xml:space="preserve">Le chapitre consacré aux wewa en version 2.8 est intégré au chapitre 11D (billetterie RakaPay) sous la forme du § 11D.8 ; le pass wewa est un ticket RakaPay à durée</w:t>
            </w:r>
          </w:p>
        </w:tc>
        <w:tc>
          <w:tcPr/>
          <w:p>
            <w:pPr>
              <w:pStyle w:val="Compact"/>
              <w:spacing w:after="20" w:before="20" w:line="240" w:lineRule="auto"/>
              <w:jc w:val="left"/>
            </w:pPr>
            <w:r>
              <w:rPr>
                <w:sz w:val="17"/>
              </w:rPr>
              <w:t xml:space="preserve">§ 11D.8 ; module 81 ; § 11.1</w:t>
            </w:r>
          </w:p>
        </w:tc>
      </w:tr>
      <w:tr>
        <w:tc>
          <w:tcPr>
            <w:shd w:val="clear" w:color="auto" w:fill="F2F9F8"/>
          </w:tcPr>
          <w:p>
            <w:pPr>
              <w:pStyle w:val="Compact"/>
              <w:spacing w:after="20" w:before="20" w:line="240" w:lineRule="auto"/>
              <w:jc w:val="left"/>
            </w:pPr>
            <w:r>
              <w:rPr>
                <w:sz w:val="17"/>
              </w:rPr>
              <w:t xml:space="preserve">Estimation de plus d’un million de wewa à Kinshasa (promoteur, à confirmer par le recensement) ; illustration recalculée sur 300 jours d’activité : 150 Md FC par an, soit ≈ 65 M$ à conformité totale au cours d’environ 2 300 CDF/USD (cours BCC de septembre 2026)</w:t>
            </w:r>
          </w:p>
        </w:tc>
        <w:tc>
          <w:tcPr>
            <w:shd w:val="clear" w:color="auto" w:fill="F2F9F8"/>
          </w:tcPr>
          <w:p>
            <w:pPr>
              <w:pStyle w:val="Compact"/>
              <w:spacing w:after="20" w:before="20" w:line="240" w:lineRule="auto"/>
              <w:jc w:val="left"/>
            </w:pPr>
            <w:r>
              <w:rPr>
                <w:sz w:val="17"/>
              </w:rPr>
              <w:t xml:space="preserve">§ 11D.8 (illustration économique)</w:t>
            </w:r>
          </w:p>
        </w:tc>
      </w:tr>
      <w:tr>
        <w:tc>
          <w:tcPr/>
          <w:p>
            <w:pPr>
              <w:pStyle w:val="Compact"/>
              <w:spacing w:after="20" w:before="20" w:line="240" w:lineRule="auto"/>
              <w:jc w:val="left"/>
            </w:pPr>
            <w:r>
              <w:rPr>
                <w:sz w:val="17"/>
              </w:rPr>
              <w:t xml:space="preserve">Références mises à jour</w:t>
            </w:r>
          </w:p>
        </w:tc>
        <w:tc>
          <w:tcPr/>
          <w:p>
            <w:pPr>
              <w:pStyle w:val="Compact"/>
              <w:spacing w:after="20" w:before="20" w:line="240" w:lineRule="auto"/>
              <w:jc w:val="left"/>
            </w:pPr>
            <w:r>
              <w:rPr>
                <w:sz w:val="17"/>
              </w:rPr>
              <w:t xml:space="preserve">§ 11D ; décision 25 ; Annexe B (point 29) ; Annexe C ; § 40 ; § 42.10</w:t>
            </w:r>
          </w:p>
        </w:tc>
      </w:tr>
    </w:tbl>
    <w:bookmarkEnd w:id="329"/>
    <w:sectPr>
      <w:headerReference w:type="first" r:id="rId10"/>
      <w:footerReference w:type="first" r:id="rId11"/>
      <w:headerReference w:type="default" r:id="rId12"/>
      <w:footerReference w:type="default" r:id="rId13"/>
      <w:pgSz w:h="16838" w:w="11906"/>
      <w:pgMar w:bottom="1134" w:left="1247" w:right="1247" w:top="1247" w:header="708" w:footer="708"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6A"/>
        <w:sz w:val="16"/>
      </w:rPr>
      <w:t xml:space="preserve">Groupe Nseya Digital / JNN Global Ltd  ·  Document de travail soumis à validation juridique  ·  Page </w:t>
    </w:r>
    <w:r>
      <w:rPr>
        <w:color w:val="5F6B6A"/>
        <w:sz w:val="16"/>
      </w:rPr>
    </w:r>
    <w:r>
      <w:rPr>
        <w:color w:val="5F6B6A"/>
        <w:sz w:val="16"/>
      </w:rPr>
      <w:fldChar w:fldCharType="begin"/>
    </w:r>
    <w:r>
      <w:rPr>
        <w:color w:val="5F6B6A"/>
        <w:sz w:val="16"/>
      </w:rPr>
      <w:instrText xml:space="preserve">PAGE</w:instrText>
    </w:r>
    <w:r>
      <w:rPr>
        <w:color w:val="5F6B6A"/>
        <w:sz w:val="16"/>
      </w:rPr>
      <w:fldChar w:fldCharType="separate"/>
    </w:r>
    <w:r>
      <w:rPr>
        <w:color w:val="5F6B6A"/>
        <w:sz w:val="16"/>
      </w:rPr>
      <w:t>1</w:t>
    </w:r>
    <w:r>
      <w:rPr>
        <w:color w:val="5F6B6A"/>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BA996"/>
        <w:sz w:val="16"/>
      </w:rPr>
      <w:t>KINSHASA MOSOLO</w:t>
    </w:r>
    <w:r>
      <w:rPr>
        <w:color w:val="5F6B6A"/>
        <w:sz w:val="16"/>
      </w:rPr>
      <w:t xml:space="preserve">  ·  Cahier des exigences consolidé v2.9</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222B2A"/>
      <w:sz w:val="21"/>
    </w:rPr>
  </w:style>
  <w:style w:styleId="BodyText" w:type="paragraph">
    <w:name w:val="Body Text"/>
    <w:basedOn w:val="Normal"/>
    <w:link w:val="BodyTextChar"/>
    <w:qFormat/>
    <w:pPr>
      <w:spacing w:after="120" w:before="0" w:line="269" w:lineRule="auto"/>
    </w:pPr>
    <w:rPr>
      <w:rFonts w:ascii="Calibri" w:cs="Calibri" w:eastAsia="Calibri" w:hAnsi="Calibri"/>
      <w:color w:val="222B2A"/>
      <w:sz w:val="21"/>
    </w:rPr>
  </w:style>
  <w:style w:customStyle="1" w:styleId="FirstParagraph" w:type="paragraph">
    <w:name w:val="First Paragraph"/>
    <w:basedOn w:val="BodyText"/>
    <w:next w:val="BodyText"/>
    <w:qFormat/>
    <w:pPr>
      <w:spacing w:after="120" w:before="0" w:line="269" w:lineRule="auto"/>
    </w:pPr>
    <w:rPr>
      <w:rFonts w:ascii="Calibri" w:cs="Calibri" w:eastAsia="Calibri" w:hAnsi="Calibri"/>
      <w:color w:val="222B2A"/>
      <w:sz w:val="21"/>
    </w:rPr>
  </w:style>
  <w:style w:customStyle="1" w:styleId="Compact" w:type="paragraph">
    <w:name w:val="Compact"/>
    <w:basedOn w:val="BodyText"/>
    <w:qFormat/>
    <w:pPr>
      <w:spacing w:after="36" w:before="36"/>
    </w:pPr>
    <w:rPr>
      <w:rFonts w:ascii="Calibri" w:cs="Calibri" w:eastAsia="Calibri" w:hAnsi="Calibri"/>
      <w:color w:val="222B2A"/>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BA996"/>
      <w:sz w:val="48"/>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color w:val="1BA996"/>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Bdr>
        <w:bottom w:color="1BA996" w:space="4" w:sz="8" w:val="single"/>
      </w:pBdr>
      <w:spacing w:after="160" w:before="360"/>
      <w:outlineLvl w:val="0"/>
    </w:pPr>
    <w:rPr>
      <w:rFonts w:ascii="Calibri" w:cs="Calibri" w:eastAsia="Calibri" w:hAnsi="Calibri"/>
      <w:b/>
      <w:bCs/>
      <w:color w:val="1BA996"/>
      <w:sz w:val="34"/>
      <w:szCs w:val="32"/>
    </w:rPr>
  </w:style>
  <w:style w:styleId="Heading2" w:type="paragraph">
    <w:name w:val="Heading 2"/>
    <w:basedOn w:val="Normal"/>
    <w:next w:val="BodyText"/>
    <w:uiPriority w:val="9"/>
    <w:unhideWhenUsed/>
    <w:qFormat/>
    <w:pPr>
      <w:keepNext/>
      <w:keepLines/>
      <w:spacing w:after="120" w:before="280"/>
      <w:outlineLvl w:val="1"/>
    </w:pPr>
    <w:rPr>
      <w:rFonts w:ascii="Calibri" w:cs="Calibri" w:eastAsia="Calibri" w:hAnsi="Calibri"/>
      <w:b/>
      <w:bCs/>
      <w:color w:val="0E5E55"/>
      <w:sz w:val="27"/>
      <w:szCs w:val="28"/>
    </w:rPr>
  </w:style>
  <w:style w:styleId="Heading3" w:type="paragraph">
    <w:name w:val="Heading 3"/>
    <w:basedOn w:val="Normal"/>
    <w:next w:val="BodyText"/>
    <w:uiPriority w:val="9"/>
    <w:unhideWhenUsed/>
    <w:qFormat/>
    <w:pPr>
      <w:keepNext/>
      <w:keepLines/>
      <w:spacing w:after="80" w:before="200"/>
      <w:outlineLvl w:val="2"/>
    </w:pPr>
    <w:rPr>
      <w:rFonts w:ascii="Calibri" w:cs="Calibri" w:eastAsia="Calibri" w:hAnsi="Calibri"/>
      <w:b/>
      <w:bCs/>
      <w:color w:val="1BA996"/>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1BA996" w:space="8" w:sz="24" w:val="single"/>
      </w:pBdr>
      <w:shd w:color="auto" w:fill="E8F6F3" w:val="clear"/>
      <w:spacing w:after="80" w:before="80"/>
      <w:ind w:firstLine="0" w:left="227" w:right="113"/>
    </w:pPr>
    <w:rPr>
      <w:rFonts w:ascii="Calibri" w:cs="Calibri" w:eastAsia="Calibri" w:hAnsi="Calibri"/>
      <w:i w:val="0"/>
      <w:color w:val="222B2A"/>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bCs w:val="0"/>
      <w:color w:val="1BA996"/>
      <w:sz w:val="3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KINSHASA MOSOLO — Cahier des exigences consolidé v2.9</dc:title>
  <dc:creator>Groupe Nseya Digital / JNN Global Ltd</dc:creator>
  <dc:language>fr-FR</dc:language>
  <cp:keywords/>
  <dcterms:created xsi:type="dcterms:W3CDTF">2026-09-24T19:29:50Z</dcterms:created>
  <dcterms:modified xsi:type="dcterms:W3CDTF">2026-09-24T19:29:50Z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des matières</vt:lpwstr>
  </property>
</Properties>
</file>