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KINSHASA MOSOLO</w:t>
      </w:r>
    </w:p>
    <w:p>
      <w:pPr>
        <w:jc w:val="center"/>
      </w:pPr>
      <w:r>
        <w:rPr>
          <w:b/>
          <w:sz w:val="30"/>
        </w:rPr>
        <w:t>SOVEREIGN REVENUE MAXIMISATION OPERATING SYSTEM</w:t>
      </w:r>
    </w:p>
    <w:p>
      <w:pPr>
        <w:jc w:val="center"/>
      </w:pPr>
      <w:r>
        <w:rPr>
          <w:sz w:val="24"/>
        </w:rPr>
        <w:t>Système souverain de mobilisation, sécurisation, traçabilité et intelligence des recettes de la Ville-Province de Kinshasa</w:t>
      </w:r>
    </w:p>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r/>
            <w:r>
              <w:rPr>
                <w:rFonts w:ascii="Aptos" w:hAnsi="Aptos"/>
                <w:b/>
                <w:sz w:val="18"/>
              </w:rPr>
              <w:t>DOCUMENT</w:t>
            </w:r>
          </w:p>
        </w:tc>
        <w:tc>
          <w:tcPr>
            <w:tcW w:type="dxa" w:w="5100"/>
            <w:vAlign w:val="center"/>
          </w:tcPr>
          <w:p>
            <w:r/>
            <w:r>
              <w:rPr>
                <w:rFonts w:ascii="Aptos" w:hAnsi="Aptos"/>
                <w:b w:val="0"/>
                <w:sz w:val="18"/>
              </w:rPr>
              <w:t>Dossier consolidé – Gouverneur + Spécification directrice</w:t>
            </w:r>
          </w:p>
        </w:tc>
      </w:tr>
      <w:tr>
        <w:tc>
          <w:tcPr>
            <w:tcW w:type="dxa" w:w="5100"/>
            <w:vAlign w:val="center"/>
            <w:shd w:fill="D9EAF7"/>
          </w:tcPr>
          <w:p>
            <w:r/>
            <w:r>
              <w:rPr>
                <w:rFonts w:ascii="Aptos" w:hAnsi="Aptos"/>
                <w:b/>
                <w:sz w:val="18"/>
              </w:rPr>
              <w:t>VERSION</w:t>
            </w:r>
          </w:p>
        </w:tc>
        <w:tc>
          <w:tcPr>
            <w:tcW w:type="dxa" w:w="5100"/>
            <w:vAlign w:val="center"/>
          </w:tcPr>
          <w:p>
            <w:r/>
            <w:r>
              <w:rPr>
                <w:rFonts w:ascii="Aptos" w:hAnsi="Aptos"/>
                <w:b w:val="0"/>
                <w:sz w:val="18"/>
              </w:rPr>
              <w:t>1.0 – Septembre 2026</w:t>
            </w:r>
          </w:p>
        </w:tc>
      </w:tr>
      <w:tr>
        <w:tc>
          <w:tcPr>
            <w:tcW w:type="dxa" w:w="5100"/>
            <w:vAlign w:val="center"/>
            <w:shd w:fill="D9EAF7"/>
          </w:tcPr>
          <w:p>
            <w:r/>
            <w:r>
              <w:rPr>
                <w:rFonts w:ascii="Aptos" w:hAnsi="Aptos"/>
                <w:b/>
                <w:sz w:val="18"/>
              </w:rPr>
              <w:t>POSITIONNEMENT</w:t>
            </w:r>
          </w:p>
        </w:tc>
        <w:tc>
          <w:tcPr>
            <w:tcW w:type="dxa" w:w="5100"/>
            <w:vAlign w:val="center"/>
          </w:tcPr>
          <w:p>
            <w:r/>
            <w:r>
              <w:rPr>
                <w:rFonts w:ascii="Aptos" w:hAnsi="Aptos"/>
                <w:b w:val="0"/>
                <w:sz w:val="18"/>
              </w:rPr>
              <w:t>Une identité • un territoire • une règle légale • une recette traçable</w:t>
            </w:r>
          </w:p>
        </w:tc>
      </w:tr>
      <w:tr>
        <w:tc>
          <w:tcPr>
            <w:tcW w:type="dxa" w:w="5100"/>
            <w:vAlign w:val="center"/>
            <w:shd w:fill="D9EAF7"/>
          </w:tcPr>
          <w:p>
            <w:r/>
            <w:r>
              <w:rPr>
                <w:rFonts w:ascii="Aptos" w:hAnsi="Aptos"/>
                <w:b/>
                <w:sz w:val="18"/>
              </w:rPr>
              <w:t>PRINCIPE</w:t>
            </w:r>
          </w:p>
        </w:tc>
        <w:tc>
          <w:tcPr>
            <w:tcW w:type="dxa" w:w="5100"/>
            <w:vAlign w:val="center"/>
          </w:tcPr>
          <w:p>
            <w:r/>
            <w:r>
              <w:rPr>
                <w:rFonts w:ascii="Aptos" w:hAnsi="Aptos"/>
                <w:b w:val="0"/>
                <w:sz w:val="18"/>
              </w:rPr>
              <w:t>Chaque franc public doit être identifiable, rapprochable et auditable.</w:t>
            </w:r>
          </w:p>
        </w:tc>
      </w:tr>
    </w:tbl>
    <w:p>
      <w:r>
        <w:br w:type="page"/>
      </w:r>
    </w:p>
    <w:p>
      <w:pPr>
        <w:pStyle w:val="Heading1"/>
      </w:pPr>
      <w:r>
        <w:t>NOTE EXÉCUTIVE AU GOUVERNEUR — 1 PAGE</w:t>
      </w:r>
    </w:p>
    <w:p>
      <w:r>
        <w:rPr>
          <w:b/>
          <w:sz w:val="28"/>
        </w:rPr>
        <w:t>KINSHASA MOSOLO : transformer les recettes de Kinshasa en un système unique, visible et contrôlable.</w:t>
      </w:r>
    </w:p>
    <w:p>
      <w:r>
        <w:t>Aujourd’hui, le principal risque n’est pas seulement l’absence de nouvelles taxes : c’est la fragmentation de l’information, l’insuffisance du recensement, les doublons, les paiements difficiles à rapprocher, les recettes non exploitées, les arriérés, les contrôles dispersés et l’impossibilité de suivre un franc public de son fait générateur jusqu’à son encaissement effectif.</w:t>
      </w:r>
    </w:p>
    <w:p>
      <w:r>
        <w:rPr>
          <w:b/>
        </w:rPr>
        <w:t>LA DÉCISION PROPOSÉE</w:t>
      </w:r>
    </w:p>
    <w:p>
      <w:r>
        <w:t>Créer KINSHASA MOSOLO comme Revenue Operating System souverain de la Ville-Province : une plateforme faîtière qui relie identité, territoire, base juridique, obligations, paiement, Trésor, rapprochement, contrôle, recouvrement, audit, intelligence artificielle et planification publique.</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2F8"/>
          </w:tcPr>
          <w:p>
            <w:r/>
            <w:r>
              <w:rPr>
                <w:rFonts w:ascii="Aptos" w:hAnsi="Aptos"/>
                <w:b/>
                <w:sz w:val="17"/>
              </w:rPr>
              <w:t>1. RECENSER</w:t>
            </w:r>
          </w:p>
        </w:tc>
        <w:tc>
          <w:tcPr>
            <w:tcW w:type="dxa" w:w="5100"/>
            <w:vAlign w:val="center"/>
          </w:tcPr>
          <w:p>
            <w:r/>
            <w:r>
              <w:rPr>
                <w:rFonts w:ascii="Aptos" w:hAnsi="Aptos"/>
                <w:b w:val="0"/>
                <w:sz w:val="17"/>
              </w:rPr>
              <w:t>Un compte principal par personne ou organisation, relié à ses biens, activités, véhicules, locations, autorisations et autres objets pertinents.</w:t>
            </w:r>
          </w:p>
        </w:tc>
      </w:tr>
      <w:tr>
        <w:tc>
          <w:tcPr>
            <w:tcW w:type="dxa" w:w="5100"/>
            <w:vAlign w:val="center"/>
            <w:shd w:fill="EAF2F8"/>
          </w:tcPr>
          <w:p>
            <w:r/>
            <w:r>
              <w:rPr>
                <w:rFonts w:ascii="Aptos" w:hAnsi="Aptos"/>
                <w:b/>
                <w:sz w:val="17"/>
              </w:rPr>
              <w:t>2. LOCALISER</w:t>
            </w:r>
          </w:p>
        </w:tc>
        <w:tc>
          <w:tcPr>
            <w:tcW w:type="dxa" w:w="5100"/>
            <w:vAlign w:val="center"/>
          </w:tcPr>
          <w:p>
            <w:r/>
            <w:r>
              <w:rPr>
                <w:rFonts w:ascii="Aptos" w:hAnsi="Aptos"/>
                <w:b w:val="0"/>
                <w:sz w:val="17"/>
              </w:rPr>
              <w:t>Un GIS fiscal unique : commune → quartier → avenue → parcelle → bâtiment → unité → activité, avec identifiant géographique fiscal.</w:t>
            </w:r>
          </w:p>
        </w:tc>
      </w:tr>
      <w:tr>
        <w:tc>
          <w:tcPr>
            <w:tcW w:type="dxa" w:w="5100"/>
            <w:vAlign w:val="center"/>
            <w:shd w:fill="EAF2F8"/>
          </w:tcPr>
          <w:p>
            <w:r/>
            <w:r>
              <w:rPr>
                <w:rFonts w:ascii="Aptos" w:hAnsi="Aptos"/>
                <w:b/>
                <w:sz w:val="17"/>
              </w:rPr>
              <w:t>3. CALCULER LÉGALEMENT</w:t>
            </w:r>
          </w:p>
        </w:tc>
        <w:tc>
          <w:tcPr>
            <w:tcW w:type="dxa" w:w="5100"/>
            <w:vAlign w:val="center"/>
          </w:tcPr>
          <w:p>
            <w:r/>
            <w:r>
              <w:rPr>
                <w:rFonts w:ascii="Aptos" w:hAnsi="Aptos"/>
                <w:b w:val="0"/>
                <w:sz w:val="17"/>
              </w:rPr>
              <w:t>Aucun prélèvement sans règle juridique versionnée, validée, datée et auditable. Les taux non confirmés ne sont jamais codés en dur.</w:t>
            </w:r>
          </w:p>
        </w:tc>
      </w:tr>
      <w:tr>
        <w:tc>
          <w:tcPr>
            <w:tcW w:type="dxa" w:w="5100"/>
            <w:vAlign w:val="center"/>
            <w:shd w:fill="EAF2F8"/>
          </w:tcPr>
          <w:p>
            <w:r/>
            <w:r>
              <w:rPr>
                <w:rFonts w:ascii="Aptos" w:hAnsi="Aptos"/>
                <w:b/>
                <w:sz w:val="17"/>
              </w:rPr>
              <w:t>4. SÉCURISER LE FRANC PUBLIC</w:t>
            </w:r>
          </w:p>
        </w:tc>
        <w:tc>
          <w:tcPr>
            <w:tcW w:type="dxa" w:w="5100"/>
            <w:vAlign w:val="center"/>
          </w:tcPr>
          <w:p>
            <w:r/>
            <w:r>
              <w:rPr>
                <w:rFonts w:ascii="Aptos" w:hAnsi="Aptos"/>
                <w:b w:val="0"/>
                <w:sz w:val="17"/>
              </w:rPr>
              <w:t>Paiement vers les comptes publics désignés, référence unique, confirmation fournisseur, settlement, rapprochement, comptabilisation et quittance vérifiable.</w:t>
            </w:r>
          </w:p>
        </w:tc>
      </w:tr>
      <w:tr>
        <w:tc>
          <w:tcPr>
            <w:tcW w:type="dxa" w:w="5100"/>
            <w:vAlign w:val="center"/>
            <w:shd w:fill="EAF2F8"/>
          </w:tcPr>
          <w:p>
            <w:r/>
            <w:r>
              <w:rPr>
                <w:rFonts w:ascii="Aptos" w:hAnsi="Aptos"/>
                <w:b/>
                <w:sz w:val="17"/>
              </w:rPr>
              <w:t>5. DÉCIDER AVEC LA PREUVE</w:t>
            </w:r>
          </w:p>
        </w:tc>
        <w:tc>
          <w:tcPr>
            <w:tcW w:type="dxa" w:w="5100"/>
            <w:vAlign w:val="center"/>
          </w:tcPr>
          <w:p>
            <w:r/>
            <w:r>
              <w:rPr>
                <w:rFonts w:ascii="Aptos" w:hAnsi="Aptos"/>
                <w:b w:val="0"/>
                <w:sz w:val="17"/>
              </w:rPr>
              <w:t>Command Centre séparant potentiel estimé, assiette vérifiée, liquidé, exigible, impayé, payé, settled, rapproché et comptabilisé.</w:t>
            </w:r>
          </w:p>
        </w:tc>
      </w:tr>
    </w:tbl>
    <w:p>
      <w:r>
        <w:rPr>
          <w:b/>
        </w:rPr>
        <w:t>VERROU ANTI-FRAUDE : « AUCUN INDIVIDU NE POSSÈDE LES CLÉS DU SYSTÈME FINANCIER. »</w:t>
      </w:r>
    </w:p>
    <w:p>
      <w:r>
        <w:t>Ni autorité politique, ni régie, ni DSI, ni super-administrateur, ni fournisseur ne peut seul modifier une dette, un paiement, un compte bénéficiaire ou une preuve d’audit. Les opérations critiques utilisent séparation des tâches, maker-checker, quatre yeux, MFA, verrouillage des bénéficiaires, journal append-only, signatures, horodatage et contre-écritures plutôt que suppression.</w:t>
      </w:r>
    </w:p>
    <w:p>
      <w:r>
        <w:rPr>
          <w:b/>
        </w:rPr>
        <w:t>IMPACT RECHERCHÉ</w:t>
      </w:r>
    </w:p>
    <w:p>
      <w:r>
        <w:t>Avant d’inventer de nouveaux prélèvements, MOSOLO cherche d’abord l’argent déjà légalement mobilisable : assiettes non recensées, sous-déclarations, arriérés, défauts de rapprochement, occupation du domaine public, immobilier et location, mobilité et stationnement, publicité, antennes, marchés, licences, ports, environnement et actifs publics. Toute nouvelle piste passe par validation juridique et analyse d’impact.</w:t>
      </w:r>
    </w:p>
    <w:p>
      <w:r>
        <w:rPr>
          <w:b/>
        </w:rPr>
        <w:t>DÉCISION IMMÉDIATE DEMANDÉE</w:t>
      </w:r>
    </w:p>
    <w:p>
      <w:r>
        <w:t>Autoriser un pilote de 180 jours sur un portefeuille limité de recettes juridiquement solides, avec baseline auditée avant démarrage. La généralisation ne doit intervenir qu’après preuve indépendante de recettes additionnelles nettes, amélioration du rapprochement, réduction des anomalies et maîtrise du coût de collecte.</w:t>
      </w:r>
    </w:p>
    <w:p>
      <w:pPr>
        <w:jc w:val="center"/>
      </w:pPr>
      <w:r>
        <w:rPr>
          <w:b/>
          <w:sz w:val="21"/>
        </w:rPr>
        <w:t>KINSHASA MOSOLO — chaque contribuable identifié, chaque activité localisée, chaque obligation légalement calculée, chaque paiement vérifiable et chaque franc public traçable.</w:t>
      </w:r>
    </w:p>
    <w:p>
      <w:r>
        <w:br w:type="page"/>
      </w:r>
    </w:p>
    <w:p>
      <w:pPr>
        <w:pStyle w:val="Heading1"/>
      </w:pPr>
      <w:r>
        <w:t>SPÉCIFICATION DIRECTRICE CONSOLIDÉE</w:t>
      </w:r>
    </w:p>
    <w:p>
      <w:r>
        <w:t>Ce document consolide le socle KIN-RECETTES et le repositionne sous KINSHASA MOSOLO. Il constitue une base de cadrage produit, gouvernance, architecture et mise en œuvre. Les règles fiscales, taux, sanctions et compétences doivent être activés uniquement après validation juridique formelle du registre légal applicable.</w:t>
      </w:r>
    </w:p>
    <w:p>
      <w:pPr>
        <w:pStyle w:val="Heading2"/>
      </w:pPr>
      <w:r>
        <w:t>1. Vision et mandat</w:t>
      </w:r>
    </w:p>
    <w:p>
      <w:r>
        <w:t>Faire de MOSOLO le système d’exploitation des recettes de Kinshasa, au-dessus d’une simple application de paiement. Chaîne cible : RECENSER → IDENTIFIER → GÉOLOCALISER → QUALIFIER → CALCULER → NOTIFIER → PAYER → RAPPROCHER → QUITTANCER → CONTRÔLER → RECOUVRER → AUDITER → PLANIFIER.</w:t>
      </w:r>
    </w:p>
    <w:p>
      <w:pPr>
        <w:pStyle w:val="Heading2"/>
      </w:pPr>
      <w:r>
        <w:t>2. Principes non négociables</w:t>
      </w:r>
    </w:p>
    <w:p>
      <w:r>
        <w:t>Une identité principale par personne/organisation ; plusieurs rôles et objets ; minimisation des données ; pas de fusion silencieuse ; pas de prélèvement sans base juridique ; pas de paiement public vers un compte privé de plateforme ; pas de suppression d’écriture financière ; pas de sanction automatique par IA ; audit complet de toute action critique.</w:t>
      </w:r>
    </w:p>
    <w:p>
      <w:pPr>
        <w:pStyle w:val="Heading2"/>
      </w:pPr>
      <w:r>
        <w:t>3. Registre juridique versionné</w:t>
      </w:r>
    </w:p>
    <w:p>
      <w:r>
        <w:t>Chaque règle de recette contient : référence légale, article, autorité, fait générateur, redevable, assiette, formule, taux, devise, exonérations, pénalités, date d’effet, date d’expiration, administration, compte bénéficiaire, recours, approbation et version. Workflow maker-checker juridique et financier.</w:t>
      </w:r>
    </w:p>
    <w:p>
      <w:pPr>
        <w:pStyle w:val="Heading2"/>
      </w:pPr>
      <w:r>
        <w:t>4. Identité et compte unique</w:t>
      </w:r>
    </w:p>
    <w:p>
      <w:r>
        <w:t>Personne physique, personne morale, représentant, mandataire, propriétaire, bailleur, locataire, commerçant, conducteur, opérateur et autres rôles sont reliés à un compte principal sans confondre les responsabilités. Déduplication probabiliste assistée, revue humaine pour les rapprochements sensibles.</w:t>
      </w:r>
    </w:p>
    <w:p>
      <w:pPr>
        <w:pStyle w:val="Heading2"/>
      </w:pPr>
      <w:r>
        <w:t>5. Fiscal GIS et identifiant géographique</w:t>
      </w:r>
    </w:p>
    <w:p>
      <w:r>
        <w:t>Référentiel commune/quartier/avenue/rue/parcelle/bâtiment/étage/unité/activité. PostGIS, couches d’inspection, heatmaps de potentiel et conformité, missions terrain, preuves géolocalisées et identifiant géographique fiscal unique.</w:t>
      </w:r>
    </w:p>
    <w:p>
      <w:pPr>
        <w:pStyle w:val="Heading2"/>
      </w:pPr>
      <w:r>
        <w:t>6. Immobilier et intelligence locative</w:t>
      </w:r>
    </w:p>
    <w:p>
      <w:r>
        <w:t>Modèle parcelle → bâtiment → étage → unité → propriétaire/bailleur/locataire/bail/loyer/occupation/usage/preuve. Statuts : déclaré, observé, vérifié, contesté. Un signal IA crée un dossier de vérification, jamais directement une dette.</w:t>
      </w:r>
    </w:p>
    <w:p>
      <w:pPr>
        <w:pStyle w:val="Heading2"/>
      </w:pPr>
      <w:r>
        <w:t>7. Catalogue des recettes</w:t>
      </w:r>
    </w:p>
    <w:p>
      <w:r>
        <w:t>Couvre les recettes provinciales et locales légalement applicables : foncier, véhicules, revenus locatifs et autres catégories autorisées, ainsi que les droits, taxes, redevances et recettes non fiscales validés. Les anciennes références ou taux non confirmés restent désactivés jusqu’à validation.</w:t>
      </w:r>
    </w:p>
    <w:p>
      <w:pPr>
        <w:pStyle w:val="Heading2"/>
      </w:pPr>
      <w:r>
        <w:t>8. Revenue Discovery Engine</w:t>
      </w:r>
    </w:p>
    <w:p>
      <w:r>
        <w:t>Recherche continue de recettes légalement mobilisables et de leakage : foncier, location, activités, mobilité, publicité, télécom, marchés, domaine public, stationnement, déchets, ports, événements, construction, carrières, concessions, actifs publics et arriérés. Chaque opportunité reçoit une fiche légalité/coût/impact/risque/pilote.</w:t>
      </w:r>
    </w:p>
    <w:p>
      <w:pPr>
        <w:pStyle w:val="Heading2"/>
      </w:pPr>
      <w:r>
        <w:t>9. Moteur de liquidation</w:t>
      </w:r>
    </w:p>
    <w:p>
      <w:r>
        <w:t>Calcul déterministe et explicable à partir de règles versionnées. Toute obligation conserve la règle exacte, les données d’entrée, la formule, l’auteur/automate, la date et les preuves. Recalcul contrôlé lors de changement légal, avec historique complet.</w:t>
      </w:r>
    </w:p>
    <w:p>
      <w:pPr>
        <w:pStyle w:val="Heading2"/>
      </w:pPr>
      <w:r>
        <w:t>10. Notification et dossier contribuable</w:t>
      </w:r>
    </w:p>
    <w:p>
      <w:r>
        <w:t>Avis numériques et imprimables, échéances, pièces, historique, explication du calcul, canaux SMS/email/app/USSD selon disponibilité. Langage simple et parcours assisté.</w:t>
      </w:r>
    </w:p>
    <w:p>
      <w:pPr>
        <w:pStyle w:val="Heading2"/>
      </w:pPr>
      <w:r>
        <w:t>11. Paiements et settlement public</w:t>
      </w:r>
    </w:p>
    <w:p>
      <w:r>
        <w:t>Mobile Money, banques, cartes, agents autorisés, USSD, QR et virement. États séparés : initié, confirmé, settled, rapproché, échoué, doublon, inversé, remboursé, contesté. Les fonds sont dirigés vers les comptes publics désignés ; MOSOLO orchestre et prouve, il ne devient pas un compte privé de recettes publiques.</w:t>
      </w:r>
    </w:p>
    <w:p>
      <w:pPr>
        <w:pStyle w:val="Heading2"/>
      </w:pPr>
      <w:r>
        <w:t>12. Rapprochement et grand livre</w:t>
      </w:r>
    </w:p>
    <w:p>
      <w:r>
        <w:t>Référence unique, idempotence, rapprochement fournisseur/banque/Trésor, grand livre à double entrée, exceptions, suspense, contre-écritures, clôtures et rapports d’écart.</w:t>
      </w:r>
    </w:p>
    <w:p>
      <w:pPr>
        <w:pStyle w:val="Heading2"/>
      </w:pPr>
      <w:r>
        <w:t>13. Quittance électronique</w:t>
      </w:r>
    </w:p>
    <w:p>
      <w:r>
        <w:t>Quittance avec contribuable, obligation, montant, devise, date, transaction, administration, QR, signature numérique et statut. Vérification publique avec exposition minimale des données.</w:t>
      </w:r>
    </w:p>
    <w:p>
      <w:pPr>
        <w:pStyle w:val="Heading2"/>
      </w:pPr>
      <w:r>
        <w:t>14. Recouvrement et contentieux</w:t>
      </w:r>
    </w:p>
    <w:p>
      <w:r>
        <w:t>Segmentation des arriérés, relances, plans autorisés, dossiers de contrôle, contestation, recours et résolution. Les actes coercitifs ou sanctions restent soumis à l’autorité légalement compétente.</w:t>
      </w:r>
    </w:p>
    <w:p>
      <w:pPr>
        <w:pStyle w:val="Heading2"/>
      </w:pPr>
      <w:r>
        <w:t>15. Contrôle terrain offline-first</w:t>
      </w:r>
    </w:p>
    <w:p>
      <w:r>
        <w:t>Application Android : missions téléchargées, GPS, photos, QR, formulaires, constat, absence/refus, signature, synchronisation différée, chiffrement local, expiration, révocation et MDM. L’agent ne détermine pas seul la propriété ni la dette finale.</w:t>
      </w:r>
    </w:p>
    <w:p>
      <w:pPr>
        <w:pStyle w:val="Heading2"/>
      </w:pPr>
      <w:r>
        <w:t>16. RBAC + ABAC et séparation des pouvoirs</w:t>
      </w:r>
    </w:p>
    <w:p>
      <w:r>
        <w:t>Gouverneur : visibilité stratégique sans capacité secrète de modifier paiements, dettes, bénéficiaires ou audit. Régies : compétences métier. Finance/Trésor : settlement et rapprochement. Juridique/tarifs : maker-checker. Audit : lecture/investigation. Plateforme : administration technique sans pouvoir fiscal. Accès JIT, MFA, délégation temporaire, revues périodiques.</w:t>
      </w:r>
    </w:p>
    <w:p>
      <w:pPr>
        <w:pStyle w:val="Heading2"/>
      </w:pPr>
      <w:r>
        <w:t>17. MOSOLO Financial Constitution</w:t>
      </w:r>
    </w:p>
    <w:p>
      <w:r>
        <w:t>Aucun individu ne possède toutes les clés. Les changements de comptes bénéficiaires exigent quorum, contrôle hors bande, délai de refroidissement et journal immuable. Les opérations sensibles sont séparées entre initiateur, vérificateur, approbateur et auditeur.</w:t>
      </w:r>
    </w:p>
    <w:p>
      <w:pPr>
        <w:pStyle w:val="Heading2"/>
      </w:pPr>
      <w:r>
        <w:t>18. Anti-fraude et preuve</w:t>
      </w:r>
    </w:p>
    <w:p>
      <w:r>
        <w:t>Event store append-only, hachage et chaînage, signatures, horodatage fiable, WORM, sauvegarde d’audit indépendante, anti-replay, limites, détection d’anomalies, PAM, DLP, intégrité GPS/photo. Objectif : prévenir, détecter, contenir, enquêter, prouver, corriger et rapporter — sans promettre « zéro fraude ».</w:t>
      </w:r>
    </w:p>
    <w:p>
      <w:pPr>
        <w:pStyle w:val="Heading2"/>
      </w:pPr>
      <w:r>
        <w:t>19. Agents IA</w:t>
      </w:r>
    </w:p>
    <w:p>
      <w:r>
        <w:t>Revenue Discovery Agent ; Registration Agent ; User Learning Agent ; Employee Copilot ; Legal Intelligence Agent ; Rental Intelligence Agent ; Field Mission Agent ; Payment Reconciliation Agent ; Fraud Detection Agent ; Forecasting Agent ; Executive Decision Agent ; Public Investment Allocation Agent ; Continuous Learning Agent.</w:t>
      </w:r>
    </w:p>
    <w:p>
      <w:pPr>
        <w:pStyle w:val="Heading2"/>
      </w:pPr>
      <w:r>
        <w:t>20. Garde-fous IA</w:t>
      </w:r>
    </w:p>
    <w:p>
      <w:r>
        <w:t>L’IA ne crée pas une taxe, ne fixe pas une pénalité finale, ne tranche pas la propriété, ne saisit pas, ne suspend pas un droit, n’approuve pas une exonération, ne clôt pas un recours, ne transfère pas d’argent, ne change pas un bénéficiaire et ne détruit pas un audit. Versionnage modèles/prompts/datasets, drift, biais, explication, rollback et logs.</w:t>
      </w:r>
    </w:p>
    <w:p>
      <w:pPr>
        <w:pStyle w:val="Heading2"/>
      </w:pPr>
      <w:r>
        <w:t>21. Learning Environment</w:t>
      </w:r>
    </w:p>
    <w:p>
      <w:r>
        <w:t>Micro-apprentissage contextuel pour contribuables, agents, contrôleurs, superviseurs, finance et exécutifs ; français simple et langues locales selon déploiement. L’apprentissage vise la conformité et la compétence, pas une surveillance oppressive.</w:t>
      </w:r>
    </w:p>
    <w:p>
      <w:pPr>
        <w:pStyle w:val="Heading2"/>
      </w:pPr>
      <w:r>
        <w:t>22. Command Centres</w:t>
      </w:r>
    </w:p>
    <w:p>
      <w:r>
        <w:t>Gouverneur : potentiel estimé, assiette vérifiée, liquidé, exigible, impayé, initié, confirmé, settled, rapproché, comptabilisé et disponibilité budgétaire. Dashboards distincts pour régies, finance, audit, communes, superviseurs terrain et contribuables.</w:t>
      </w:r>
    </w:p>
    <w:p>
      <w:pPr>
        <w:pStyle w:val="Heading2"/>
      </w:pPr>
      <w:r>
        <w:t>23. Verticales MOSOLO</w:t>
      </w:r>
    </w:p>
    <w:p>
      <w:r>
        <w:t>MOSOLO Property, Rental, Business, Mobility, Parking, Advertising, Telecom, Markets, Environment, Ports, AVIA, Events, Public Domain, Construction, Assets et Recovery, toutes branchées sur identité, droit, paiement, ledger, audit et GIS communs.</w:t>
      </w:r>
    </w:p>
    <w:p>
      <w:pPr>
        <w:pStyle w:val="Heading2"/>
      </w:pPr>
      <w:r>
        <w:t>24. Architecture cible</w:t>
      </w:r>
    </w:p>
    <w:p>
      <w:r>
        <w:t>Architecture hybride orientée domaines : PostgreSQL/PostGIS, IAM, registre identité/objets, moteur juridique, moteur de liquidation, paiement, rapprochement, ledger, event store, stockage documentaire, API Gateway, bus événementiel, analytics warehouse et AI Gateway. Extraction en services indépendants seulement quand charge, sécurité ou autonomie le justifient.</w:t>
      </w:r>
    </w:p>
    <w:p>
      <w:pPr>
        <w:pStyle w:val="Heading2"/>
      </w:pPr>
      <w:r>
        <w:t>25. Modèle de données</w:t>
      </w:r>
    </w:p>
    <w:p>
      <w:r>
        <w:t>Entités cœur : Person, Organisation, Account, Role, Mandate, Address, GeoUnit, Parcel, Building, Unit, Asset, Vehicle, BusinessActivity, Permit, Lease, TaxObject, LegalInstrument, RevenueRule, RateVersion, Assessment, Obligation, Notice, PaymentReference, Payment, Settlement, Reconciliation, LedgerEntry, Receipt, Exemption, Penalty, Appeal, Case, FieldMission, Evidence, Inspection, Arrear, RecoveryAction, BeneficiaryAccount, User, Device, AccessGrant, Approval, AuditEvent, AIModel, AIInference, RiskSignal, BudgetScenario.</w:t>
      </w:r>
    </w:p>
    <w:p>
      <w:pPr>
        <w:pStyle w:val="Heading2"/>
      </w:pPr>
      <w:r>
        <w:t>26. API et intégrations</w:t>
      </w:r>
    </w:p>
    <w:p>
      <w:r>
        <w:t>APIs versionnées avec OAuth2/OIDC, mTLS pour partenaires sensibles, scopes, idempotency keys, signatures de callbacks, rate limits et audit. Domaines : identité, GIS, règles, obligations, paiement, settlement, rapprochement, quittances, missions, preuves, recours, analytics et partenaires.</w:t>
      </w:r>
    </w:p>
    <w:p>
      <w:pPr>
        <w:pStyle w:val="Heading2"/>
      </w:pPr>
      <w:r>
        <w:t>27. Sécurité et souveraineté</w:t>
      </w:r>
    </w:p>
    <w:p>
      <w:r>
        <w:t>Zero Trust, chiffrement transit/repos, HSM/KMS, MFA résistant au phishing, secrets vault, SIEM/SOC, sauvegardes immuables, PRA/PCA, segmentation, pentests, SAST/DAST/SBOM, gestion vulnérabilités et incidents. Propriété publique des données, droits sur le code clairement définis, standards ouverts, export complet, escrow si nécessaire et plan de sortie.</w:t>
      </w:r>
    </w:p>
    <w:p>
      <w:pPr>
        <w:pStyle w:val="Heading2"/>
      </w:pPr>
      <w:r>
        <w:t>28. Gouvernance des données</w:t>
      </w:r>
    </w:p>
    <w:p>
      <w:r>
        <w:t>Finalité, minimisation, classification, base légale, durée de conservation, droits d’accès, traçabilité, qualité, rectification, partage contrôlé et privacy-by-design. Les données fiscales, géographiques et d’identité sont traitées comme données sensibles à accès strict.</w:t>
      </w:r>
    </w:p>
    <w:p>
      <w:pPr>
        <w:pStyle w:val="Heading2"/>
      </w:pPr>
      <w:r>
        <w:t>29. Allocation et planification publique</w:t>
      </w:r>
    </w:p>
    <w:p>
      <w:r>
        <w:t>MOSOLO distingue collecte, comptabilité, partage légal, Trésor, appropriation budgétaire, autorisation de dépense, planification et dépense réelle. L’IA peut proposer des scénarios d’investissement, jamais approuver ou déplacer des fonds.</w:t>
      </w:r>
    </w:p>
    <w:p>
      <w:pPr>
        <w:pStyle w:val="Heading2"/>
      </w:pPr>
      <w:r>
        <w:t>30. Procurement et modèle commercial</w:t>
      </w:r>
    </w:p>
    <w:p>
      <w:r>
        <w:t>Comparer financement public, licence/managed service, PPP/BOT, performance et hybride. Toute rémunération à la performance doit utiliser une baseline indépendante, une formule de recette additionnelle nette, des exclusions, un plafond, une durée fixe et un droit d’audit. Interdire lock-in opaque, dépendance propriétaire non réversible et contrôle privé des comptes publics.</w:t>
      </w:r>
    </w:p>
    <w:p>
      <w:pPr>
        <w:pStyle w:val="Heading2"/>
      </w:pPr>
      <w:r>
        <w:t>31. Pilotage 180 jours</w:t>
      </w:r>
    </w:p>
    <w:p>
      <w:r>
        <w:t>Pilote limité à quelques flux à forte solidité juridique et mesurabilité. Baseline auditée, communes/segments représentatifs, groupe de comparaison lorsque pertinent, instrumentation complète, revue à J30/J60/J90/J120/J180 et décision de généralisation basée sur résultats vérifiés.</w:t>
      </w:r>
    </w:p>
    <w:p>
      <w:pPr>
        <w:pStyle w:val="Heading2"/>
      </w:pPr>
      <w:r>
        <w:t>32. KPI</w:t>
      </w:r>
    </w:p>
    <w:p>
      <w:r>
        <w:t>Taux de recensement, couverture GIS, taux de règles juridiquement validées, obligations correctement calculées, taux de paiement, settlement, rapprochement automatique, délais de rapprochement, arriérés récupérés, coût de collecte, anomalies détectées/résolues, taux de recours, disponibilité, sécurité, satisfaction et recettes additionnelles nettes vérifiées.</w:t>
      </w:r>
    </w:p>
    <w:p>
      <w:pPr>
        <w:pStyle w:val="Heading2"/>
      </w:pPr>
      <w:r>
        <w:t>33. Scénarios financiers</w:t>
      </w:r>
    </w:p>
    <w:p>
      <w:r>
        <w:t>Conservateur, attendu et ambitieux uniquement à partir d’une baseline réelle. Aucune promesse de multiplication arbitraire. Recette additionnelle nette = assiette vérifiée supplémentaire + conformité + arriérés + leakage évité + gains de rapprochement − coûts additionnels − remboursements − corrections.</w:t>
      </w:r>
    </w:p>
    <w:p>
      <w:pPr>
        <w:pStyle w:val="Heading2"/>
      </w:pPr>
      <w:r>
        <w:t>34. Plan 100 jours</w:t>
      </w:r>
    </w:p>
    <w:p>
      <w:r>
        <w:t>J0–30 : gouvernance, registre juridique, baseline, architecture, données prioritaires. J31–60 : identité/GIS, règles, paiement/ledger, intégrations pilote, app terrain. J61–100 : recensement ciblé, premières obligations, rapprochement, dashboards, contrôles, audit indépendant et préparation du pilote complet.</w:t>
      </w:r>
    </w:p>
    <w:p>
      <w:pPr>
        <w:pStyle w:val="Heading2"/>
      </w:pPr>
      <w:r>
        <w:t>35. Roadmap 24 mois</w:t>
      </w:r>
    </w:p>
    <w:p>
      <w:r>
        <w:t>Phase 0 cadrage et droit ; Phase 1 socle identité/GIS ; Phase 2 obligations/paiements ; Phase 3 terrain/contrôle/recouvrement ; Phase 4 intelligence/IA ; Phase 5 verticales et intégrations ; Phase 6 extension, optimisation et industrialisation.</w:t>
      </w:r>
    </w:p>
    <w:p>
      <w:pPr>
        <w:pStyle w:val="Heading2"/>
      </w:pPr>
      <w:r>
        <w:t>36. Critères d’acceptation</w:t>
      </w:r>
    </w:p>
    <w:p>
      <w:r>
        <w:t>Aucune règle active sans approbation ; aucune obligation sans traçabilité de calcul ; aucun paiement sans référence/idempotence ; aucune quittance avant état autorisé ; aucune suppression financière ; aucun changement de bénéficiaire unilatéral ; tout accès critique journalisé ; fonctionnement terrain hors ligne ; restauration testée ; export complet et réversibilité démontrée.</w:t>
      </w:r>
    </w:p>
    <w:p>
      <w:pPr>
        <w:pStyle w:val="Heading2"/>
      </w:pPr>
      <w:r>
        <w:t>37. Décisions requises du Gouverneur</w:t>
      </w:r>
    </w:p>
    <w:p>
      <w:r>
        <w:t>1) Mandat MOSOLO comme architecture faîtière ; 2) sponsor exécutif et comité de gouvernance ; 3) registre juridique officiel ; 4) baseline indépendante ; 5) pilote 180 jours ; 6) principe comptes publics directs ; 7) séparation des pouvoirs ; 8) accès inter-administrations encadré ; 9) souveraineté/réversibilité contractuelle ; 10) généralisation conditionnée à des résultats audités.</w:t>
      </w:r>
    </w:p>
    <w:p>
      <w:pPr>
        <w:pStyle w:val="Heading1"/>
      </w:pPr>
      <w:r>
        <w:t>Annexe A — Matrice de priorité du pilote</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vAlign w:val="center"/>
            <w:shd w:fill="D9EAF7"/>
          </w:tcPr>
          <w:p>
            <w:r/>
            <w:r>
              <w:rPr>
                <w:rFonts w:ascii="Aptos" w:hAnsi="Aptos"/>
                <w:b/>
                <w:sz w:val="16"/>
              </w:rPr>
              <w:t>Domaine</w:t>
            </w:r>
          </w:p>
        </w:tc>
        <w:tc>
          <w:tcPr>
            <w:tcW w:type="dxa" w:w="2040"/>
            <w:vAlign w:val="center"/>
            <w:shd w:fill="D9EAF7"/>
          </w:tcPr>
          <w:p>
            <w:r/>
            <w:r>
              <w:rPr>
                <w:rFonts w:ascii="Aptos" w:hAnsi="Aptos"/>
                <w:b/>
                <w:sz w:val="16"/>
              </w:rPr>
              <w:t>Pourquoi maintenant</w:t>
            </w:r>
          </w:p>
        </w:tc>
        <w:tc>
          <w:tcPr>
            <w:tcW w:type="dxa" w:w="2040"/>
            <w:vAlign w:val="center"/>
            <w:shd w:fill="D9EAF7"/>
          </w:tcPr>
          <w:p>
            <w:r/>
            <w:r>
              <w:rPr>
                <w:rFonts w:ascii="Aptos" w:hAnsi="Aptos"/>
                <w:b/>
                <w:sz w:val="16"/>
              </w:rPr>
              <w:t>Validation préalable</w:t>
            </w:r>
          </w:p>
        </w:tc>
        <w:tc>
          <w:tcPr>
            <w:tcW w:type="dxa" w:w="2040"/>
            <w:vAlign w:val="center"/>
            <w:shd w:fill="D9EAF7"/>
          </w:tcPr>
          <w:p>
            <w:r/>
            <w:r>
              <w:rPr>
                <w:rFonts w:ascii="Aptos" w:hAnsi="Aptos"/>
                <w:b/>
                <w:sz w:val="16"/>
              </w:rPr>
              <w:t>Mesure du succès</w:t>
            </w:r>
          </w:p>
        </w:tc>
        <w:tc>
          <w:tcPr>
            <w:tcW w:type="dxa" w:w="2040"/>
            <w:vAlign w:val="center"/>
            <w:shd w:fill="D9EAF7"/>
          </w:tcPr>
          <w:p>
            <w:r/>
            <w:r>
              <w:rPr>
                <w:rFonts w:ascii="Aptos" w:hAnsi="Aptos"/>
                <w:b/>
                <w:sz w:val="16"/>
              </w:rPr>
              <w:t>Priorité</w:t>
            </w:r>
          </w:p>
        </w:tc>
      </w:tr>
      <w:tr>
        <w:tc>
          <w:tcPr>
            <w:tcW w:type="dxa" w:w="2040"/>
            <w:vAlign w:val="center"/>
          </w:tcPr>
          <w:p>
            <w:r/>
            <w:r>
              <w:rPr>
                <w:rFonts w:ascii="Aptos" w:hAnsi="Aptos"/>
                <w:b/>
                <w:sz w:val="15"/>
              </w:rPr>
              <w:t>Immobilier / foncier</w:t>
            </w:r>
          </w:p>
        </w:tc>
        <w:tc>
          <w:tcPr>
            <w:tcW w:type="dxa" w:w="2040"/>
            <w:vAlign w:val="center"/>
          </w:tcPr>
          <w:p>
            <w:r/>
            <w:r>
              <w:rPr>
                <w:rFonts w:ascii="Aptos" w:hAnsi="Aptos"/>
                <w:b w:val="0"/>
                <w:sz w:val="15"/>
              </w:rPr>
              <w:t>Base territoriale structurante</w:t>
            </w:r>
          </w:p>
        </w:tc>
        <w:tc>
          <w:tcPr>
            <w:tcW w:type="dxa" w:w="2040"/>
            <w:vAlign w:val="center"/>
          </w:tcPr>
          <w:p>
            <w:r/>
            <w:r>
              <w:rPr>
                <w:rFonts w:ascii="Aptos" w:hAnsi="Aptos"/>
                <w:b w:val="0"/>
                <w:sz w:val="15"/>
              </w:rPr>
              <w:t>Cadastre, règles et qualité des titres/données</w:t>
            </w:r>
          </w:p>
        </w:tc>
        <w:tc>
          <w:tcPr>
            <w:tcW w:type="dxa" w:w="2040"/>
            <w:vAlign w:val="center"/>
          </w:tcPr>
          <w:p>
            <w:r/>
            <w:r>
              <w:rPr>
                <w:rFonts w:ascii="Aptos" w:hAnsi="Aptos"/>
                <w:b w:val="0"/>
                <w:sz w:val="15"/>
              </w:rPr>
              <w:t>Objets vérifiés, obligations valides, taux de paiement</w:t>
            </w:r>
          </w:p>
        </w:tc>
        <w:tc>
          <w:tcPr>
            <w:tcW w:type="dxa" w:w="2040"/>
            <w:vAlign w:val="center"/>
          </w:tcPr>
          <w:p>
            <w:r/>
            <w:r>
              <w:rPr>
                <w:rFonts w:ascii="Aptos" w:hAnsi="Aptos"/>
                <w:b w:val="0"/>
                <w:sz w:val="15"/>
              </w:rPr>
              <w:t>Très haute</w:t>
            </w:r>
          </w:p>
        </w:tc>
      </w:tr>
      <w:tr>
        <w:tc>
          <w:tcPr>
            <w:tcW w:type="dxa" w:w="2040"/>
            <w:vAlign w:val="center"/>
          </w:tcPr>
          <w:p>
            <w:r/>
            <w:r>
              <w:rPr>
                <w:rFonts w:ascii="Aptos" w:hAnsi="Aptos"/>
                <w:b/>
                <w:sz w:val="15"/>
              </w:rPr>
              <w:t>Revenus locatifs</w:t>
            </w:r>
          </w:p>
        </w:tc>
        <w:tc>
          <w:tcPr>
            <w:tcW w:type="dxa" w:w="2040"/>
            <w:vAlign w:val="center"/>
          </w:tcPr>
          <w:p>
            <w:r/>
            <w:r>
              <w:rPr>
                <w:rFonts w:ascii="Aptos" w:hAnsi="Aptos"/>
                <w:b w:val="0"/>
                <w:sz w:val="15"/>
              </w:rPr>
              <w:t>Assiette potentiellement sous-déclarée</w:t>
            </w:r>
          </w:p>
        </w:tc>
        <w:tc>
          <w:tcPr>
            <w:tcW w:type="dxa" w:w="2040"/>
            <w:vAlign w:val="center"/>
          </w:tcPr>
          <w:p>
            <w:r/>
            <w:r>
              <w:rPr>
                <w:rFonts w:ascii="Aptos" w:hAnsi="Aptos"/>
                <w:b w:val="0"/>
                <w:sz w:val="15"/>
              </w:rPr>
              <w:t>Règles IRL/taux/procédures 2026</w:t>
            </w:r>
          </w:p>
        </w:tc>
        <w:tc>
          <w:tcPr>
            <w:tcW w:type="dxa" w:w="2040"/>
            <w:vAlign w:val="center"/>
          </w:tcPr>
          <w:p>
            <w:r/>
            <w:r>
              <w:rPr>
                <w:rFonts w:ascii="Aptos" w:hAnsi="Aptos"/>
                <w:b w:val="0"/>
                <w:sz w:val="15"/>
              </w:rPr>
              <w:t>Baux/occupations vérifiés, obligations légalement établies</w:t>
            </w:r>
          </w:p>
        </w:tc>
        <w:tc>
          <w:tcPr>
            <w:tcW w:type="dxa" w:w="2040"/>
            <w:vAlign w:val="center"/>
          </w:tcPr>
          <w:p>
            <w:r/>
            <w:r>
              <w:rPr>
                <w:rFonts w:ascii="Aptos" w:hAnsi="Aptos"/>
                <w:b w:val="0"/>
                <w:sz w:val="15"/>
              </w:rPr>
              <w:t>Très haute</w:t>
            </w:r>
          </w:p>
        </w:tc>
      </w:tr>
      <w:tr>
        <w:tc>
          <w:tcPr>
            <w:tcW w:type="dxa" w:w="2040"/>
            <w:vAlign w:val="center"/>
          </w:tcPr>
          <w:p>
            <w:r/>
            <w:r>
              <w:rPr>
                <w:rFonts w:ascii="Aptos" w:hAnsi="Aptos"/>
                <w:b/>
                <w:sz w:val="15"/>
              </w:rPr>
              <w:t>Mobilité / véhicules</w:t>
            </w:r>
          </w:p>
        </w:tc>
        <w:tc>
          <w:tcPr>
            <w:tcW w:type="dxa" w:w="2040"/>
            <w:vAlign w:val="center"/>
          </w:tcPr>
          <w:p>
            <w:r/>
            <w:r>
              <w:rPr>
                <w:rFonts w:ascii="Aptos" w:hAnsi="Aptos"/>
                <w:b w:val="0"/>
                <w:sz w:val="15"/>
              </w:rPr>
              <w:t>Population d’objets identifiable</w:t>
            </w:r>
          </w:p>
        </w:tc>
        <w:tc>
          <w:tcPr>
            <w:tcW w:type="dxa" w:w="2040"/>
            <w:vAlign w:val="center"/>
          </w:tcPr>
          <w:p>
            <w:r/>
            <w:r>
              <w:rPr>
                <w:rFonts w:ascii="Aptos" w:hAnsi="Aptos"/>
                <w:b w:val="0"/>
                <w:sz w:val="15"/>
              </w:rPr>
              <w:t>Référentiels véhicules et compétence</w:t>
            </w:r>
          </w:p>
        </w:tc>
        <w:tc>
          <w:tcPr>
            <w:tcW w:type="dxa" w:w="2040"/>
            <w:vAlign w:val="center"/>
          </w:tcPr>
          <w:p>
            <w:r/>
            <w:r>
              <w:rPr>
                <w:rFonts w:ascii="Aptos" w:hAnsi="Aptos"/>
                <w:b w:val="0"/>
                <w:sz w:val="15"/>
              </w:rPr>
              <w:t>Couverture, obligations, rapprochement</w:t>
            </w:r>
          </w:p>
        </w:tc>
        <w:tc>
          <w:tcPr>
            <w:tcW w:type="dxa" w:w="2040"/>
            <w:vAlign w:val="center"/>
          </w:tcPr>
          <w:p>
            <w:r/>
            <w:r>
              <w:rPr>
                <w:rFonts w:ascii="Aptos" w:hAnsi="Aptos"/>
                <w:b w:val="0"/>
                <w:sz w:val="15"/>
              </w:rPr>
              <w:t>Haute</w:t>
            </w:r>
          </w:p>
        </w:tc>
      </w:tr>
      <w:tr>
        <w:tc>
          <w:tcPr>
            <w:tcW w:type="dxa" w:w="2040"/>
            <w:vAlign w:val="center"/>
          </w:tcPr>
          <w:p>
            <w:r/>
            <w:r>
              <w:rPr>
                <w:rFonts w:ascii="Aptos" w:hAnsi="Aptos"/>
                <w:b/>
                <w:sz w:val="15"/>
              </w:rPr>
              <w:t>Publicité / antennes</w:t>
            </w:r>
          </w:p>
        </w:tc>
        <w:tc>
          <w:tcPr>
            <w:tcW w:type="dxa" w:w="2040"/>
            <w:vAlign w:val="center"/>
          </w:tcPr>
          <w:p>
            <w:r/>
            <w:r>
              <w:rPr>
                <w:rFonts w:ascii="Aptos" w:hAnsi="Aptos"/>
                <w:b w:val="0"/>
                <w:sz w:val="15"/>
              </w:rPr>
              <w:t>Objets visibles et géolocalisables</w:t>
            </w:r>
          </w:p>
        </w:tc>
        <w:tc>
          <w:tcPr>
            <w:tcW w:type="dxa" w:w="2040"/>
            <w:vAlign w:val="center"/>
          </w:tcPr>
          <w:p>
            <w:r/>
            <w:r>
              <w:rPr>
                <w:rFonts w:ascii="Aptos" w:hAnsi="Aptos"/>
                <w:b w:val="0"/>
                <w:sz w:val="15"/>
              </w:rPr>
              <w:t>Autorisations/tarifs applicables</w:t>
            </w:r>
          </w:p>
        </w:tc>
        <w:tc>
          <w:tcPr>
            <w:tcW w:type="dxa" w:w="2040"/>
            <w:vAlign w:val="center"/>
          </w:tcPr>
          <w:p>
            <w:r/>
            <w:r>
              <w:rPr>
                <w:rFonts w:ascii="Aptos" w:hAnsi="Aptos"/>
                <w:b w:val="0"/>
                <w:sz w:val="15"/>
              </w:rPr>
              <w:t>Inventaire vs autorisations vs paiements</w:t>
            </w:r>
          </w:p>
        </w:tc>
        <w:tc>
          <w:tcPr>
            <w:tcW w:type="dxa" w:w="2040"/>
            <w:vAlign w:val="center"/>
          </w:tcPr>
          <w:p>
            <w:r/>
            <w:r>
              <w:rPr>
                <w:rFonts w:ascii="Aptos" w:hAnsi="Aptos"/>
                <w:b w:val="0"/>
                <w:sz w:val="15"/>
              </w:rPr>
              <w:t>Haute</w:t>
            </w:r>
          </w:p>
        </w:tc>
      </w:tr>
      <w:tr>
        <w:tc>
          <w:tcPr>
            <w:tcW w:type="dxa" w:w="2040"/>
            <w:vAlign w:val="center"/>
          </w:tcPr>
          <w:p>
            <w:r/>
            <w:r>
              <w:rPr>
                <w:rFonts w:ascii="Aptos" w:hAnsi="Aptos"/>
                <w:b/>
                <w:sz w:val="15"/>
              </w:rPr>
              <w:t>Marchés / domaine public</w:t>
            </w:r>
          </w:p>
        </w:tc>
        <w:tc>
          <w:tcPr>
            <w:tcW w:type="dxa" w:w="2040"/>
            <w:vAlign w:val="center"/>
          </w:tcPr>
          <w:p>
            <w:r/>
            <w:r>
              <w:rPr>
                <w:rFonts w:ascii="Aptos" w:hAnsi="Aptos"/>
                <w:b w:val="0"/>
                <w:sz w:val="15"/>
              </w:rPr>
              <w:t>Flux nombreux et fragmentés</w:t>
            </w:r>
          </w:p>
        </w:tc>
        <w:tc>
          <w:tcPr>
            <w:tcW w:type="dxa" w:w="2040"/>
            <w:vAlign w:val="center"/>
          </w:tcPr>
          <w:p>
            <w:r/>
            <w:r>
              <w:rPr>
                <w:rFonts w:ascii="Aptos" w:hAnsi="Aptos"/>
                <w:b w:val="0"/>
                <w:sz w:val="15"/>
              </w:rPr>
              <w:t>Compétence, tarifs, modes de collecte</w:t>
            </w:r>
          </w:p>
        </w:tc>
        <w:tc>
          <w:tcPr>
            <w:tcW w:type="dxa" w:w="2040"/>
            <w:vAlign w:val="center"/>
          </w:tcPr>
          <w:p>
            <w:r/>
            <w:r>
              <w:rPr>
                <w:rFonts w:ascii="Aptos" w:hAnsi="Aptos"/>
                <w:b w:val="0"/>
                <w:sz w:val="15"/>
              </w:rPr>
              <w:t>Référencement, paiement digital, baisse écarts</w:t>
            </w:r>
          </w:p>
        </w:tc>
        <w:tc>
          <w:tcPr>
            <w:tcW w:type="dxa" w:w="2040"/>
            <w:vAlign w:val="center"/>
          </w:tcPr>
          <w:p>
            <w:r/>
            <w:r>
              <w:rPr>
                <w:rFonts w:ascii="Aptos" w:hAnsi="Aptos"/>
                <w:b w:val="0"/>
                <w:sz w:val="15"/>
              </w:rPr>
              <w:t>Haute</w:t>
            </w:r>
          </w:p>
        </w:tc>
      </w:tr>
      <w:tr>
        <w:tc>
          <w:tcPr>
            <w:tcW w:type="dxa" w:w="2040"/>
            <w:vAlign w:val="center"/>
          </w:tcPr>
          <w:p>
            <w:r/>
            <w:r>
              <w:rPr>
                <w:rFonts w:ascii="Aptos" w:hAnsi="Aptos"/>
                <w:b/>
                <w:sz w:val="15"/>
              </w:rPr>
              <w:t>Stationnement</w:t>
            </w:r>
          </w:p>
        </w:tc>
        <w:tc>
          <w:tcPr>
            <w:tcW w:type="dxa" w:w="2040"/>
            <w:vAlign w:val="center"/>
          </w:tcPr>
          <w:p>
            <w:r/>
            <w:r>
              <w:rPr>
                <w:rFonts w:ascii="Aptos" w:hAnsi="Aptos"/>
                <w:b w:val="0"/>
                <w:sz w:val="15"/>
              </w:rPr>
              <w:t>Digitalisable et mesurable</w:t>
            </w:r>
          </w:p>
        </w:tc>
        <w:tc>
          <w:tcPr>
            <w:tcW w:type="dxa" w:w="2040"/>
            <w:vAlign w:val="center"/>
          </w:tcPr>
          <w:p>
            <w:r/>
            <w:r>
              <w:rPr>
                <w:rFonts w:ascii="Aptos" w:hAnsi="Aptos"/>
                <w:b w:val="0"/>
                <w:sz w:val="15"/>
              </w:rPr>
              <w:t>Base réglementaire et zonage</w:t>
            </w:r>
          </w:p>
        </w:tc>
        <w:tc>
          <w:tcPr>
            <w:tcW w:type="dxa" w:w="2040"/>
            <w:vAlign w:val="center"/>
          </w:tcPr>
          <w:p>
            <w:r/>
            <w:r>
              <w:rPr>
                <w:rFonts w:ascii="Aptos" w:hAnsi="Aptos"/>
                <w:b w:val="0"/>
                <w:sz w:val="15"/>
              </w:rPr>
              <w:t>Transactions, occupation, rapprochement</w:t>
            </w:r>
          </w:p>
        </w:tc>
        <w:tc>
          <w:tcPr>
            <w:tcW w:type="dxa" w:w="2040"/>
            <w:vAlign w:val="center"/>
          </w:tcPr>
          <w:p>
            <w:r/>
            <w:r>
              <w:rPr>
                <w:rFonts w:ascii="Aptos" w:hAnsi="Aptos"/>
                <w:b w:val="0"/>
                <w:sz w:val="15"/>
              </w:rPr>
              <w:t>Pilote ciblé</w:t>
            </w:r>
          </w:p>
        </w:tc>
      </w:tr>
    </w:tbl>
    <w:p>
      <w:pPr>
        <w:pStyle w:val="Heading1"/>
      </w:pPr>
      <w:r>
        <w:t>Annexe B — Exemple d’API</w:t>
      </w:r>
    </w:p>
    <w:p>
      <w:r>
        <w:t>POST /v1/obligations/{obligationId}/payment-references</w:t>
      </w:r>
    </w:p>
    <w:p>
      <w:r>
        <w:t>Acteur : contribuable ou agent autorisé. Entrée : obligationId, channel, payerAccount, idempotencyKey. Sortie : paymentReference, amount, currency, beneficiaryAlias, expiry, status. Contrôles : obligation active, montant immuable, canal autorisé, bénéficiaire issu du coffre approuvé, anti-duplication, journal d’audit. Erreurs : 400 validation, 403 scope, 409 duplicate/idempotency conflict, 422 obligation non payable.</w:t>
      </w:r>
    </w:p>
    <w:p>
      <w:pPr>
        <w:pStyle w:val="Heading1"/>
      </w:pPr>
      <w:r>
        <w:t>Annexe C — User stories et critères</w:t>
      </w:r>
    </w:p>
    <w:p>
      <w:r>
        <w:rPr>
          <w:b/>
        </w:rPr>
        <w:t xml:space="preserve">Contribuable — </w:t>
      </w:r>
      <w:r>
        <w:t>En tant que contribuable, je veux voir l’origine légale et le calcul de chaque obligation afin de comprendre ce que je dois payer.</w:t>
      </w:r>
    </w:p>
    <w:p>
      <w:r>
        <w:rPr>
          <w:b/>
        </w:rPr>
        <w:t xml:space="preserve">Critère : </w:t>
      </w:r>
      <w:r>
        <w:t>Given une obligation active, When j’ouvre son détail, Then je vois la règle/version, l’assiette, la formule, le montant, l’échéance et la voie de recours.</w:t>
      </w:r>
    </w:p>
    <w:p>
      <w:r>
        <w:rPr>
          <w:b/>
        </w:rPr>
        <w:t xml:space="preserve">Agent terrain — </w:t>
      </w:r>
      <w:r>
        <w:t>En tant qu’agent, je veux enregistrer une observation hors connexion sans pouvoir créer une dette finale.</w:t>
      </w:r>
    </w:p>
    <w:p>
      <w:r>
        <w:rPr>
          <w:b/>
        </w:rPr>
        <w:t xml:space="preserve">Critère : </w:t>
      </w:r>
      <w:r>
        <w:t>Given une mission téléchargée, When je capture GPS/photo/formulaire hors ligne, Then la preuve est chiffrée, horodatée et synchronisée ; aucune dette n’est créée sans validation.</w:t>
      </w:r>
    </w:p>
    <w:p>
      <w:r>
        <w:rPr>
          <w:b/>
        </w:rPr>
        <w:t xml:space="preserve">Auditeur — </w:t>
      </w:r>
      <w:r>
        <w:t>En tant qu’auditeur, je veux reconstituer toute modification financière.</w:t>
      </w:r>
    </w:p>
    <w:p>
      <w:r>
        <w:rPr>
          <w:b/>
        </w:rPr>
        <w:t xml:space="preserve">Critère : </w:t>
      </w:r>
      <w:r>
        <w:t>Given une obligation ou un paiement, When je consulte la piste d’audit, Then je vois chaque événement, auteur, approbation, horodatage et contre-écriture sans trou de journal.</w:t>
      </w:r>
    </w:p>
    <w:p>
      <w:pPr>
        <w:pStyle w:val="Heading1"/>
      </w:pPr>
      <w:r>
        <w:t>Conclusion</w:t>
      </w:r>
    </w:p>
    <w:p>
      <w:r>
        <w:rPr>
          <w:b/>
        </w:rPr>
        <w:t>KINSHASA MOSOLO n’est pas un nouveau guichet de paiement. C’est l’infrastructure de vérité des recettes de Kinshasa.</w:t>
      </w:r>
    </w:p>
    <w:p>
      <w:r>
        <w:t>Sa valeur vient de la capacité à relier chaque personne, objet, lieu, règle, obligation, paiement, settlement, rapprochement, quittance, contrôle et décision dans une chaîne unique, explicable et auditable — tout en maintenant la légalité, la séparation des pouvoirs et la souveraineté des données.</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KINSHASA MOSOLO • Dossier consolidé • Septembre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