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b/>
          <w:bCs/>
          <w:color w:val="1BA996"/>
          <w:sz w:val="40"/>
          <w:szCs w:val="40"/>
        </w:rPr>
        <w:t xml:space="preserve">KINSHASA MOSOLO</w:t>
      </w:r>
    </w:p>
    <w:p>
      <w:pPr>
        <w:pBdr>
          <w:bottom w:val="single" w:color="1BA996" w:sz="12" w:space="4"/>
        </w:pBdr>
        <w:spacing w:after="100"/>
      </w:pPr>
      <w:r>
        <w:rPr>
          <w:color w:val="4D6168"/>
          <w:sz w:val="18"/>
          <w:szCs w:val="18"/>
        </w:rPr>
        <w:t xml:space="preserve">Note exécutive au Gouverneur de la Ville Province de Kinshasa · 24 septembre 2026</w:t>
      </w:r>
    </w:p>
    <w:p>
      <w:pPr>
        <w:spacing w:after="120" w:line="250"/>
        <w:jc w:val="both"/>
      </w:pPr>
      <w:r>
        <w:rPr>
          <w:b/>
          <w:bCs/>
          <w:i w:val="false"/>
          <w:iCs w:val="false"/>
          <w:color w:val="0F7466"/>
          <w:sz w:val="20"/>
          <w:szCs w:val="20"/>
        </w:rPr>
        <w:t xml:space="preserve">« Une ville, un contribuable, une donnée, une quittance. »</w:t>
      </w:r>
    </w:p>
    <w:p>
      <w:pPr>
        <w:spacing w:after="110" w:line="250"/>
        <w:jc w:val="both"/>
      </w:pPr>
      <w:r>
        <w:rPr>
          <w:b w:val="false"/>
          <w:bCs w:val="false"/>
          <w:i w:val="false"/>
          <w:iCs w:val="false"/>
          <w:sz w:val="19"/>
          <w:szCs w:val="19"/>
        </w:rPr>
        <w:t xml:space="preserve">Kinshasa, vingt millions d'habitants, fonctionne avec un budget provincial d'environ 1,2 milliard de dollars — moins de 70 dollars par habitant et par an. Le problème n'est pas le taux de l'impôt : c'est que la Ville ne voit pas son assiette. Une large part des parcelles, logements loués, commerces, véhicules, panneaux et occupations du domaine public n'existe dans aucune base numérique géolocalisée. Ce qui n'est pas vu n'est pas liquidé ; ce qui est encaissé en espèces n'est pas toujours rapproché.</w:t>
      </w:r>
    </w:p>
    <w:p>
      <w:pPr>
        <w:pBdr>
          <w:bottom w:val="single" w:color="1BA996" w:sz="8" w:space="2"/>
        </w:pBdr>
        <w:spacing w:after="80" w:before="150"/>
      </w:pPr>
      <w:r>
        <w:rPr>
          <w:b/>
          <w:bCs/>
          <w:color w:val="10262C"/>
          <w:sz w:val="21"/>
          <w:szCs w:val="21"/>
        </w:rPr>
        <w:t xml:space="preserve">Le constat est déjà établi, il ne reste qu'à agir</w:t>
      </w:r>
    </w:p>
    <w:p>
      <w:pPr>
        <w:spacing w:after="50" w:line="244"/>
        <w:ind w:left="250" w:hanging="190"/>
      </w:pPr>
      <w:r>
        <w:rPr>
          <w:b/>
          <w:bCs/>
          <w:color w:val="1BA996"/>
          <w:sz w:val="19"/>
          <w:szCs w:val="19"/>
        </w:rPr>
        <w:t xml:space="preserve">▸ </w:t>
      </w:r>
      <w:r>
        <w:rPr>
          <w:sz w:val="19"/>
          <w:szCs w:val="19"/>
        </w:rPr>
        <w:t xml:space="preserve">Évaluation TADAT de septembre 2025 : registre des contribuables incomplet et peu fiable, télépaiement non opérationnel, contrôle interne insuffisant, audit interne non fonctionnel.</w:t>
      </w:r>
    </w:p>
    <w:p>
      <w:pPr>
        <w:spacing w:after="50" w:line="244"/>
        <w:ind w:left="250" w:hanging="190"/>
      </w:pPr>
      <w:r>
        <w:rPr>
          <w:b/>
          <w:bCs/>
          <w:color w:val="1BA996"/>
          <w:sz w:val="19"/>
          <w:szCs w:val="19"/>
        </w:rPr>
        <w:t xml:space="preserve">▸ </w:t>
      </w:r>
      <w:r>
        <w:rPr>
          <w:sz w:val="19"/>
          <w:szCs w:val="19"/>
        </w:rPr>
        <w:t xml:space="preserve">Contrat de performance 2026 de la DGRK : environ 500 millions de dollars d'assignations, alors que l'IF et l'IRL cumulés fin janvier 2026 atteignaient près de 40 milliards de francs congolais, soit environ 14 millions de dollars.</w:t>
      </w:r>
    </w:p>
    <w:p>
      <w:pPr>
        <w:spacing w:after="50" w:line="244"/>
        <w:ind w:left="250" w:hanging="190"/>
      </w:pPr>
      <w:r>
        <w:rPr>
          <w:b/>
          <w:bCs/>
          <w:color w:val="1BA996"/>
          <w:sz w:val="19"/>
          <w:szCs w:val="19"/>
        </w:rPr>
        <w:t xml:space="preserve">▸ </w:t>
      </w:r>
      <w:r>
        <w:rPr>
          <w:sz w:val="19"/>
          <w:szCs w:val="19"/>
        </w:rPr>
        <w:t xml:space="preserve">L'écart n'est pas un échec administratif : c'est un gisement, et il est d'abord locatif et foncier.</w:t>
      </w:r>
    </w:p>
    <w:p>
      <w:pPr>
        <w:pBdr>
          <w:bottom w:val="single" w:color="1BA996" w:sz="8" w:space="2"/>
        </w:pBdr>
        <w:spacing w:after="80" w:before="150"/>
      </w:pPr>
      <w:r>
        <w:rPr>
          <w:b/>
          <w:bCs/>
          <w:color w:val="10262C"/>
          <w:sz w:val="21"/>
          <w:szCs w:val="21"/>
        </w:rPr>
        <w:t xml:space="preserve">Ce que KINSHASA MOSOLO apporte</w:t>
      </w:r>
    </w:p>
    <w:p>
      <w:pPr>
        <w:spacing w:after="70" w:line="250"/>
        <w:jc w:val="both"/>
      </w:pPr>
      <w:r>
        <w:rPr>
          <w:b/>
          <w:bCs/>
          <w:color w:val="0F7466"/>
          <w:sz w:val="19"/>
          <w:szCs w:val="19"/>
        </w:rPr>
        <w:t xml:space="preserve">Un compte, tous les objets. </w:t>
      </w:r>
      <w:r>
        <w:rPr>
          <w:sz w:val="19"/>
          <w:szCs w:val="19"/>
        </w:rPr>
        <w:t xml:space="preserve">Chaque Kinois et chaque entreprise dispose d'un espace unique auquel sont rattachés parcelles, logements loués, commerces, véhicules, panneaux, embarcations et autorisations.</w:t>
      </w:r>
    </w:p>
    <w:p>
      <w:pPr>
        <w:spacing w:after="70" w:line="250"/>
        <w:jc w:val="both"/>
      </w:pPr>
      <w:r>
        <w:rPr>
          <w:b/>
          <w:bCs/>
          <w:color w:val="0F7466"/>
          <w:sz w:val="19"/>
          <w:szCs w:val="19"/>
        </w:rPr>
        <w:t xml:space="preserve">On identifie l'objet, plus seulement la personne. </w:t>
      </w:r>
      <w:r>
        <w:rPr>
          <w:sz w:val="19"/>
          <w:szCs w:val="19"/>
        </w:rPr>
        <w:t xml:space="preserve">Chaque bien reçoit un identifiant géolocalisé et un code QR : la Ville sait qui, quoi, où, quelle règle, combien, payé ou non.</w:t>
      </w:r>
    </w:p>
    <w:p>
      <w:pPr>
        <w:spacing w:after="70" w:line="250"/>
        <w:jc w:val="both"/>
      </w:pPr>
      <w:r>
        <w:rPr>
          <w:b/>
          <w:bCs/>
          <w:color w:val="0F7466"/>
          <w:sz w:val="19"/>
          <w:szCs w:val="19"/>
        </w:rPr>
        <w:t xml:space="preserve">Aucune espèce entre les mains de l'agent. </w:t>
      </w:r>
      <w:r>
        <w:rPr>
          <w:sz w:val="19"/>
          <w:szCs w:val="19"/>
        </w:rPr>
        <w:t xml:space="preserve">Le contribuable paie depuis son téléphone vers les comptes publics désignés ; la quittance électronique est vérifiable par simple scan, et les fausses quittances cessent de fonctionner.</w:t>
      </w:r>
    </w:p>
    <w:p>
      <w:pPr>
        <w:spacing w:after="70" w:line="250"/>
        <w:jc w:val="both"/>
      </w:pPr>
      <w:r>
        <w:rPr>
          <w:b/>
          <w:bCs/>
          <w:color w:val="0F7466"/>
          <w:sz w:val="19"/>
          <w:szCs w:val="19"/>
        </w:rPr>
        <w:t xml:space="preserve">Le quitus fiscal devient un levier réel. </w:t>
      </w:r>
      <w:r>
        <w:rPr>
          <w:sz w:val="19"/>
          <w:szCs w:val="19"/>
        </w:rPr>
        <w:t xml:space="preserve">Numérique et instantané, étendu aux permis de bâtir, aux mutations foncières et aux mutations de véhicules, il transforme la conformité en condition d'accès aux services.</w:t>
      </w:r>
    </w:p>
    <w:p>
      <w:pPr>
        <w:spacing w:after="70" w:line="250"/>
        <w:jc w:val="both"/>
      </w:pPr>
      <w:r>
        <w:rPr>
          <w:b/>
          <w:bCs/>
          <w:color w:val="0F7466"/>
          <w:sz w:val="19"/>
          <w:szCs w:val="19"/>
        </w:rPr>
        <w:t xml:space="preserve">Aucun pouvoir absolu, à aucun niveau. </w:t>
      </w:r>
      <w:r>
        <w:rPr>
          <w:sz w:val="19"/>
          <w:szCs w:val="19"/>
        </w:rPr>
        <w:t xml:space="preserve">Personne — ni ministre, ni directeur, ni administrateur informatique — ne peut modifier seul une dette, un compte bénéficiaire ou une trace : journal d'audit inaltérable et double validation.</w:t>
      </w:r>
    </w:p>
    <w:p>
      <w:pPr>
        <w:pBdr>
          <w:bottom w:val="single" w:color="1BA996" w:sz="8" w:space="2"/>
        </w:pBdr>
        <w:spacing w:after="80" w:before="150"/>
      </w:pPr>
      <w:r>
        <w:rPr>
          <w:b/>
          <w:bCs/>
          <w:color w:val="10262C"/>
          <w:sz w:val="21"/>
          <w:szCs w:val="21"/>
        </w:rPr>
        <w:t xml:space="preserve">Alerte juridique à traiter immédiatement</w:t>
      </w:r>
    </w:p>
    <w:p>
      <w:pPr>
        <w:spacing w:after="110" w:line="250"/>
        <w:jc w:val="both"/>
      </w:pPr>
      <w:r>
        <w:rPr>
          <w:b w:val="false"/>
          <w:bCs w:val="false"/>
          <w:i w:val="false"/>
          <w:iCs w:val="false"/>
          <w:sz w:val="19"/>
          <w:szCs w:val="19"/>
        </w:rPr>
        <w:t xml:space="preserve">Le projet de référence s'appuie sur l'Ordonnance-loi n° 13/001 du 23 février 2013, abrogée par l'Ordonnance-loi n° 18/004 du 13 mars 2018. De même, le taux de l'impôt sur les revenus locatifs est de 22 % des loyers encaissés : les 20 % correspondent à la retenue de premier rang. Toute liquidation fondée sur les anciennes références serait contestable. La refondation du référentiel est la première tâche, avant toute ligne de code.</w:t>
      </w:r>
    </w:p>
    <w:p>
      <w:pPr>
        <w:pBdr>
          <w:bottom w:val="single" w:color="1BA996" w:sz="8" w:space="2"/>
        </w:pBdr>
        <w:spacing w:after="80" w:before="150"/>
      </w:pPr>
      <w:r>
        <w:rPr>
          <w:b/>
          <w:bCs/>
          <w:color w:val="10262C"/>
          <w:sz w:val="21"/>
          <w:szCs w:val="21"/>
        </w:rPr>
        <w:t xml:space="preserve">Décision demandée</w:t>
      </w:r>
    </w:p>
    <w:tbl>
      <w:tblPr>
        <w:tblW w:type="dxa" w:w="9900"/>
        <w:tblBorders>
          <w:top w:val="single" w:color="BFCFCB" w:sz="2"/>
          <w:left w:val="single" w:color="BFCFCB" w:sz="2"/>
          <w:bottom w:val="single" w:color="BFCFCB" w:sz="2"/>
          <w:right w:val="single" w:color="BFCFCB" w:sz="2"/>
          <w:insideH w:val="single" w:color="BFCFCB" w:sz="2"/>
          <w:insideV w:val="single" w:color="BFCFCB" w:sz="2"/>
        </w:tblBorders>
      </w:tblPr>
      <w:tblGrid>
        <w:gridCol w:w="1386"/>
        <w:gridCol w:w="8514"/>
      </w:tblGrid>
      <w:tr>
        <w:tc>
          <w:tcPr>
            <w:tcW w:type="dxa" w:w="1386"/>
            <w:shd w:fill="E6F4F1" w:color="auto" w:val="clear"/>
            <w:tcMar>
              <w:top w:type="dxa" w:w="40"/>
              <w:left w:type="dxa" w:w="80"/>
              <w:bottom w:type="dxa" w:w="40"/>
              <w:right w:type="dxa" w:w="80"/>
            </w:tcMar>
          </w:tcPr>
          <w:p>
            <w:pPr>
              <w:spacing w:after="0" w:line="240"/>
            </w:pPr>
            <w:r>
              <w:rPr>
                <w:b/>
                <w:bCs/>
                <w:sz w:val="17"/>
                <w:szCs w:val="17"/>
              </w:rPr>
              <w:t xml:space="preserve">Objet</w:t>
            </w:r>
          </w:p>
        </w:tc>
        <w:tc>
          <w:tcPr>
            <w:tcW w:type="dxa" w:w="8514"/>
            <w:shd w:fill="E6F4F1" w:color="auto" w:val="clear"/>
            <w:tcMar>
              <w:top w:type="dxa" w:w="40"/>
              <w:left w:type="dxa" w:w="80"/>
              <w:bottom w:type="dxa" w:w="40"/>
              <w:right w:type="dxa" w:w="80"/>
            </w:tcMar>
          </w:tcPr>
          <w:p>
            <w:pPr>
              <w:spacing w:after="0" w:line="240"/>
            </w:pPr>
            <w:r>
              <w:rPr>
                <w:b/>
                <w:bCs/>
                <w:sz w:val="17"/>
                <w:szCs w:val="17"/>
              </w:rPr>
              <w:t xml:space="preserve">Décision</w:t>
            </w:r>
          </w:p>
        </w:tc>
      </w:tr>
      <w:tr>
        <w:tc>
          <w:tcPr>
            <w:tcW w:type="dxa" w:w="1386"/>
            <w:tcMar>
              <w:top w:type="dxa" w:w="40"/>
              <w:left w:type="dxa" w:w="80"/>
              <w:bottom w:type="dxa" w:w="40"/>
              <w:right w:type="dxa" w:w="80"/>
            </w:tcMar>
          </w:tcPr>
          <w:p>
            <w:pPr>
              <w:spacing w:after="0" w:line="240"/>
            </w:pPr>
            <w:r>
              <w:rPr>
                <w:sz w:val="17"/>
                <w:szCs w:val="17"/>
              </w:rPr>
              <w:t xml:space="preserve">Mandat</w:t>
            </w:r>
          </w:p>
        </w:tc>
        <w:tc>
          <w:tcPr>
            <w:tcW w:type="dxa" w:w="8514"/>
            <w:tcMar>
              <w:top w:type="dxa" w:w="40"/>
              <w:left w:type="dxa" w:w="80"/>
              <w:bottom w:type="dxa" w:w="40"/>
              <w:right w:type="dxa" w:w="80"/>
            </w:tcMar>
          </w:tcPr>
          <w:p>
            <w:pPr>
              <w:spacing w:after="0" w:line="240"/>
            </w:pPr>
            <w:r>
              <w:rPr>
                <w:sz w:val="17"/>
                <w:szCs w:val="17"/>
              </w:rPr>
              <w:t xml:space="preserve">Approuver MOSOLO et installer le comité de pilotage sous quinze jours</w:t>
            </w:r>
          </w:p>
        </w:tc>
      </w:tr>
      <w:tr>
        <w:tc>
          <w:tcPr>
            <w:tcW w:type="dxa" w:w="1386"/>
            <w:tcMar>
              <w:top w:type="dxa" w:w="40"/>
              <w:left w:type="dxa" w:w="80"/>
              <w:bottom w:type="dxa" w:w="40"/>
              <w:right w:type="dxa" w:w="80"/>
            </w:tcMar>
          </w:tcPr>
          <w:p>
            <w:pPr>
              <w:spacing w:after="0" w:line="240"/>
            </w:pPr>
            <w:r>
              <w:rPr>
                <w:sz w:val="17"/>
                <w:szCs w:val="17"/>
              </w:rPr>
              <w:t xml:space="preserve">Droit</w:t>
            </w:r>
          </w:p>
        </w:tc>
        <w:tc>
          <w:tcPr>
            <w:tcW w:type="dxa" w:w="8514"/>
            <w:tcMar>
              <w:top w:type="dxa" w:w="40"/>
              <w:left w:type="dxa" w:w="80"/>
              <w:bottom w:type="dxa" w:w="40"/>
              <w:right w:type="dxa" w:w="80"/>
            </w:tcMar>
          </w:tcPr>
          <w:p>
            <w:pPr>
              <w:spacing w:after="0" w:line="240"/>
            </w:pPr>
            <w:r>
              <w:rPr>
                <w:sz w:val="17"/>
                <w:szCs w:val="17"/>
              </w:rPr>
              <w:t xml:space="preserve">Ordonner le relevé juridique certifié sur l'Ordonnance-loi n° 18/004 et l'édit budgétaire en vigueur</w:t>
            </w:r>
          </w:p>
        </w:tc>
      </w:tr>
      <w:tr>
        <w:tc>
          <w:tcPr>
            <w:tcW w:type="dxa" w:w="1386"/>
            <w:tcMar>
              <w:top w:type="dxa" w:w="40"/>
              <w:left w:type="dxa" w:w="80"/>
              <w:bottom w:type="dxa" w:w="40"/>
              <w:right w:type="dxa" w:w="80"/>
            </w:tcMar>
          </w:tcPr>
          <w:p>
            <w:pPr>
              <w:spacing w:after="0" w:line="240"/>
            </w:pPr>
            <w:r>
              <w:rPr>
                <w:sz w:val="17"/>
                <w:szCs w:val="17"/>
              </w:rPr>
              <w:t xml:space="preserve">Données</w:t>
            </w:r>
          </w:p>
        </w:tc>
        <w:tc>
          <w:tcPr>
            <w:tcW w:type="dxa" w:w="8514"/>
            <w:tcMar>
              <w:top w:type="dxa" w:w="40"/>
              <w:left w:type="dxa" w:w="80"/>
              <w:bottom w:type="dxa" w:w="40"/>
              <w:right w:type="dxa" w:w="80"/>
            </w:tcMar>
          </w:tcPr>
          <w:p>
            <w:pPr>
              <w:spacing w:after="0" w:line="240"/>
            </w:pPr>
            <w:r>
              <w:rPr>
                <w:sz w:val="17"/>
                <w:szCs w:val="17"/>
              </w:rPr>
              <w:t xml:space="preserve">Autoriser les protocoles avec énergie, eau, immatriculations, opérateurs télécoms et brasseries</w:t>
            </w:r>
          </w:p>
        </w:tc>
      </w:tr>
      <w:tr>
        <w:tc>
          <w:tcPr>
            <w:tcW w:type="dxa" w:w="1386"/>
            <w:tcMar>
              <w:top w:type="dxa" w:w="40"/>
              <w:left w:type="dxa" w:w="80"/>
              <w:bottom w:type="dxa" w:w="40"/>
              <w:right w:type="dxa" w:w="80"/>
            </w:tcMar>
          </w:tcPr>
          <w:p>
            <w:pPr>
              <w:spacing w:after="0" w:line="240"/>
            </w:pPr>
            <w:r>
              <w:rPr>
                <w:sz w:val="17"/>
                <w:szCs w:val="17"/>
              </w:rPr>
              <w:t xml:space="preserve">Pilote</w:t>
            </w:r>
          </w:p>
        </w:tc>
        <w:tc>
          <w:tcPr>
            <w:tcW w:type="dxa" w:w="8514"/>
            <w:tcMar>
              <w:top w:type="dxa" w:w="40"/>
              <w:left w:type="dxa" w:w="80"/>
              <w:bottom w:type="dxa" w:w="40"/>
              <w:right w:type="dxa" w:w="80"/>
            </w:tcMar>
          </w:tcPr>
          <w:p>
            <w:pPr>
              <w:spacing w:after="0" w:line="240"/>
            </w:pPr>
            <w:r>
              <w:rPr>
                <w:sz w:val="17"/>
                <w:szCs w:val="17"/>
              </w:rPr>
              <w:t xml:space="preserve">Gombe, Limete, Kalamu, Ngaliema — 180 jours, campagne de février 2027 comme premier test réel</w:t>
            </w:r>
          </w:p>
        </w:tc>
      </w:tr>
      <w:tr>
        <w:tc>
          <w:tcPr>
            <w:tcW w:type="dxa" w:w="1386"/>
            <w:tcMar>
              <w:top w:type="dxa" w:w="40"/>
              <w:left w:type="dxa" w:w="80"/>
              <w:bottom w:type="dxa" w:w="40"/>
              <w:right w:type="dxa" w:w="80"/>
            </w:tcMar>
          </w:tcPr>
          <w:p>
            <w:pPr>
              <w:spacing w:after="0" w:line="240"/>
            </w:pPr>
            <w:r>
              <w:rPr>
                <w:sz w:val="17"/>
                <w:szCs w:val="17"/>
              </w:rPr>
              <w:t xml:space="preserve">Contrat</w:t>
            </w:r>
          </w:p>
        </w:tc>
        <w:tc>
          <w:tcPr>
            <w:tcW w:type="dxa" w:w="8514"/>
            <w:tcMar>
              <w:top w:type="dxa" w:w="40"/>
              <w:left w:type="dxa" w:w="80"/>
              <w:bottom w:type="dxa" w:w="40"/>
              <w:right w:type="dxa" w:w="80"/>
            </w:tcMar>
          </w:tcPr>
          <w:p>
            <w:pPr>
              <w:spacing w:after="0" w:line="240"/>
            </w:pPr>
            <w:r>
              <w:rPr>
                <w:sz w:val="17"/>
                <w:szCs w:val="17"/>
              </w:rPr>
              <w:t xml:space="preserve">Forfait et primes sur indicateurs audités ; aucun pourcentage sur les recettes publiques</w:t>
            </w:r>
          </w:p>
        </w:tc>
      </w:tr>
    </w:tbl>
    <w:p>
      <w:pPr>
        <w:spacing w:after="60" w:line="250"/>
        <w:jc w:val="both"/>
      </w:pPr>
      <w:r>
        <w:rPr>
          <w:b w:val="false"/>
          <w:bCs w:val="false"/>
          <w:i w:val="false"/>
          <w:iCs w:val="false"/>
          <w:sz w:val="19"/>
          <w:szCs w:val="19"/>
        </w:rPr>
        <w:t xml:space="preserve"/>
      </w:r>
    </w:p>
    <w:p>
      <w:pPr>
        <w:spacing w:after="90" w:line="250"/>
        <w:jc w:val="both"/>
      </w:pPr>
      <w:r>
        <w:rPr>
          <w:b w:val="false"/>
          <w:bCs w:val="false"/>
          <w:i w:val="false"/>
          <w:iCs w:val="false"/>
          <w:sz w:val="19"/>
          <w:szCs w:val="19"/>
        </w:rPr>
        <w:t xml:space="preserve">Le calendrier commande : le recensement locatif des communes pilotes doit être achevé avant l'échéance de début février pour que les déclarations partent pré-remplies. Chaque mois perdu reporte d'un an le premier retour mesurable.</w:t>
      </w:r>
    </w:p>
    <w:p>
      <w:pPr>
        <w:spacing w:after="0" w:line="250"/>
        <w:jc w:val="center"/>
      </w:pPr>
      <w:r>
        <w:rPr>
          <w:b/>
          <w:bCs/>
          <w:i w:val="false"/>
          <w:iCs w:val="false"/>
          <w:color w:val="0F7466"/>
          <w:sz w:val="19"/>
          <w:szCs w:val="19"/>
        </w:rPr>
        <w:t xml:space="preserve">KINSHASA MOSOLO — chaque contribuable identifié, chaque activité localisée, chaque obligation légalement calculée, chaque paiement vérifiable et chaque franc public traçable.</w:t>
      </w:r>
    </w:p>
    <w:sectPr>
      <w:footerReference w:type="default" r:id="rId7"/>
      <w:pgSz w:w="11906" w:h="16838" w:orient="portrait"/>
      <w:pgMar w:top="850" w:right="1000" w:bottom="7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F84"/>
        <w:sz w:val="14"/>
        <w:szCs w:val="14"/>
      </w:rPr>
      <w:t xml:space="preserve">Groupe Nseya Digital / JNN Global Ltd · Synthèse du document maître MOSOLO v1.0 · Document de travail soumis à validation juridique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E33"/>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KINSHASA MOSOLO — Note exécutive au Gouverneur</dc:title>
  <dc:creator>Groupe Nseya Digital</dc:creator>
  <cp:lastModifiedBy>Un-named</cp:lastModifiedBy>
  <cp:revision>1</cp:revision>
  <dcterms:created xsi:type="dcterms:W3CDTF">2026-09-24T12:56:34.369Z</dcterms:created>
  <dcterms:modified xsi:type="dcterms:W3CDTF">2026-09-24T12:56:34.378Z</dcterms:modified>
</cp:coreProperties>
</file>

<file path=docProps/custom.xml><?xml version="1.0" encoding="utf-8"?>
<Properties xmlns="http://schemas.openxmlformats.org/officeDocument/2006/custom-properties" xmlns:vt="http://schemas.openxmlformats.org/officeDocument/2006/docPropsVTypes"/>
</file>