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3"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Xf2fa7fb563952f79d1eacc6b762dabdd2bec26b"/>
    <w:p>
      <w:pPr>
        <w:pStyle w:val="Heading2"/>
      </w:pPr>
      <w:r>
        <w:t xml:space="preserve">I.15 Terrain : lecture de plaque, caméra de preuve des abords, pénalités visibles avec leur montant, commission de tous les agents</w:t>
      </w:r>
    </w:p>
    <w:p>
      <w:pPr>
        <w:pStyle w:val="FirstParagraph"/>
      </w:pPr>
      <w:r>
        <w:t xml:space="preserve">Décisions du maître d’ouvrage du 27/09/2026, puis précisions du même jour, construites et testées :</w:t>
      </w:r>
      <w:r>
        <w:t xml:space="preserve"> </w:t>
      </w:r>
      <w:r>
        <w:t xml:space="preserve">- le montant est montré à tous les agents ;</w:t>
      </w:r>
      <w:r>
        <w:t xml:space="preserve"> </w:t>
      </w:r>
      <w:r>
        <w:t xml:space="preserve">- la commission de 10 % vaut pour les agents de tous les modules ;</w:t>
      </w:r>
      <w:r>
        <w:t xml:space="preserve"> </w:t>
      </w:r>
      <w:r>
        <w:t xml:space="preserve">- les photos de preuve portent sur les abords du véhicule, pas sur la plaque.</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 les abords du véhicule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 des abords du véhicule</w:t>
      </w:r>
      <w:r>
        <w:t xml:space="preserve"> </w:t>
      </w:r>
      <w:r>
        <w:t xml:space="preserve">: devant, derrière, côté droit, côté gauche, plus une autre vue (panneau d’interdiction, marquage au sol, horaire affiché).</w:t>
      </w:r>
    </w:p>
    <w:p>
      <w:pPr>
        <w:pStyle w:val="Compact"/>
        <w:numPr>
          <w:ilvl w:val="0"/>
          <w:numId w:val="1041"/>
        </w:numPr>
      </w:pPr>
      <w:r>
        <w:rPr>
          <w:b/>
          <w:bCs/>
        </w:rPr>
        <w:t xml:space="preserve">Objet de la preuve</w:t>
      </w:r>
      <w:r>
        <w:t xml:space="preserve"> </w:t>
      </w:r>
      <w:r>
        <w:t xml:space="preserve">: le</w:t>
      </w:r>
      <w:r>
        <w:t xml:space="preserve"> </w:t>
      </w:r>
      <w:r>
        <w:rPr>
          <w:b/>
          <w:bCs/>
        </w:rPr>
        <w:t xml:space="preserve">lieu et les circonstances</w:t>
      </w:r>
      <w:r>
        <w:t xml:space="preserve"> </w:t>
      </w:r>
      <w:r>
        <w:t xml:space="preserve">du stationnement (passage piéton, trottoir, voie, signalisation).</w:t>
      </w:r>
      <w:r>
        <w:t xml:space="preserve"> </w:t>
      </w:r>
      <w:r>
        <w:rPr>
          <w:b/>
          <w:bCs/>
        </w:rPr>
        <w:t xml:space="preserve">Ce n’est pas un gros plan de la plaque</w:t>
      </w:r>
      <w:r>
        <w:t xml:space="preserve"> </w:t>
      </w:r>
      <w:r>
        <w:t xml:space="preserve">: la plaque est déjà lue au contrôle et figure en texte sur chaque photo.</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signale un écart d’horloge de plus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 signalée au vérificateur.</w:t>
      </w:r>
    </w:p>
    <w:p>
      <w:pPr>
        <w:pStyle w:val="Compact"/>
        <w:numPr>
          <w:ilvl w:val="0"/>
          <w:numId w:val="1041"/>
        </w:numPr>
      </w:pPr>
      <w:r>
        <w:rPr>
          <w:b/>
          <w:bCs/>
        </w:rPr>
        <w:t xml:space="preserve">Lecture des photos</w:t>
      </w:r>
      <w:r>
        <w:t xml:space="preserve"> </w:t>
      </w:r>
      <w:r>
        <w:t xml:space="preserve">: le superviseur, la régie et le titulaire de la plaque les voient (droit de contester) ; toute consultation est journalisée.</w:t>
      </w:r>
    </w:p>
    <w:p>
      <w:pPr>
        <w:pStyle w:val="FirstParagraph"/>
      </w:pPr>
      <w:r>
        <w:t xml:space="preserve">Le circuit RW1 est inchangé : le</w:t>
      </w:r>
      <w:r>
        <w:t xml:space="preserve"> </w:t>
      </w:r>
      <w:r>
        <w:rPr>
          <w:b/>
          <w:bCs/>
        </w:rPr>
        <w:t xml:space="preserve">constat ne sanctionne pas</w:t>
      </w:r>
      <w:r>
        <w:t xml:space="preserve">.</w:t>
      </w:r>
    </w:p>
    <w:p>
      <w:pPr>
        <w:pStyle w:val="BodyText"/>
      </w:pPr>
      <w:r>
        <w:rPr>
          <w:b/>
          <w:bCs/>
        </w:rPr>
        <w:t xml:space="preserve">3. Pénalités visibles, avec leur montant.</w:t>
      </w:r>
    </w:p>
    <w:p>
      <w:pPr>
        <w:pStyle w:val="BodyText"/>
      </w:pPr>
      <w:r>
        <w:t xml:space="preserve">Règle retenue par le maître d’ouvrage :</w:t>
      </w:r>
      <w:r>
        <w:t xml:space="preserve"> </w:t>
      </w:r>
      <w:r>
        <w:rPr>
          <w:b/>
          <w:bCs/>
        </w:rPr>
        <w:t xml:space="preserve">dans les 30 jours, seulement les agents du module ; au-delà de 30 jours, tous les agents</w:t>
      </w:r>
      <w:r>
        <w:t xml:space="preserve">.</w:t>
      </w:r>
    </w:p>
    <w:p>
      <w:pPr>
        <w:pStyle w:val="Compact"/>
        <w:numPr>
          <w:ilvl w:val="0"/>
          <w:numId w:val="1044"/>
        </w:numPr>
      </w:pPr>
      <w:r>
        <w:rPr>
          <w:b/>
          <w:bCs/>
        </w:rPr>
        <w:t xml:space="preserve">Agents du même module, à tout âge</w:t>
      </w:r>
      <w:r>
        <w:t xml:space="preserve"> </w:t>
      </w:r>
      <w:r>
        <w:t xml:space="preserve">: après un contrôle, l’agent voit les pénalités impayées de l’usager</w:t>
      </w:r>
      <w:r>
        <w:t xml:space="preserve"> </w:t>
      </w:r>
      <w:r>
        <w:rPr>
          <w:b/>
          <w:bCs/>
        </w:rPr>
        <w:t xml:space="preserve">relevant de son module</w:t>
      </w:r>
      <w:r>
        <w:t xml:space="preserve">, dès leur décision, avec leur montant (marquées « votre module »). Correspondance : contrôle de stationnement → pénalités du stationnement ; contrôle de titres ou de pass wewa → pénalités des titres ; inspection publicitaire → publicité ; scan de plaque d’objet → verticales.</w:t>
      </w:r>
    </w:p>
    <w:p>
      <w:pPr>
        <w:pStyle w:val="Compact"/>
        <w:numPr>
          <w:ilvl w:val="0"/>
          <w:numId w:val="1044"/>
        </w:numPr>
      </w:pPr>
      <w:r>
        <w:rPr>
          <w:b/>
          <w:bCs/>
        </w:rPr>
        <w:t xml:space="preserve">Agents de tous les modules, après 30 jours d’impayé</w:t>
      </w:r>
      <w:r>
        <w:t xml:space="preserve"> </w:t>
      </w:r>
      <w:r>
        <w:t xml:space="preserve">: une pénalité non payée 30 jours après sa décision devient visible,</w:t>
      </w:r>
      <w:r>
        <w:t xml:space="preserve"> </w:t>
      </w:r>
      <w:r>
        <w:rPr>
          <w:b/>
          <w:bCs/>
        </w:rPr>
        <w:t xml:space="preserve">avec son montant</w:t>
      </w:r>
      <w:r>
        <w:t xml:space="preserve">, de</w:t>
      </w:r>
      <w:r>
        <w:t xml:space="preserve"> </w:t>
      </w:r>
      <w:r>
        <w:rPr>
          <w:b/>
          <w:bCs/>
        </w:rPr>
        <w:t xml:space="preserve">tout agent de tout module, à l’occasion d’un contrôle</w:t>
      </w:r>
      <w:r>
        <w:t xml:space="preserve">. Contrôles concernés :</w:t>
      </w:r>
    </w:p>
    <w:p>
      <w:pPr>
        <w:pStyle w:val="Compact"/>
        <w:numPr>
          <w:ilvl w:val="1"/>
          <w:numId w:val="1045"/>
        </w:numPr>
      </w:pPr>
      <w:r>
        <w:t xml:space="preserve">stationnement ;</w:t>
      </w:r>
    </w:p>
    <w:p>
      <w:pPr>
        <w:pStyle w:val="Compact"/>
        <w:numPr>
          <w:ilvl w:val="1"/>
          <w:numId w:val="1045"/>
        </w:numPr>
      </w:pPr>
      <w:r>
        <w:t xml:space="preserve">titres et tickets ;</w:t>
      </w:r>
    </w:p>
    <w:p>
      <w:pPr>
        <w:pStyle w:val="Compact"/>
        <w:numPr>
          <w:ilvl w:val="1"/>
          <w:numId w:val="1045"/>
        </w:numPr>
      </w:pPr>
      <w:r>
        <w:t xml:space="preserve">pass wewa (même pour une plaque qui n’est pas celle d’une moto enregistrée) ;</w:t>
      </w:r>
    </w:p>
    <w:p>
      <w:pPr>
        <w:pStyle w:val="Compact"/>
        <w:numPr>
          <w:ilvl w:val="1"/>
          <w:numId w:val="1045"/>
        </w:numPr>
      </w:pPr>
      <w:r>
        <w:t xml:space="preserve">scan d’une plaque d’étal, de chantier ou de site ;</w:t>
      </w:r>
    </w:p>
    <w:p>
      <w:pPr>
        <w:pStyle w:val="Compact"/>
        <w:numPr>
          <w:ilvl w:val="1"/>
          <w:numId w:val="1045"/>
        </w:numPr>
      </w:pPr>
      <w:r>
        <w:t xml:space="preserve">inspection publicitaire.</w:t>
      </w:r>
    </w:p>
    <w:p>
      <w:pPr>
        <w:pStyle w:val="Compact"/>
        <w:numPr>
          <w:ilvl w:val="0"/>
          <w:numId w:val="1044"/>
        </w:numPr>
      </w:pPr>
      <w:r>
        <w:t xml:space="preserve">Le bandeau de l’écran de contrôle s’intitule selon le cas « Pénalités impayées de votre module », « … depuis plus de 30 jours » ou les deux.</w:t>
      </w:r>
    </w:p>
    <w:p>
      <w:pPr>
        <w:pStyle w:val="Compact"/>
        <w:numPr>
          <w:ilvl w:val="0"/>
          <w:numId w:val="1044"/>
        </w:numPr>
      </w:pPr>
      <w:r>
        <w:rPr>
          <w:b/>
          <w:bCs/>
        </w:rPr>
        <w:t xml:space="preserve">Garde-fous</w:t>
      </w:r>
      <w:r>
        <w:t xml:space="preserve"> </w:t>
      </w:r>
      <w:r>
        <w:t xml:space="preserve">:</w:t>
      </w:r>
    </w:p>
    <w:p>
      <w:pPr>
        <w:pStyle w:val="Compact"/>
        <w:numPr>
          <w:ilvl w:val="1"/>
          <w:numId w:val="1046"/>
        </w:numPr>
      </w:pPr>
      <w:r>
        <w:t xml:space="preserve">visible seulement</w:t>
      </w:r>
      <w:r>
        <w:t xml:space="preserve"> </w:t>
      </w:r>
      <w:r>
        <w:rPr>
          <w:b/>
          <w:bCs/>
        </w:rPr>
        <w:t xml:space="preserve">après un contrôle réel</w:t>
      </w:r>
      <w:r>
        <w:t xml:space="preserve"> </w:t>
      </w:r>
      <w:r>
        <w:t xml:space="preserve">(divulgation journalisée avec la référence du contrôle) ;</w:t>
      </w:r>
    </w:p>
    <w:p>
      <w:pPr>
        <w:pStyle w:val="Compact"/>
        <w:numPr>
          <w:ilvl w:val="1"/>
          <w:numId w:val="1046"/>
        </w:numPr>
      </w:pPr>
      <w:r>
        <w:t xml:space="preserve">jamais pour un usager ;</w:t>
      </w:r>
    </w:p>
    <w:p>
      <w:pPr>
        <w:pStyle w:val="Compact"/>
        <w:numPr>
          <w:ilvl w:val="1"/>
          <w:numId w:val="1046"/>
        </w:numPr>
      </w:pPr>
      <w:r>
        <w:t xml:space="preserve">le montant est celui</w:t>
      </w:r>
      <w:r>
        <w:t xml:space="preserve"> </w:t>
      </w:r>
      <w:r>
        <w:rPr>
          <w:b/>
          <w:bCs/>
        </w:rPr>
        <w:t xml:space="preserve">fixé par la décision : il ne se négocie pas</w:t>
      </w:r>
      <w:r>
        <w:t xml:space="preserve"> </w:t>
      </w:r>
      <w:r>
        <w:t xml:space="preserve">;</w:t>
      </w:r>
    </w:p>
    <w:p>
      <w:pPr>
        <w:pStyle w:val="Compact"/>
        <w:numPr>
          <w:ilvl w:val="1"/>
          <w:numId w:val="1046"/>
        </w:numPr>
      </w:pPr>
      <w:r>
        <w:t xml:space="preserve">l’agent invite l’usager à payer par les canaux officiels avec sa référence, et</w:t>
      </w:r>
      <w:r>
        <w:t xml:space="preserve"> </w:t>
      </w:r>
      <w:r>
        <w:rPr>
          <w:b/>
          <w:bCs/>
        </w:rPr>
        <w:t xml:space="preserve">n’encaisse rien</w:t>
      </w:r>
      <w:r>
        <w:t xml:space="preserve"> </w:t>
      </w:r>
      <w:r>
        <w:t xml:space="preserve">;</w:t>
      </w:r>
    </w:p>
    <w:p>
      <w:pPr>
        <w:pStyle w:val="Compact"/>
        <w:numPr>
          <w:ilvl w:val="1"/>
          <w:numId w:val="1046"/>
        </w:numPr>
      </w:pPr>
      <w:r>
        <w:t xml:space="preserve">aucune mesure sur place ;</w:t>
      </w:r>
    </w:p>
    <w:p>
      <w:pPr>
        <w:pStyle w:val="Compact"/>
        <w:numPr>
          <w:ilvl w:val="1"/>
          <w:numId w:val="1046"/>
        </w:numPr>
      </w:pPr>
      <w:r>
        <w:t xml:space="preserve">une pénalité contestée, payée ou annulée sort du registre.</w:t>
      </w:r>
    </w:p>
    <w:p>
      <w:pPr>
        <w:pStyle w:val="FirstParagraph"/>
      </w:pPr>
      <w:r>
        <w:t xml:space="preserve">Le montant visible de tous les agents augmente le risque de sollicitation d’espèces. Les parades à maintenir :</w:t>
      </w:r>
      <w:r>
        <w:t xml:space="preserve"> </w:t>
      </w:r>
      <w:r>
        <w:t xml:space="preserve">- la règle « zéro espèces » affichée partout ;</w:t>
      </w:r>
      <w:r>
        <w:t xml:space="preserve"> </w:t>
      </w:r>
      <w:r>
        <w:t xml:space="preserve">- le signalement anonyme (SMS, WhatsApp, version légère) ;</w:t>
      </w:r>
      <w:r>
        <w:t xml:space="preserve"> </w:t>
      </w:r>
      <w:r>
        <w:t xml:space="preserve">- les contrôles mystère (§ 15A) ;</w:t>
      </w:r>
      <w:r>
        <w:t xml:space="preserve"> </w:t>
      </w:r>
      <w:r>
        <w:t xml:space="preserve">- le suivi des divulgations par agent.</w:t>
      </w:r>
    </w:p>
    <w:p>
      <w:pPr>
        <w:pStyle w:val="BodyText"/>
      </w:pPr>
      <w:r>
        <w:rPr>
          <w:b/>
          <w:bCs/>
        </w:rPr>
        <w:t xml:space="preserve">4. Commission de 10 % pour tous les agents, quel que soit leur module.</w:t>
      </w:r>
      <w:r>
        <w:t xml:space="preserve"> </w:t>
      </w:r>
      <w:r>
        <w:t xml:space="preserve">Deux recettes seulement comptent.</w:t>
      </w:r>
    </w:p>
    <w:p>
      <w:pPr>
        <w:pStyle w:val="Compact"/>
        <w:numPr>
          <w:ilvl w:val="0"/>
          <w:numId w:val="1047"/>
        </w:numPr>
      </w:pPr>
      <w:r>
        <w:rPr>
          <w:b/>
          <w:bCs/>
        </w:rPr>
        <w:t xml:space="preserve">Pénalités issues du constat de l’agent</w:t>
      </w:r>
      <w:r>
        <w:t xml:space="preserve">, vérifiées et décidées par d’autres personnes :</w:t>
      </w:r>
    </w:p>
    <w:p>
      <w:pPr>
        <w:pStyle w:val="Compact"/>
        <w:numPr>
          <w:ilvl w:val="1"/>
          <w:numId w:val="1048"/>
        </w:numPr>
      </w:pPr>
      <w:r>
        <w:t xml:space="preserve">stationnement : constat ;</w:t>
      </w:r>
    </w:p>
    <w:p>
      <w:pPr>
        <w:pStyle w:val="Compact"/>
        <w:numPr>
          <w:ilvl w:val="1"/>
          <w:numId w:val="1048"/>
        </w:numPr>
      </w:pPr>
      <w:r>
        <w:t xml:space="preserve">publicité : inspection non conforme retenue.</w:t>
      </w:r>
    </w:p>
    <w:p>
      <w:pPr>
        <w:pStyle w:val="Compact"/>
        <w:numPr>
          <w:ilvl w:val="0"/>
          <w:numId w:val="1047"/>
        </w:numPr>
      </w:pPr>
      <w:r>
        <w:rPr>
          <w:b/>
          <w:bCs/>
        </w:rPr>
        <w:t xml:space="preserve">Paiements provoqués par un contrôle de l’agent qui a révélé un défaut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Paiement attribué à l’agent</w:t>
            </w:r>
          </w:p>
        </w:tc>
        <w:tc>
          <w:tcPr>
            <w:shd w:val="clear" w:color="auto" w:fill="232C6B"/>
          </w:tcPr>
          <w:p>
            <w:pPr>
              <w:pStyle w:val="Compact"/>
            </w:pPr>
            <w:r>
              <w:rPr>
                <w:b/>
                <w:color w:val="FFFFFF"/>
                <w:sz w:val="17"/>
              </w:rPr>
              <w:t xml:space="preserve">Délai</w:t>
            </w:r>
          </w:p>
        </w:tc>
      </w:tr>
      <w:tr>
        <w:tc>
          <w:tcPr/>
          <w:p>
            <w:pPr>
              <w:pStyle w:val="Compact"/>
            </w:pPr>
            <w:r>
              <w:rPr>
                <w:sz w:val="17"/>
              </w:rPr>
              <w:t xml:space="preserve">Stationnement</w:t>
            </w:r>
          </w:p>
        </w:tc>
        <w:tc>
          <w:tcPr/>
          <w:p>
            <w:pPr>
              <w:pStyle w:val="Compact"/>
            </w:pPr>
            <w:r>
              <w:rPr>
                <w:sz w:val="17"/>
              </w:rPr>
              <w:t xml:space="preserve">Session ouverte pour la plaque après un contrôle rouge</w:t>
            </w:r>
          </w:p>
        </w:tc>
        <w:tc>
          <w:tcPr/>
          <w:p>
            <w:pPr>
              <w:pStyle w:val="Compact"/>
            </w:pPr>
            <w:r>
              <w:rPr>
                <w:sz w:val="17"/>
              </w:rPr>
              <w:t xml:space="preserve">1 h</w:t>
            </w:r>
          </w:p>
        </w:tc>
      </w:tr>
      <w:tr>
        <w:tc>
          <w:tcPr>
            <w:shd w:val="clear" w:color="auto" w:fill="F5F7FB"/>
          </w:tcPr>
          <w:p>
            <w:pPr>
              <w:pStyle w:val="Compact"/>
            </w:pPr>
            <w:r>
              <w:rPr>
                <w:sz w:val="17"/>
              </w:rPr>
              <w:t xml:space="preserve">Titres et pass wewa (RakaPay)</w:t>
            </w:r>
          </w:p>
        </w:tc>
        <w:tc>
          <w:tcPr>
            <w:shd w:val="clear" w:color="auto" w:fill="F5F7FB"/>
          </w:tcPr>
          <w:p>
            <w:pPr>
              <w:pStyle w:val="Compact"/>
            </w:pPr>
            <w:r>
              <w:rPr>
                <w:sz w:val="17"/>
              </w:rPr>
              <w:t xml:space="preserve">Titre acheté pour la plaque ou le titulaire après un contrôle non valide</w:t>
            </w:r>
          </w:p>
        </w:tc>
        <w:tc>
          <w:tcPr>
            <w:shd w:val="clear" w:color="auto" w:fill="F5F7FB"/>
          </w:tcPr>
          <w:p>
            <w:pPr>
              <w:pStyle w:val="Compact"/>
            </w:pPr>
            <w:r>
              <w:rPr>
                <w:sz w:val="17"/>
              </w:rPr>
              <w:t xml:space="preserve">1 h</w:t>
            </w:r>
          </w:p>
        </w:tc>
      </w:tr>
      <w:tr>
        <w:tc>
          <w:tcPr/>
          <w:p>
            <w:pPr>
              <w:pStyle w:val="Compact"/>
            </w:pPr>
            <w:r>
              <w:rPr>
                <w:sz w:val="17"/>
              </w:rPr>
              <w:t xml:space="preserve">Verticales</w:t>
            </w:r>
          </w:p>
        </w:tc>
        <w:tc>
          <w:tcPr/>
          <w:p>
            <w:pPr>
              <w:pStyle w:val="Compact"/>
            </w:pPr>
            <w:r>
              <w:rPr>
                <w:sz w:val="17"/>
              </w:rPr>
              <w:t xml:space="preserve">Dette de l’objet (étal, chantier, site…) payée après le scan de sa plaque</w:t>
            </w:r>
          </w:p>
        </w:tc>
        <w:tc>
          <w:tcPr/>
          <w:p>
            <w:pPr>
              <w:pStyle w:val="Compact"/>
            </w:pPr>
            <w:r>
              <w:rPr>
                <w:sz w:val="17"/>
              </w:rPr>
              <w:t xml:space="preserve">72 h</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Dette du support payée après une inspection non conforme</w:t>
            </w:r>
          </w:p>
        </w:tc>
        <w:tc>
          <w:tcPr>
            <w:shd w:val="clear" w:color="auto" w:fill="F5F7FB"/>
          </w:tcPr>
          <w:p>
            <w:pPr>
              <w:pStyle w:val="Compact"/>
            </w:pPr>
            <w:r>
              <w:rPr>
                <w:sz w:val="17"/>
              </w:rPr>
              <w:t xml:space="preserve">72 h</w:t>
            </w:r>
          </w:p>
        </w:tc>
      </w:tr>
      <w:tr>
        <w:tc>
          <w:tcPr/>
          <w:p>
            <w:pPr>
              <w:pStyle w:val="Compact"/>
            </w:pPr>
            <w:r>
              <w:rPr>
                <w:sz w:val="17"/>
              </w:rPr>
              <w:t xml:space="preserve">Terrain (missions)</w:t>
            </w:r>
          </w:p>
        </w:tc>
        <w:tc>
          <w:tcPr/>
          <w:p>
            <w:pPr>
              <w:pStyle w:val="Compact"/>
            </w:pPr>
            <w:r>
              <w:rPr>
                <w:sz w:val="17"/>
              </w:rPr>
              <w:t xml:space="preserve">Dette de l’objet payée après le constat de l’agent</w:t>
            </w:r>
          </w:p>
        </w:tc>
        <w:tc>
          <w:tcPr/>
          <w:p>
            <w:pPr>
              <w:pStyle w:val="Compact"/>
            </w:pPr>
            <w:r>
              <w:rPr>
                <w:sz w:val="17"/>
              </w:rPr>
              <w:t xml:space="preserve">72 h</w:t>
            </w:r>
          </w:p>
        </w:tc>
      </w:tr>
    </w:tbl>
    <w:p>
      <w:pPr>
        <w:pStyle w:val="BodyText"/>
      </w:pPr>
      <w:r>
        <w:rPr>
          <w:b/>
          <w:bCs/>
        </w:rPr>
        <w:t xml:space="preserve">Attribution unique</w:t>
      </w:r>
      <w:r>
        <w:t xml:space="preserve"> </w:t>
      </w:r>
      <w:r>
        <w:t xml:space="preserve">: une pénalité revient à l’auteur du constat. Un paiement ne compte qu’une fois, pour le</w:t>
      </w:r>
      <w:r>
        <w:t xml:space="preserve"> </w:t>
      </w:r>
      <w:r>
        <w:rPr>
          <w:b/>
          <w:bCs/>
        </w:rPr>
        <w:t xml:space="preserve">premier</w:t>
      </w:r>
      <w:r>
        <w:t xml:space="preserve"> </w:t>
      </w:r>
      <w:r>
        <w:t xml:space="preserve">contrôle qui l’a précédé, tous modules confondus.</w:t>
      </w:r>
    </w:p>
    <w:p>
      <w:pPr>
        <w:pStyle w:val="BodyText"/>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Les personnes qui vérifient ou décident ne perçoivent rien sur leurs décisions.</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chaque agent</w:t>
      </w:r>
      <w:r>
        <w:t xml:space="preserve"> </w:t>
      </w:r>
      <w:r>
        <w:t xml:space="preserve">: « Mes gains (10 %) », sur</w:t>
      </w:r>
      <w:r>
        <w:t xml:space="preserve"> </w:t>
      </w:r>
      <w:r>
        <w:rPr>
          <w:rStyle w:val="VerbatimChar"/>
        </w:rPr>
        <w:t xml:space="preserve">/mes-gains</w:t>
      </w:r>
      <w:r>
        <w:t xml:space="preserve">, avec la ventilation par module ;</w:t>
      </w:r>
      <w:r>
        <w:t xml:space="preserve"> </w:t>
      </w:r>
      <w:r>
        <w:t xml:space="preserve">-</w:t>
      </w:r>
      <w:r>
        <w:t xml:space="preserve"> </w:t>
      </w:r>
      <w:r>
        <w:rPr>
          <w:b/>
          <w:bCs/>
        </w:rPr>
        <w:t xml:space="preserve">le pilotage, les régies, le Trésor et l’audit</w:t>
      </w:r>
      <w:r>
        <w:t xml:space="preserve"> </w:t>
      </w:r>
      <w:r>
        <w:t xml:space="preserve">: « Commissions des agents », tous modules.</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les garde-fous ci-dessus (preuve vérifiée, décision par un tiers, recours, annulation de la commission) doivent rester actifs.</w:t>
      </w:r>
    </w:p>
    <w:p>
      <w:pPr>
        <w:pStyle w:val="BodyText"/>
      </w:pPr>
      <w:r>
        <w:rPr>
          <w:b/>
          <w:bCs/>
        </w:rPr>
        <w:t xml:space="preserve">5. Surveillance des constats par agent (recommandation retenue).</w:t>
      </w:r>
      <w:r>
        <w:t xml:space="preserve"> </w:t>
      </w:r>
      <w:r>
        <w:t xml:space="preserve">La commission sur les pénalités crée une incitation à multiplier les constats ; l’écran « Surveillance des constats » (</w:t>
      </w:r>
      <w:r>
        <w:rPr>
          <w:rStyle w:val="VerbatimChar"/>
        </w:rPr>
        <w:t xml:space="preserve">/agents/surveillance</w:t>
      </w:r>
      <w:r>
        <w:t xml:space="preserve">) la rend visible.</w:t>
      </w:r>
    </w:p>
    <w:p>
      <w:pPr>
        <w:pStyle w:val="Compact"/>
        <w:numPr>
          <w:ilvl w:val="0"/>
          <w:numId w:val="1050"/>
        </w:numPr>
      </w:pPr>
      <w:r>
        <w:rPr>
          <w:b/>
          <w:bCs/>
        </w:rPr>
        <w:t xml:space="preserve">Compteurs par agent et par module</w:t>
      </w:r>
      <w:r>
        <w:t xml:space="preserve"> </w:t>
      </w:r>
      <w:r>
        <w:t xml:space="preserve">: contrôles, défauts relevés, constats, constats écartés à la vérification, retenus, classés sans suite, contestés, annulés, photos ou positions faibles (GPS absent, ajusté à la main ou au-delà de 50 m, horloge décalée) ; part des pénalités dans sa commission.</w:t>
      </w:r>
    </w:p>
    <w:p>
      <w:pPr>
        <w:pStyle w:val="Compact"/>
        <w:numPr>
          <w:ilvl w:val="0"/>
          <w:numId w:val="1050"/>
        </w:numPr>
      </w:pPr>
      <w:r>
        <w:rPr>
          <w:b/>
          <w:bCs/>
        </w:rPr>
        <w:t xml:space="preserve">Signaux « à examiner »</w:t>
      </w:r>
      <w:r>
        <w:t xml:space="preserve">, comparés à la</w:t>
      </w:r>
      <w:r>
        <w:t xml:space="preserve"> </w:t>
      </w:r>
      <w:r>
        <w:rPr>
          <w:b/>
          <w:bCs/>
        </w:rPr>
        <w:t xml:space="preserve">médiane des autres agents du même module</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Condition (seuils à valider par l’inspection des services)</w:t>
            </w:r>
          </w:p>
        </w:tc>
      </w:tr>
      <w:tr>
        <w:tc>
          <w:tcPr/>
          <w:p>
            <w:pPr>
              <w:pStyle w:val="Compact"/>
            </w:pPr>
            <w:r>
              <w:rPr>
                <w:sz w:val="17"/>
              </w:rPr>
              <w:t xml:space="preserve">Taux de constats élevé</w:t>
            </w:r>
          </w:p>
        </w:tc>
        <w:tc>
          <w:tcPr/>
          <w:p>
            <w:pPr>
              <w:pStyle w:val="Compact"/>
            </w:pPr>
            <w:r>
              <w:rPr>
                <w:sz w:val="17"/>
              </w:rPr>
              <w:t xml:space="preserve">Plus du double de la médiane des pairs (au moins 5 contrôles et 3 constats)</w:t>
            </w:r>
          </w:p>
        </w:tc>
      </w:tr>
      <w:tr>
        <w:tc>
          <w:tcPr>
            <w:shd w:val="clear" w:color="auto" w:fill="F5F7FB"/>
          </w:tcPr>
          <w:p>
            <w:pPr>
              <w:pStyle w:val="Compact"/>
            </w:pPr>
            <w:r>
              <w:rPr>
                <w:sz w:val="17"/>
              </w:rPr>
              <w:t xml:space="preserve">Preuves écartées</w:t>
            </w:r>
          </w:p>
        </w:tc>
        <w:tc>
          <w:tcPr>
            <w:shd w:val="clear" w:color="auto" w:fill="F5F7FB"/>
          </w:tcPr>
          <w:p>
            <w:pPr>
              <w:pStyle w:val="Compact"/>
            </w:pPr>
            <w:r>
              <w:rPr>
                <w:sz w:val="17"/>
              </w:rPr>
              <w:t xml:space="preserve">30 % ou plus des constats vérifiés écartés</w:t>
            </w:r>
          </w:p>
        </w:tc>
      </w:tr>
      <w:tr>
        <w:tc>
          <w:tcPr/>
          <w:p>
            <w:pPr>
              <w:pStyle w:val="Compact"/>
            </w:pPr>
            <w:r>
              <w:rPr>
                <w:sz w:val="17"/>
              </w:rPr>
              <w:t xml:space="preserve">Constats classés</w:t>
            </w:r>
          </w:p>
        </w:tc>
        <w:tc>
          <w:tcPr/>
          <w:p>
            <w:pPr>
              <w:pStyle w:val="Compact"/>
            </w:pPr>
            <w:r>
              <w:rPr>
                <w:sz w:val="17"/>
              </w:rPr>
              <w:t xml:space="preserve">40 % ou plus des constats décidés classés sans suite</w:t>
            </w:r>
          </w:p>
        </w:tc>
      </w:tr>
      <w:tr>
        <w:tc>
          <w:tcPr>
            <w:shd w:val="clear" w:color="auto" w:fill="F5F7FB"/>
          </w:tcPr>
          <w:p>
            <w:pPr>
              <w:pStyle w:val="Compact"/>
            </w:pPr>
            <w:r>
              <w:rPr>
                <w:sz w:val="17"/>
              </w:rPr>
              <w:t xml:space="preserve">Contestations</w:t>
            </w:r>
          </w:p>
        </w:tc>
        <w:tc>
          <w:tcPr>
            <w:shd w:val="clear" w:color="auto" w:fill="F5F7FB"/>
          </w:tcPr>
          <w:p>
            <w:pPr>
              <w:pStyle w:val="Compact"/>
            </w:pPr>
            <w:r>
              <w:rPr>
                <w:sz w:val="17"/>
              </w:rPr>
              <w:t xml:space="preserve">30 % ou plus des pénalités retenues contestées ou annulées</w:t>
            </w:r>
          </w:p>
        </w:tc>
      </w:tr>
      <w:tr>
        <w:tc>
          <w:tcPr/>
          <w:p>
            <w:pPr>
              <w:pStyle w:val="Compact"/>
            </w:pPr>
            <w:r>
              <w:rPr>
                <w:sz w:val="17"/>
              </w:rPr>
              <w:t xml:space="preserve">Preuves faibles</w:t>
            </w:r>
          </w:p>
        </w:tc>
        <w:tc>
          <w:tcPr/>
          <w:p>
            <w:pPr>
              <w:pStyle w:val="Compact"/>
            </w:pPr>
            <w:r>
              <w:rPr>
                <w:sz w:val="17"/>
              </w:rPr>
              <w:t xml:space="preserve">30 % ou plus de photos ou positions imprécises</w:t>
            </w:r>
          </w:p>
        </w:tc>
      </w:tr>
      <w:tr>
        <w:tc>
          <w:tcPr>
            <w:shd w:val="clear" w:color="auto" w:fill="F5F7FB"/>
          </w:tcPr>
          <w:p>
            <w:pPr>
              <w:pStyle w:val="Compact"/>
            </w:pPr>
            <w:r>
              <w:rPr>
                <w:sz w:val="17"/>
              </w:rPr>
              <w:t xml:space="preserve">Commission issue de pénalités</w:t>
            </w:r>
          </w:p>
        </w:tc>
        <w:tc>
          <w:tcPr>
            <w:shd w:val="clear" w:color="auto" w:fill="F5F7FB"/>
          </w:tcPr>
          <w:p>
            <w:pPr>
              <w:pStyle w:val="Compact"/>
            </w:pPr>
            <w:r>
              <w:rPr>
                <w:sz w:val="17"/>
              </w:rPr>
              <w:t xml:space="preserve">70 % ou plus (information seulement)</w:t>
            </w:r>
          </w:p>
        </w:tc>
      </w:tr>
    </w:tbl>
    <w:p>
      <w:pPr>
        <w:pStyle w:val="Compact"/>
        <w:numPr>
          <w:ilvl w:val="0"/>
          <w:numId w:val="1051"/>
        </w:numPr>
      </w:pPr>
      <w:r>
        <w:rPr>
          <w:b/>
          <w:bCs/>
        </w:rPr>
        <w:t xml:space="preserve">Un signal n’entraîne aucune mesure automatique</w:t>
      </w:r>
      <w:r>
        <w:t xml:space="preserve"> </w:t>
      </w:r>
      <w:r>
        <w:t xml:space="preserve">: il ouvre un examen humain (superviseur, contrôle mystère § 15A). Accès : Gouverneur et cabinet, direction et régies (DGIPK, DGRK), supervision de terrain, inspection, audit.</w:t>
      </w:r>
    </w:p>
    <w:p>
      <w:pPr>
        <w:pStyle w:val="FirstParagraph"/>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/v1/agents/me/earnings</w:t>
            </w:r>
          </w:p>
        </w:tc>
        <w:tc>
          <w:tcPr>
            <w:shd w:val="clear" w:color="auto" w:fill="F5F7FB"/>
          </w:tcPr>
          <w:p>
            <w:pPr>
              <w:pStyle w:val="Compact"/>
            </w:pPr>
            <w:r>
              <w:rPr>
                <w:sz w:val="17"/>
              </w:rPr>
              <w:t xml:space="preserve">Gains de l’agent, tous modules</w:t>
            </w:r>
          </w:p>
        </w:tc>
      </w:tr>
      <w:tr>
        <w:tc>
          <w:tcPr/>
          <w:p>
            <w:pPr>
              <w:pStyle w:val="Compact"/>
            </w:pPr>
            <w:r>
              <w:rPr>
                <w:rStyle w:val="VerbatimChar"/>
                <w:sz w:val="17"/>
              </w:rPr>
              <w:t xml:space="preserve">GET /v1/agents/earnings</w:t>
            </w:r>
          </w:p>
        </w:tc>
        <w:tc>
          <w:tcPr/>
          <w:p>
            <w:pPr>
              <w:pStyle w:val="Compact"/>
            </w:pPr>
            <w:r>
              <w:rPr>
                <w:sz w:val="17"/>
              </w:rPr>
              <w:t xml:space="preserve">Commissions de tous les agents (pilotage, régies, Trésor, audit)</w:t>
            </w:r>
          </w:p>
        </w:tc>
      </w:tr>
      <w:tr>
        <w:tc>
          <w:tcPr>
            <w:shd w:val="clear" w:color="auto" w:fill="F5F7FB"/>
          </w:tcPr>
          <w:p>
            <w:pPr>
              <w:pStyle w:val="Compact"/>
            </w:pPr>
            <w:r>
              <w:rPr>
                <w:rStyle w:val="VerbatimChar"/>
                <w:sz w:val="17"/>
              </w:rPr>
              <w:t xml:space="preserve">GET /v1/agents/monitoring</w:t>
            </w:r>
          </w:p>
        </w:tc>
        <w:tc>
          <w:tcPr>
            <w:shd w:val="clear" w:color="auto" w:fill="F5F7FB"/>
          </w:tcPr>
          <w:p>
            <w:pPr>
              <w:pStyle w:val="Compact"/>
            </w:pPr>
            <w:r>
              <w:rPr>
                <w:sz w:val="17"/>
              </w:rPr>
              <w:t xml:space="preserve">Surveillance des constats par agent (pilotage, régies, supervision, inspection, audit)</w:t>
            </w:r>
          </w:p>
        </w:tc>
      </w:tr>
      <w:tr>
        <w:tc>
          <w:tcPr/>
          <w:p>
            <w:pPr>
              <w:pStyle w:val="Compact"/>
            </w:pPr>
            <w:r>
              <w:rPr>
                <w:rStyle w:val="VerbatimChar"/>
                <w:sz w:val="17"/>
              </w:rPr>
              <w:t xml:space="preserve">GET /v1/parking/agents/me/earnings</w:t>
            </w:r>
          </w:p>
        </w:tc>
        <w:tc>
          <w:tcPr/>
          <w:p>
            <w:pPr>
              <w:pStyle w:val="Compact"/>
            </w:pPr>
            <w:r>
              <w:rPr>
                <w:sz w:val="17"/>
              </w:rPr>
              <w:t xml:space="preserve">Gains de l’agent (même contenu, pour les écrans du stationnement)</w:t>
            </w:r>
          </w:p>
        </w:tc>
      </w:tr>
      <w:tr>
        <w:tc>
          <w:tcPr>
            <w:shd w:val="clear" w:color="auto" w:fill="F5F7FB"/>
          </w:tcPr>
          <w:p>
            <w:pPr>
              <w:pStyle w:val="Compact"/>
            </w:pPr>
            <w:r>
              <w:rPr>
                <w:sz w:val="17"/>
              </w:rPr>
              <w:t xml:space="preserve">Champ</w:t>
            </w:r>
            <w:r>
              <w:rPr>
                <w:sz w:val="17"/>
              </w:rPr>
              <w:t xml:space="preserve"> </w:t>
            </w:r>
            <w:r>
              <w:rPr>
                <w:rStyle w:val="VerbatimChar"/>
                <w:sz w:val="17"/>
              </w:rPr>
              <w:t xml:space="preserve">penalitesImpayees</w:t>
            </w:r>
          </w:p>
        </w:tc>
        <w:tc>
          <w:tcPr>
            <w:shd w:val="clear" w:color="auto" w:fill="F5F7FB"/>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 même module à tout âge, tous modules après 30 jours, jamais pour l’usager ;</w:t>
      </w:r>
      <w:r>
        <w:t xml:space="preserve"> </w:t>
      </w:r>
      <w:r>
        <w:t xml:space="preserve">- états de la commission, attribution des paiements, droits d’accès ;</w:t>
      </w:r>
      <w:r>
        <w:t xml:space="preserve"> </w:t>
      </w:r>
      <w:r>
        <w:t xml:space="preserve">- commission d’un contrôleur de titres (titre racheté après un contrôle non valide) et d’un agent des verticales (dette payée après le scan) ;</w:t>
      </w:r>
      <w:r>
        <w:t xml:space="preserve"> </w:t>
      </w:r>
      <w:r>
        <w:t xml:space="preserve">- montant visible dans les autres modules ;</w:t>
      </w:r>
      <w:r>
        <w:t xml:space="preserve"> </w:t>
      </w:r>
      <w:r>
        <w:t xml:space="preserve">- surveillance des constats (signal d’un agent qui multiplie les constats, droits d’accès) ;</w:t>
      </w:r>
      <w:r>
        <w:t xml:space="preserve"> </w:t>
      </w:r>
      <w:r>
        <w:t xml:space="preserve">- point ajusté à la main (source MANUEL) signalé comme position imprécise.</w:t>
      </w:r>
    </w:p>
    <w:bookmarkEnd w:id="631"/>
    <w:bookmarkStart w:id="632" w:name="X71ecabb285c682683858349c7a9d755ab50cc98"/>
    <w:p>
      <w:pPr>
        <w:pStyle w:val="Heading2"/>
      </w:pPr>
      <w:r>
        <w:t xml:space="preserve">I.16 Cartographie OpenStreetMap auto-hébergée et géolocalisation précise</w:t>
      </w:r>
    </w:p>
    <w:p>
      <w:pPr>
        <w:pStyle w:val="FirstParagraph"/>
      </w:pPr>
      <w:r>
        <w:rPr>
          <w:b/>
          <w:bCs/>
        </w:rPr>
        <w:t xml:space="preserve">Choix du maître d’ouvrage : OpenStreetMap, auto-hébergée</w:t>
      </w:r>
      <w:r>
        <w:t xml:space="preserve"> </w:t>
      </w:r>
      <w:r>
        <w:t xml:space="preserve">(plutôt que Google Maps).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Google Maps</w:t>
            </w:r>
          </w:p>
        </w:tc>
        <w:tc>
          <w:tcPr>
            <w:shd w:val="clear" w:color="auto" w:fill="232C6B"/>
          </w:tcPr>
          <w:p>
            <w:pPr>
              <w:pStyle w:val="Compact"/>
            </w:pPr>
            <w:r>
              <w:rPr>
                <w:b/>
                <w:color w:val="FFFFFF"/>
                <w:sz w:val="17"/>
              </w:rPr>
              <w:t xml:space="preserve">OpenStreetMap auto-hébergée (retenue)</w:t>
            </w:r>
          </w:p>
        </w:tc>
      </w:tr>
      <w:tr>
        <w:tc>
          <w:tcPr/>
          <w:p>
            <w:pPr>
              <w:pStyle w:val="Compact"/>
            </w:pPr>
            <w:r>
              <w:rPr>
                <w:sz w:val="17"/>
              </w:rPr>
              <w:t xml:space="preserve">Coût</w:t>
            </w:r>
          </w:p>
        </w:tc>
        <w:tc>
          <w:tcPr/>
          <w:p>
            <w:pPr>
              <w:pStyle w:val="Compact"/>
            </w:pPr>
            <w:r>
              <w:rPr>
                <w:sz w:val="17"/>
              </w:rPr>
              <w:t xml:space="preserve">Facturé à l’usage au-delà d’un quota ; montant variable avec le nombre d’agents et d’usagers</w:t>
            </w:r>
          </w:p>
        </w:tc>
        <w:tc>
          <w:tcPr/>
          <w:p>
            <w:pPr>
              <w:pStyle w:val="Compact"/>
            </w:pPr>
            <w:r>
              <w:rPr>
                <w:sz w:val="17"/>
              </w:rPr>
              <w:t xml:space="preserve">Aucune redevance ; seul l’hébergement (quelques centaines de Mo)</w:t>
            </w:r>
          </w:p>
        </w:tc>
      </w:tr>
      <w:tr>
        <w:tc>
          <w:tcPr>
            <w:shd w:val="clear" w:color="auto" w:fill="F5F7FB"/>
          </w:tcPr>
          <w:p>
            <w:pPr>
              <w:pStyle w:val="Compact"/>
            </w:pPr>
            <w:r>
              <w:rPr>
                <w:sz w:val="17"/>
              </w:rPr>
              <w:t xml:space="preserve">Souveraineté des données</w:t>
            </w:r>
          </w:p>
        </w:tc>
        <w:tc>
          <w:tcPr>
            <w:shd w:val="clear" w:color="auto" w:fill="F5F7FB"/>
          </w:tcPr>
          <w:p>
            <w:pPr>
              <w:pStyle w:val="Compact"/>
            </w:pPr>
            <w:r>
              <w:rPr>
                <w:sz w:val="17"/>
              </w:rPr>
              <w:t xml:space="preserve">Chaque affichage passe par les serveurs de Google (positions des agents, lieux contrôlés)</w:t>
            </w:r>
          </w:p>
        </w:tc>
        <w:tc>
          <w:tcPr>
            <w:shd w:val="clear" w:color="auto" w:fill="F5F7FB"/>
          </w:tcPr>
          <w:p>
            <w:pPr>
              <w:pStyle w:val="Compact"/>
            </w:pPr>
            <w:r>
              <w:rPr>
                <w:sz w:val="17"/>
              </w:rPr>
              <w:t xml:space="preserve">Tout est servi par MOSOLO : aucune position ne sort de l’infrastructure de la Ville</w:t>
            </w:r>
          </w:p>
        </w:tc>
      </w:tr>
      <w:tr>
        <w:tc>
          <w:tcPr/>
          <w:p>
            <w:pPr>
              <w:pStyle w:val="Compact"/>
            </w:pPr>
            <w:r>
              <w:rPr>
                <w:sz w:val="17"/>
              </w:rPr>
              <w:t xml:space="preserve">Hors réseau</w:t>
            </w:r>
          </w:p>
        </w:tc>
        <w:tc>
          <w:tcPr/>
          <w:p>
            <w:pPr>
              <w:pStyle w:val="Compact"/>
            </w:pPr>
            <w:r>
              <w:rPr>
                <w:sz w:val="17"/>
              </w:rPr>
              <w:t xml:space="preserve">Limité, conditions d’utilisation restrictives</w:t>
            </w:r>
          </w:p>
        </w:tc>
        <w:tc>
          <w:tcPr/>
          <w:p>
            <w:pPr>
              <w:pStyle w:val="Compact"/>
            </w:pPr>
            <w:r>
              <w:rPr>
                <w:sz w:val="17"/>
              </w:rPr>
              <w:t xml:space="preserve">Fonctionne sans réseau une fois l’application et la carte chargées</w:t>
            </w:r>
          </w:p>
        </w:tc>
      </w:tr>
      <w:tr>
        <w:tc>
          <w:tcPr>
            <w:shd w:val="clear" w:color="auto" w:fill="F5F7FB"/>
          </w:tcPr>
          <w:p>
            <w:pPr>
              <w:pStyle w:val="Compact"/>
            </w:pPr>
            <w:r>
              <w:rPr>
                <w:sz w:val="17"/>
              </w:rPr>
              <w:t xml:space="preserve">Qualité à Kinshasa</w:t>
            </w:r>
          </w:p>
        </w:tc>
        <w:tc>
          <w:tcPr>
            <w:shd w:val="clear" w:color="auto" w:fill="F5F7FB"/>
          </w:tcPr>
          <w:p>
            <w:pPr>
              <w:pStyle w:val="Compact"/>
            </w:pPr>
            <w:r>
              <w:rPr>
                <w:sz w:val="17"/>
              </w:rPr>
              <w:t xml:space="preserve">Bonne sur les grands axes</w:t>
            </w:r>
          </w:p>
        </w:tc>
        <w:tc>
          <w:tcPr>
            <w:shd w:val="clear" w:color="auto" w:fill="F5F7FB"/>
          </w:tcPr>
          <w:p>
            <w:pPr>
              <w:pStyle w:val="Compact"/>
            </w:pPr>
            <w:r>
              <w:rPr>
                <w:sz w:val="17"/>
              </w:rPr>
              <w:t xml:space="preserve">Bonne sur les axes ; les quartiers peuvent être complétés par la Ville (données ouvertes, licence ODbL)</w:t>
            </w:r>
          </w:p>
        </w:tc>
      </w:tr>
      <w:tr>
        <w:tc>
          <w:tcPr/>
          <w:p>
            <w:pPr>
              <w:pStyle w:val="Compact"/>
            </w:pPr>
            <w:r>
              <w:rPr>
                <w:sz w:val="17"/>
              </w:rPr>
              <w:t xml:space="preserve">Licence</w:t>
            </w:r>
          </w:p>
        </w:tc>
        <w:tc>
          <w:tcPr/>
          <w:p>
            <w:pPr>
              <w:pStyle w:val="Compact"/>
            </w:pPr>
            <w:r>
              <w:rPr>
                <w:sz w:val="17"/>
              </w:rPr>
              <w:t xml:space="preserve">Contrat commercial, restrictions de stockage</w:t>
            </w:r>
          </w:p>
        </w:tc>
        <w:tc>
          <w:tcPr/>
          <w:p>
            <w:pPr>
              <w:pStyle w:val="Compact"/>
            </w:pPr>
            <w:r>
              <w:rPr>
                <w:sz w:val="17"/>
              </w:rPr>
              <w:t xml:space="preserve">ODbL : mention « © contributeurs OpenStreetMap » obligatoire (affichée sur chaque carte)</w:t>
            </w:r>
          </w:p>
        </w:tc>
      </w:tr>
    </w:tbl>
    <w:p>
      <w:pPr>
        <w:pStyle w:val="BodyText"/>
      </w:pPr>
      <w:r>
        <w:rPr>
          <w:b/>
          <w:bCs/>
        </w:rPr>
        <w:t xml:space="preserve">Construction.</w:t>
      </w:r>
    </w:p>
    <w:p>
      <w:pPr>
        <w:pStyle w:val="Compact"/>
        <w:numPr>
          <w:ilvl w:val="0"/>
          <w:numId w:val="1052"/>
        </w:numPr>
      </w:pPr>
      <w:r>
        <w:rPr>
          <w:b/>
          <w:bCs/>
        </w:rPr>
        <w:t xml:space="preserve">Moteur</w:t>
      </w:r>
      <w:r>
        <w:t xml:space="preserve"> </w:t>
      </w:r>
      <w:r>
        <w:t xml:space="preserve">: MapLibre GL (libre), chargé seulement par les écrans qui affichent une carte.</w:t>
      </w:r>
    </w:p>
    <w:p>
      <w:pPr>
        <w:pStyle w:val="Compact"/>
        <w:numPr>
          <w:ilvl w:val="0"/>
          <w:numId w:val="1052"/>
        </w:numPr>
      </w:pPr>
      <w:r>
        <w:rPr>
          <w:b/>
          <w:bCs/>
        </w:rPr>
        <w:t xml:space="preserve">Fond de carte</w:t>
      </w:r>
      <w:r>
        <w:t xml:space="preserve"> </w:t>
      </w:r>
      <w:r>
        <w:t xml:space="preserve">: tuiles vectorielles de Kinshasa au format PMTiles, fichier unique</w:t>
      </w:r>
      <w:r>
        <w:t xml:space="preserve"> </w:t>
      </w:r>
      <w:r>
        <w:rPr>
          <w:rStyle w:val="VerbatimChar"/>
        </w:rPr>
        <w:t xml:space="preserve">/tiles/kinshasa.pmtiles</w:t>
      </w:r>
      <w:r>
        <w:t xml:space="preserve"> </w:t>
      </w:r>
      <w:r>
        <w:t xml:space="preserve">servi par MOSOLO, fabriqué par</w:t>
      </w:r>
      <w:r>
        <w:t xml:space="preserve"> </w:t>
      </w:r>
      <w:r>
        <w:rPr>
          <w:rStyle w:val="VerbatimChar"/>
        </w:rPr>
        <w:t xml:space="preserve">tools/maps/construire-tuiles-kinshasa.sh</w:t>
      </w:r>
      <w:r>
        <w:t xml:space="preserve"> </w:t>
      </w:r>
      <w:r>
        <w:t xml:space="preserve">(extrait Protomaps ou Geofabrik + Planetiler ; emprise 15,05–15,70 E, 4,15–4,75 S ; zoom 16). Le fichier n’est pas dans le dépôt : il se fabrique sur le serveur de la Ville. Tant qu’il manque, les cartes affichent les couches MOSOLO (points, zones, cercle de précision) sur un fond neutre, avec une note.</w:t>
      </w:r>
    </w:p>
    <w:p>
      <w:pPr>
        <w:pStyle w:val="Compact"/>
        <w:numPr>
          <w:ilvl w:val="0"/>
          <w:numId w:val="1052"/>
        </w:numPr>
      </w:pPr>
      <w:r>
        <w:rPr>
          <w:b/>
          <w:bCs/>
        </w:rPr>
        <w:t xml:space="preserve">Polices et icônes de carte</w:t>
      </w:r>
      <w:r>
        <w:t xml:space="preserve"> </w:t>
      </w:r>
      <w:r>
        <w:t xml:space="preserve">: servies par MOSOLO (</w:t>
      </w:r>
      <w:r>
        <w:rPr>
          <w:rStyle w:val="VerbatimChar"/>
        </w:rPr>
        <w:t xml:space="preserve">/map/</w:t>
      </w:r>
      <w:r>
        <w:t xml:space="preserve">), licences dans</w:t>
      </w:r>
      <w:r>
        <w:t xml:space="preserve"> </w:t>
      </w:r>
      <w:r>
        <w:rPr>
          <w:rStyle w:val="VerbatimChar"/>
        </w:rPr>
        <w:t xml:space="preserve">frontend/public/map/LICENCES.md</w:t>
      </w:r>
      <w:r>
        <w:t xml:space="preserve">.</w:t>
      </w:r>
    </w:p>
    <w:p>
      <w:pPr>
        <w:pStyle w:val="Compact"/>
        <w:numPr>
          <w:ilvl w:val="0"/>
          <w:numId w:val="1052"/>
        </w:numPr>
      </w:pPr>
      <w:r>
        <w:rPr>
          <w:b/>
          <w:bCs/>
        </w:rPr>
        <w:t xml:space="preserve">Anciens téléphones sans WebGL</w:t>
      </w:r>
      <w:r>
        <w:t xml:space="preserve"> </w:t>
      </w:r>
      <w:r>
        <w:t xml:space="preserve">: les écrans gardent leur plan schématique ; les coordonnées restent affichées et enregistrées.</w:t>
      </w:r>
    </w:p>
    <w:p>
      <w:pPr>
        <w:pStyle w:val="Compact"/>
        <w:numPr>
          <w:ilvl w:val="0"/>
          <w:numId w:val="1052"/>
        </w:numPr>
      </w:pPr>
      <w:r>
        <w:rPr>
          <w:b/>
          <w:bCs/>
        </w:rPr>
        <w:t xml:space="preserve">Application installée (PWA)</w:t>
      </w:r>
      <w:r>
        <w:t xml:space="preserve"> </w:t>
      </w:r>
      <w:r>
        <w:t xml:space="preserve">: le moteur de carte est pré-chargé ; polices et icônes sont mises en cache à la première carte ; les tuiles (lues par plages d’octets) ne passent pas par le service worker.</w:t>
      </w:r>
    </w:p>
    <w:p>
      <w:pPr>
        <w:pStyle w:val="FirstParagraph"/>
      </w:pPr>
      <w:r>
        <w:rPr>
          <w:b/>
          <w:bCs/>
        </w:rPr>
        <w:t xml:space="preserve">Géolocalisation précise, partout où elle sert.</w:t>
      </w:r>
    </w:p>
    <w:p>
      <w:pPr>
        <w:pStyle w:val="Compact"/>
        <w:numPr>
          <w:ilvl w:val="0"/>
          <w:numId w:val="1053"/>
        </w:numPr>
      </w:pPr>
      <w:r>
        <w:rPr>
          <w:b/>
          <w:bCs/>
        </w:rPr>
        <w:t xml:space="preserve">Méthode</w:t>
      </w:r>
      <w:r>
        <w:t xml:space="preserve"> </w:t>
      </w:r>
      <w:r>
        <w:t xml:space="preserve">: GPS haute précision, jamais de position en cache ; plusieurs relevés ; la position retenue est la</w:t>
      </w:r>
      <w:r>
        <w:t xml:space="preserve"> </w:t>
      </w:r>
      <w:r>
        <w:rPr>
          <w:b/>
          <w:bCs/>
        </w:rPr>
        <w:t xml:space="preserve">moyenne pondérée des meilleurs relevés récents</w:t>
      </w:r>
      <w:r>
        <w:t xml:space="preserve"> </w:t>
      </w:r>
      <w:r>
        <w:t xml:space="preserve">(précision au plus 1,5 fois la meilleure, 25 secondes au plus). La recherche s’arrête à la précision cible (10 m pour les preuves, l’enrôlement et les missions ; 15 m pour le contrôle des titres, qui ne doit pas attendre) ou au bout de 30 secondes, en gardant le meilleur résultat.</w:t>
      </w:r>
    </w:p>
    <w:p>
      <w:pPr>
        <w:pStyle w:val="Compact"/>
        <w:numPr>
          <w:ilvl w:val="0"/>
          <w:numId w:val="1053"/>
        </w:numPr>
      </w:pPr>
      <w:r>
        <w:rPr>
          <w:b/>
          <w:bCs/>
        </w:rPr>
        <w:t xml:space="preserve">Qualité affichée et transmise</w:t>
      </w:r>
      <w:r>
        <w:t xml:space="preserve"> </w:t>
      </w:r>
      <w:r>
        <w:t xml:space="preserve">: excellente (≤ 5 m), bonne (≤ 15 m), moyenne (≤ 50 m), faible au-delà ; nombre de relevés ; barre de progression.</w:t>
      </w:r>
    </w:p>
    <w:p>
      <w:pPr>
        <w:pStyle w:val="Compact"/>
        <w:numPr>
          <w:ilvl w:val="0"/>
          <w:numId w:val="1053"/>
        </w:numPr>
      </w:pPr>
      <w:r>
        <w:rPr>
          <w:b/>
          <w:bCs/>
        </w:rPr>
        <w:t xml:space="preserve">Carte de vérification</w:t>
      </w:r>
      <w:r>
        <w:t xml:space="preserve"> </w:t>
      </w:r>
      <w:r>
        <w:t xml:space="preserve">: le point et son cercle de précision sur la carte OSM. L’agent peut</w:t>
      </w:r>
      <w:r>
        <w:t xml:space="preserve"> </w:t>
      </w:r>
      <w:r>
        <w:rPr>
          <w:b/>
          <w:bCs/>
        </w:rPr>
        <w:t xml:space="preserve">ajuster le point à la main</w:t>
      </w:r>
      <w:r>
        <w:t xml:space="preserve"> </w:t>
      </w:r>
      <w:r>
        <w:t xml:space="preserve">: la position est alors marquée « MANUEL » et signalée au vérificateur ; sans GPS, la position de la zone peut être utilisée, marquée « ZONE ».</w:t>
      </w:r>
    </w:p>
    <w:p>
      <w:pPr>
        <w:pStyle w:val="Compact"/>
        <w:numPr>
          <w:ilvl w:val="0"/>
          <w:numId w:val="1053"/>
        </w:numPr>
      </w:pPr>
      <w:r>
        <w:rPr>
          <w:b/>
          <w:bCs/>
        </w:rPr>
        <w:t xml:space="preserve">Écrans concernés</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Usage de la position</w:t>
            </w:r>
          </w:p>
        </w:tc>
      </w:tr>
      <w:tr>
        <w:tc>
          <w:tcPr/>
          <w:p>
            <w:pPr>
              <w:pStyle w:val="Compact"/>
            </w:pPr>
            <w:r>
              <w:rPr>
                <w:sz w:val="17"/>
              </w:rPr>
              <w:t xml:space="preserve">Caméra de preuve (stationnement)</w:t>
            </w:r>
          </w:p>
        </w:tc>
        <w:tc>
          <w:tcPr/>
          <w:p>
            <w:pPr>
              <w:pStyle w:val="Compact"/>
            </w:pPr>
            <w:r>
              <w:rPr>
                <w:sz w:val="17"/>
              </w:rPr>
              <w:t xml:space="preserve">Incrustée dans chaque photo, avec sa précision et sa source</w:t>
            </w:r>
          </w:p>
        </w:tc>
      </w:tr>
      <w:tr>
        <w:tc>
          <w:tcPr>
            <w:shd w:val="clear" w:color="auto" w:fill="F5F7FB"/>
          </w:tcPr>
          <w:p>
            <w:pPr>
              <w:pStyle w:val="Compact"/>
            </w:pPr>
            <w:r>
              <w:rPr>
                <w:sz w:val="17"/>
              </w:rPr>
              <w:t xml:space="preserve">Constat de stationnement, inspection publicitaire, espace annonceur</w:t>
            </w:r>
          </w:p>
        </w:tc>
        <w:tc>
          <w:tcPr>
            <w:shd w:val="clear" w:color="auto" w:fill="F5F7FB"/>
          </w:tcPr>
          <w:p>
            <w:pPr>
              <w:pStyle w:val="Compact"/>
            </w:pPr>
            <w:r>
              <w:rPr>
                <w:sz w:val="17"/>
              </w:rPr>
              <w:t xml:space="preserve">Position du véhicule ou du support</w:t>
            </w:r>
          </w:p>
        </w:tc>
      </w:tr>
      <w:tr>
        <w:tc>
          <w:tcPr/>
          <w:p>
            <w:pPr>
              <w:pStyle w:val="Compact"/>
            </w:pPr>
            <w:r>
              <w:rPr>
                <w:sz w:val="17"/>
              </w:rPr>
              <w:t xml:space="preserve">Contrôle des titres et du pass wewa</w:t>
            </w:r>
          </w:p>
        </w:tc>
        <w:tc>
          <w:tcPr/>
          <w:p>
            <w:pPr>
              <w:pStyle w:val="Compact"/>
            </w:pPr>
            <w:r>
              <w:rPr>
                <w:sz w:val="17"/>
              </w:rPr>
              <w:t xml:space="preserve">Lieu du contrôle</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sz w:val="17"/>
              </w:rPr>
              <w:t xml:space="preserve">Domicile ou site de la personne enrôlée</w:t>
            </w:r>
          </w:p>
        </w:tc>
      </w:tr>
      <w:tr>
        <w:tc>
          <w:tcPr/>
          <w:p>
            <w:pPr>
              <w:pStyle w:val="Compact"/>
            </w:pPr>
            <w:r>
              <w:rPr>
                <w:sz w:val="17"/>
              </w:rPr>
              <w:t xml:space="preserve">Missions de terrain et contre-visites</w:t>
            </w:r>
          </w:p>
        </w:tc>
        <w:tc>
          <w:tcPr/>
          <w:p>
            <w:pPr>
              <w:pStyle w:val="Compact"/>
            </w:pPr>
            <w:r>
              <w:rPr>
                <w:sz w:val="17"/>
              </w:rPr>
              <w:t xml:space="preserve">Position du constat, comparée au point enregistré</w:t>
            </w:r>
          </w:p>
        </w:tc>
      </w:tr>
      <w:tr>
        <w:tc>
          <w:tcPr>
            <w:shd w:val="clear" w:color="auto" w:fill="F5F7FB"/>
          </w:tcPr>
          <w:p>
            <w:pPr>
              <w:pStyle w:val="Compact"/>
            </w:pPr>
            <w:r>
              <w:rPr>
                <w:sz w:val="17"/>
              </w:rPr>
              <w:t xml:space="preserve">Autour de moi (agents des biens et activités)</w:t>
            </w:r>
          </w:p>
        </w:tc>
        <w:tc>
          <w:tcPr>
            <w:shd w:val="clear" w:color="auto" w:fill="F5F7FB"/>
          </w:tcPr>
          <w:p>
            <w:pPr>
              <w:pStyle w:val="Compact"/>
            </w:pPr>
            <w:r>
              <w:rPr>
                <w:sz w:val="17"/>
              </w:rPr>
              <w:t xml:space="preserve">Biens et commerces proches colorés vert, ambre, rouge, dans le secteur de l’agent</w:t>
            </w:r>
          </w:p>
        </w:tc>
      </w:tr>
      <w:tr>
        <w:tc>
          <w:tcPr/>
          <w:p>
            <w:pPr>
              <w:pStyle w:val="Compact"/>
            </w:pPr>
            <w:r>
              <w:rPr>
                <w:sz w:val="17"/>
              </w:rPr>
              <w:t xml:space="preserve">Carte des zones (usager, régie), carte des supports, points de paiement</w:t>
            </w:r>
          </w:p>
        </w:tc>
        <w:tc>
          <w:tcPr/>
          <w:p>
            <w:pPr>
              <w:pStyle w:val="Compact"/>
            </w:pPr>
            <w:r>
              <w:rPr>
                <w:sz w:val="17"/>
              </w:rPr>
              <w:t xml:space="preserve">Fond OSM au lieu du plan schématique</w:t>
            </w:r>
          </w:p>
        </w:tc>
      </w:tr>
    </w:tbl>
    <w:p>
      <w:pPr>
        <w:pStyle w:val="Compact"/>
        <w:numPr>
          <w:ilvl w:val="0"/>
          <w:numId w:val="1054"/>
        </w:numPr>
      </w:pPr>
      <w:r>
        <w:rPr>
          <w:b/>
          <w:bCs/>
        </w:rPr>
        <w:t xml:space="preserve">Contrôle côté serveur</w:t>
      </w:r>
      <w:r>
        <w:t xml:space="preserve"> </w:t>
      </w:r>
      <w:r>
        <w:t xml:space="preserve">: chaque photo de preuve porte sa distance au centre de la zone ; elle est signalée si la précision dépasse 30 m, si la source n’est pas le GPS, ou si elle est à plus de 600 m de la zone. Ces signaux alimentent la surveillance des constats (§ I.15, 5).</w:t>
      </w:r>
    </w:p>
    <w:p>
      <w:pPr>
        <w:pStyle w:val="FirstParagraph"/>
      </w:pPr>
      <w:r>
        <w:rPr>
          <w:b/>
          <w:bCs/>
        </w:rPr>
        <w:t xml:space="preserve">« Autour de moi » : biens et commerces proches en vert, ambre ou rouge</w:t>
      </w:r>
      <w:r>
        <w:t xml:space="preserve"> </w:t>
      </w:r>
      <w:r>
        <w:t xml:space="preserve">(demande du maître d’ouvrage du 27/09/2026). Les agents des modules liés aux biens et aux activités physiques (propriété, locatif, entreprises, marchés, chantiers, sites, publicité) disposent de l’écran « Autour de moi » (</w:t>
      </w:r>
      <w:r>
        <w:rPr>
          <w:rStyle w:val="VerbatimChar"/>
        </w:rPr>
        <w:t xml:space="preserve">/autour-de-moi</w:t>
      </w:r>
      <w:r>
        <w:t xml:space="preserve">, route</w:t>
      </w:r>
      <w:r>
        <w:t xml:space="preserve"> </w:t>
      </w:r>
      <w:r>
        <w:rPr>
          <w:rStyle w:val="VerbatimChar"/>
        </w:rPr>
        <w:t xml:space="preserve">GET /v1/fiscal/nearby</w:t>
      </w:r>
      <w:r>
        <w:t xml:space="preserve">). Une fois sur place, ils voient les biens et commerces proches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Sens</w:t>
            </w:r>
          </w:p>
        </w:tc>
      </w:tr>
      <w:tr>
        <w:tc>
          <w:tcPr/>
          <w:p>
            <w:pPr>
              <w:pStyle w:val="Compact"/>
            </w:pPr>
            <w:r>
              <w:rPr>
                <w:sz w:val="17"/>
              </w:rPr>
              <w:t xml:space="preserve">Vert</w:t>
            </w:r>
          </w:p>
        </w:tc>
        <w:tc>
          <w:tcPr/>
          <w:p>
            <w:pPr>
              <w:pStyle w:val="Compact"/>
            </w:pPr>
            <w:r>
              <w:rPr>
                <w:sz w:val="17"/>
              </w:rPr>
              <w:t xml:space="preserve">À jour : aucune obligation exigible impayée</w:t>
            </w:r>
          </w:p>
        </w:tc>
      </w:tr>
      <w:tr>
        <w:tc>
          <w:tcPr>
            <w:shd w:val="clear" w:color="auto" w:fill="F5F7FB"/>
          </w:tcPr>
          <w:p>
            <w:pPr>
              <w:pStyle w:val="Compact"/>
            </w:pPr>
            <w:r>
              <w:rPr>
                <w:sz w:val="17"/>
              </w:rPr>
              <w:t xml:space="preserve">Ambre</w:t>
            </w:r>
          </w:p>
        </w:tc>
        <w:tc>
          <w:tcPr>
            <w:shd w:val="clear" w:color="auto" w:fill="F5F7FB"/>
          </w:tcPr>
          <w:p>
            <w:pPr>
              <w:pStyle w:val="Compact"/>
            </w:pPr>
            <w:r>
              <w:rPr>
                <w:sz w:val="17"/>
              </w:rPr>
              <w:t xml:space="preserve">Paiement partiel, échéance dans les 30 jours, paiement en rapprochement ou objet non encore validé</w:t>
            </w:r>
          </w:p>
        </w:tc>
      </w:tr>
      <w:tr>
        <w:tc>
          <w:tcPr/>
          <w:p>
            <w:pPr>
              <w:pStyle w:val="Compact"/>
            </w:pPr>
            <w:r>
              <w:rPr>
                <w:sz w:val="17"/>
              </w:rPr>
              <w:t xml:space="preserve">Rouge</w:t>
            </w:r>
          </w:p>
        </w:tc>
        <w:tc>
          <w:tcPr/>
          <w:p>
            <w:pPr>
              <w:pStyle w:val="Compact"/>
            </w:pPr>
            <w:r>
              <w:rPr>
                <w:sz w:val="17"/>
              </w:rPr>
              <w:t xml:space="preserve">En retard, sur un objet vérifié</w:t>
            </w:r>
          </w:p>
        </w:tc>
      </w:tr>
      <w:tr>
        <w:tc>
          <w:tcPr>
            <w:shd w:val="clear" w:color="auto" w:fill="F5F7FB"/>
          </w:tcPr>
          <w:p>
            <w:pPr>
              <w:pStyle w:val="Compact"/>
            </w:pPr>
            <w:r>
              <w:rPr>
                <w:sz w:val="17"/>
              </w:rPr>
              <w:t xml:space="preserve">Gris</w:t>
            </w:r>
          </w:p>
        </w:tc>
        <w:tc>
          <w:tcPr>
            <w:shd w:val="clear" w:color="auto" w:fill="F5F7FB"/>
          </w:tcPr>
          <w:p>
            <w:pPr>
              <w:pStyle w:val="Compact"/>
            </w:pPr>
            <w:r>
              <w:rPr>
                <w:sz w:val="17"/>
              </w:rPr>
              <w:t xml:space="preserve">Recensé, non encore liquidé</w:t>
            </w:r>
          </w:p>
        </w:tc>
      </w:tr>
      <w:tr>
        <w:tc>
          <w:tcPr/>
          <w:p>
            <w:pPr>
              <w:pStyle w:val="Compact"/>
            </w:pPr>
            <w:r>
              <w:rPr>
                <w:sz w:val="17"/>
              </w:rPr>
              <w:t xml:space="preserve">Bleu</w:t>
            </w:r>
          </w:p>
        </w:tc>
        <w:tc>
          <w:tcPr/>
          <w:p>
            <w:pPr>
              <w:pStyle w:val="Compact"/>
            </w:pPr>
            <w:r>
              <w:rPr>
                <w:sz w:val="17"/>
              </w:rPr>
              <w:t xml:space="preserve">En litige ou en revue</w:t>
            </w:r>
          </w:p>
        </w:tc>
      </w:tr>
    </w:tbl>
    <w:p>
      <w:pPr>
        <w:pStyle w:val="Compact"/>
        <w:numPr>
          <w:ilvl w:val="0"/>
          <w:numId w:val="1055"/>
        </w:numPr>
      </w:pPr>
      <w:r>
        <w:rPr>
          <w:b/>
          <w:bCs/>
        </w:rPr>
        <w:t xml:space="preserve">Une fois dans la zone</w:t>
      </w:r>
      <w:r>
        <w:t xml:space="preserve"> </w:t>
      </w:r>
      <w:r>
        <w:t xml:space="preserve">: la liste ne s’affiche que si la position, mesurée par le GPS (100 m de précision au plus, jamais une position saisie à la main), se trouve dans une commune du</w:t>
      </w:r>
      <w:r>
        <w:t xml:space="preserve"> </w:t>
      </w:r>
      <w:r>
        <w:rPr>
          <w:b/>
          <w:bCs/>
        </w:rPr>
        <w:t xml:space="preserve">secteur de l’agent</w:t>
      </w:r>
      <w:r>
        <w:t xml:space="preserve">. Hors secteur, rien n’est montré.</w:t>
      </w:r>
    </w:p>
    <w:p>
      <w:pPr>
        <w:pStyle w:val="Compact"/>
        <w:numPr>
          <w:ilvl w:val="0"/>
          <w:numId w:val="1055"/>
        </w:numPr>
      </w:pPr>
      <w:r>
        <w:rPr>
          <w:b/>
          <w:bCs/>
        </w:rPr>
        <w:t xml:space="preserve">Carte et liste</w:t>
      </w:r>
      <w:r>
        <w:t xml:space="preserve"> </w:t>
      </w:r>
      <w:r>
        <w:t xml:space="preserve">: la position de l’agent, le rayon choisi (100 m à 1 km) et les biens colorés sur la carte OSM ; la liste va du plus proche au plus éloigné (référence IGF, plaque posée, quartier, motif de la couleur) ; filtre par couleur ; mise à jour automatique quand l’agent se déplace de 40 m.</w:t>
      </w:r>
    </w:p>
    <w:p>
      <w:pPr>
        <w:pStyle w:val="Compact"/>
        <w:numPr>
          <w:ilvl w:val="0"/>
          <w:numId w:val="1055"/>
        </w:numPr>
      </w:pPr>
      <w:r>
        <w:rPr>
          <w:b/>
          <w:bCs/>
        </w:rPr>
        <w:t xml:space="preserve">Aucun montant ni nom de contribuable</w:t>
      </w:r>
      <w:r>
        <w:t xml:space="preserve"> </w:t>
      </w:r>
      <w:r>
        <w:t xml:space="preserve">: la couleur oriente la visite, elle ne vaut ni constat ni sanction (circuit RW1 inchangé) ; l’agent n’encaisse rien.</w:t>
      </w:r>
    </w:p>
    <w:p>
      <w:pPr>
        <w:pStyle w:val="Compact"/>
        <w:numPr>
          <w:ilvl w:val="0"/>
          <w:numId w:val="1055"/>
        </w:numPr>
      </w:pPr>
      <w:r>
        <w:rPr>
          <w:b/>
          <w:bCs/>
        </w:rPr>
        <w:t xml:space="preserve">Journalisation</w:t>
      </w:r>
      <w:r>
        <w:t xml:space="preserve"> </w:t>
      </w:r>
      <w:r>
        <w:t xml:space="preserve">: chaque consultation est tracée (position, précision, rayon, commune, nombre de biens et de rouges montrés), ce qui alimente la surveillance des agents.</w:t>
      </w:r>
    </w:p>
    <w:p>
      <w:pPr>
        <w:pStyle w:val="Compact"/>
        <w:numPr>
          <w:ilvl w:val="0"/>
          <w:numId w:val="1055"/>
        </w:numPr>
      </w:pPr>
      <w:r>
        <w:rPr>
          <w:b/>
          <w:bCs/>
        </w:rPr>
        <w:t xml:space="preserve">Rôles</w:t>
      </w:r>
      <w:r>
        <w:t xml:space="preserve"> </w:t>
      </w:r>
      <w:r>
        <w:t xml:space="preserve">: agent de terrain, superviseur, contrôleur et sous-traitant de terrain dans leur secteur ; direction, chef de service, audit et anti-fraude partout. Les véhicules (objets mobiles) sont exclus.</w:t>
      </w:r>
    </w:p>
    <w:p>
      <w:pPr>
        <w:pStyle w:val="Compact"/>
        <w:numPr>
          <w:ilvl w:val="0"/>
          <w:numId w:val="1055"/>
        </w:numPr>
      </w:pPr>
      <w:r>
        <w:t xml:space="preserve">Tests :</w:t>
      </w:r>
      <w:r>
        <w:t xml:space="preserve"> </w:t>
      </w:r>
      <w:r>
        <w:rPr>
          <w:rStyle w:val="VerbatimChar"/>
        </w:rPr>
        <w:t xml:space="preserve">backend/test/fiscal-nearby.test.ts</w:t>
      </w:r>
      <w:r>
        <w:t xml:space="preserve"> </w:t>
      </w:r>
      <w:r>
        <w:t xml:space="preserve">(dans le secteur, hors secteur, précision insuffisante, rayon plafonné, rôles refusés).</w:t>
      </w:r>
    </w:p>
    <w:bookmarkEnd w:id="632"/>
    <w:bookmarkEnd w:id="633"/>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2026-09-27T07:26:48Z</dcterms:created>
  <dcterms:modified xsi:type="dcterms:W3CDTF">2026-09-27T07:26:48Z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