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color w:val="C96703"/>
          <w:sz w:val="44"/>
          <w:szCs w:val="44"/>
        </w:rPr>
        <w:t xml:space="preserve">TUNAKULA NZELA-OS</w:t>
      </w:r>
    </w:p>
    <w:p>
      <w:pPr>
        <w:spacing w:after="40"/>
        <w:jc w:val="center"/>
      </w:pPr>
      <w:r>
        <w:rPr>
          <w:color w:val="1C241F"/>
          <w:sz w:val="26"/>
          <w:szCs w:val="26"/>
        </w:rPr>
        <w:t xml:space="preserve">Analyse de Marché &amp; Positionnement Concurrentiel</w:t>
      </w:r>
    </w:p>
    <w:p>
      <w:pPr>
        <w:spacing w:after="200"/>
        <w:jc w:val="center"/>
      </w:pPr>
      <w:r>
        <w:rPr>
          <w:color w:val="5E7466"/>
          <w:sz w:val="16"/>
          <w:szCs w:val="16"/>
        </w:rPr>
        <w:t xml:space="preserve">Groupe JNN · Tunakula-Congo · Kinshasa, RDC — août 2026</w:t>
      </w:r>
    </w:p>
    <w:p>
      <w:pPr>
        <w:pBdr>
          <w:bottom w:val="single" w:color="C96703" w:sz="6"/>
        </w:pBdr>
        <w:spacing w:after="120" w:before="120"/>
      </w:pPr>
    </w:p>
    <w:p>
      <w:pPr>
        <w:pStyle w:val="Heading1"/>
        <w:spacing w:after="150" w:before="340"/>
      </w:pPr>
      <w:r>
        <w:rPr>
          <w:b/>
          <w:bCs/>
          <w:color w:val="C96703"/>
        </w:rPr>
        <w:t xml:space="preserve">1. Le marché de la livraison en Afrique : un cimetière de clones</w:t>
      </w:r>
    </w:p>
    <w:p>
      <w:pPr>
        <w:spacing w:after="110"/>
      </w:pPr>
       En décembre 2023, Jumia Food — le plus grand acteur du continent — a fermé dans ses 7 pays. Le PDG a admis que « Jumia Food n'a jamais été rentable depuis sa création » : l'entreprise , à cause d'une économie unitaire défaillante, du carburant, des embouteillages et d'une concurrence féroce.
      <w:r>
        <w:rPr>
          <w:color w:val="5E7466"/>
          <w:vertAlign w:val="superscript"/>
        </w:rPr>
        <w:t xml:space="preserve">1</w:t>
      </w:r>
    </w:p>
    <w:p>
      <w:pPr>
        <w:spacing w:after="110"/>
      </w:pPr>
      , le principal survivant, opère dans 6 pays africains (Nigeria, Kenya, Maroc, Tunisie, Ouganda, Côte d'Ivoire) — . Son modèle prélève 25–35% de commission aux restaurants (plafonné à 30% au Maroc par le Conseil de la concurrence).
      <w:r>
        <w:rPr>
          <w:color w:val="5E7466"/>
          <w:vertAlign w:val="superscript"/>
        </w:rPr>
        <w:t xml:space="preserve">2</w:t>
      </w:r>
    </w:p>
    <w:p>
      <w:pPr>
        <w:spacing w:after="110"/>
      </w:pPr>
       ces plateformes importent 5 hypothèses que Kinshasa n'a pas — smartphones à stockage libre, data bon marché, cartes bancaires, adresses GPS, et des clients prêts à installer une app. NZELA-OS inverse chacune. Nous ne sommes pas un clone moins cher ; nous sommes une architecture différente, conçue pour les 95% de Kinois que les clones ne peuvent pas servir.
    </w:p>
    <w:p>
      <w:pPr>
        <w:pStyle w:val="Heading1"/>
        <w:spacing w:after="150" w:before="340"/>
      </w:pPr>
      <w:r>
        <w:rPr>
          <w:b/>
          <w:bCs/>
          <w:color w:val="C96703"/>
        </w:rPr>
        <w:t xml:space="preserve">2. Le paysage concurrentiel</w:t>
      </w:r>
    </w:p>
    <w:p>
      <w:pPr>
        <w:pStyle w:val="Heading2"/>
        <w:spacing w:after="100" w:before="240"/>
      </w:pPr>
      <w:r>
        <w:rPr>
          <w:b/>
          <w:bCs/>
          <w:color w:val="1C241F"/>
        </w:rPr>
        <w:t xml:space="preserve">Acteurs mondiaux (référence de modèle)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60"/>
        <w:gridCol w:w="2700"/>
      </w:tblGrid>
      <w:tr>
        <w:trPr>
          <w:tblHeader/>
        </w:trPr>
        <w:tc>
          <w:tcPr>
            <w:tcW w:type="dxa" w:w="19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Acteur</w:t>
            </w:r>
          </w:p>
        </w:tc>
        <w:tc>
          <w:tcPr>
            <w:tcW w:type="dxa" w:w="15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Présent en RDC</w:t>
            </w:r>
          </w:p>
        </w:tc>
        <w:tc>
          <w:tcPr>
            <w:tcW w:type="dxa" w:w="326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Modèle de commission</w:t>
            </w:r>
          </w:p>
        </w:tc>
        <w:tc>
          <w:tcPr>
            <w:tcW w:type="dxa" w:w="27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Statut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Uber Eats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00020"/>
              </w:rPr>
              <w:t xml:space="preserve">Non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15–30% resto ; coût réel 30–40% avec frais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Jamais entré en RDC</w:t>
            </w:r>
          </w:p>
        </w:tc>
      </w:tr>
      <w:tr>
        <w:tc>
          <w:tcPr>
            <w:tcW w:type="dxa" w:w="19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Jumia Food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00020"/>
              </w:rPr>
              <w:t xml:space="preserve">Fermé</w:t>
            </w:r>
          </w:p>
        </w:tc>
        <w:tc>
          <w:tcPr>
            <w:tcW w:type="dxa" w:w="32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Commission resto (déficitaire)</w:t>
            </w:r>
          </w:p>
        </w:tc>
        <w:tc>
          <w:tcPr>
            <w:tcW w:type="dxa" w:w="27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Fermé partout, déc. 2023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Glovo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00020"/>
              </w:rPr>
              <w:t xml:space="preserve">Non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25–35% resto (plafond 30% Maroc)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pays africains, hors RDC</w:t>
            </w:r>
          </w:p>
        </w:tc>
      </w:tr>
      <w:tr>
        <w:tc>
          <w:tcPr>
            <w:tcW w:type="dxa" w:w="19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DoorDash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00020"/>
              </w:rPr>
              <w:t xml:space="preserve">Non</w:t>
            </w:r>
          </w:p>
        </w:tc>
        <w:tc>
          <w:tcPr>
            <w:tcW w:type="dxa" w:w="32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15/25/30% par palier + 6% retrait</w:t>
            </w:r>
          </w:p>
        </w:tc>
        <w:tc>
          <w:tcPr>
            <w:tcW w:type="dxa" w:w="27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Amérique du Nord</w:t>
            </w:r>
          </w:p>
        </w:tc>
      </w:tr>
    </w:tbl>
    <w:p>
      <w:pPr>
        <w:spacing w:after="110"/>
      </w:pPr>
      <w:r>
        <w:rPr>
          <w:color w:val="5E7466"/>
          <w:vertAlign w:val="superscript"/>
        </w:rPr>
        <w:t xml:space="preserve">3</w:t>
      </w:r>
      <w:r>
        <w:rPr>
          <w:i/>
          <w:iCs/>
          <w:color w:val="5E7466"/>
          <w:sz w:val="16"/>
          <w:szCs w:val="16"/>
        </w:rPr>
        <w:t xml:space="preserve"> Uber Eats/DoorDash : 15–30% de commission, mais le coût réel atteint 30–40% une fois frais, promos et remboursements inclus. 67% des clients commanderaient en direct si le prix était identique.</w:t>
      </w:r>
    </w:p>
    <w:p>
      <w:pPr>
        <w:pStyle w:val="Heading2"/>
        <w:spacing w:after="100" w:before="240"/>
      </w:pPr>
      <w:r>
        <w:rPr>
          <w:b/>
          <w:bCs/>
          <w:color w:val="1C241F"/>
        </w:rPr>
        <w:t xml:space="preserve">Acteurs locaux à Kinshasa / RDC (concurrents directs)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0"/>
        <w:gridCol w:w="3900"/>
      </w:tblGrid>
      <w:tr>
        <w:trPr>
          <w:tblHeader/>
        </w:trPr>
        <w:tc>
          <w:tcPr>
            <w:tcW w:type="dxa" w:w="19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Acteur</w:t>
            </w:r>
          </w:p>
        </w:tc>
        <w:tc>
          <w:tcPr>
            <w:tcW w:type="dxa" w:w="356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9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Limite structurelle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Dosta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Livraison food &amp; colis 24/7 à Kinshasa, sur app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Nécessite installation d'app + données</w:t>
            </w:r>
          </w:p>
        </w:tc>
      </w:tr>
      <w:tr>
        <w:tc>
          <w:tcPr>
            <w:tcW w:type="dxa" w:w="19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Tikkotac</w:t>
            </w:r>
          </w:p>
        </w:tc>
        <w:tc>
          <w:tcPr>
            <w:tcW w:type="dxa" w:w="35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Food, épicerie, pharmacie, colis en RDC, sur app</w:t>
            </w:r>
          </w:p>
        </w:tc>
        <w:tc>
          <w:tcPr>
            <w:tcW w:type="dxa" w:w="39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App-first ; friction d'installation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AngataDelivery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Ciblé diaspora congolaise (commande depuis les USA)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App ; pas le marché de masse local</w:t>
            </w:r>
          </w:p>
        </w:tc>
      </w:tr>
      <w:tr>
        <w:tc>
          <w:tcPr>
            <w:tcW w:type="dxa" w:w="19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CongoEats</w:t>
            </w:r>
          </w:p>
        </w:tc>
        <w:tc>
          <w:tcPr>
            <w:tcW w:type="dxa" w:w="35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Pionnier (2017), restos + menus + suivi, sur app</w:t>
            </w:r>
          </w:p>
        </w:tc>
        <w:tc>
          <w:tcPr>
            <w:tcW w:type="dxa" w:w="39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Modèle app classique</w:t>
            </w:r>
          </w:p>
        </w:tc>
      </w:tr>
    </w:tbl>
    <w:p>
      <w:pPr>
        <w:spacing w:after="60"/>
      </w:pPr>
      <w:r>
        <w:rPr>
          <w:i/>
          <w:iCs/>
        </w:rPr>
        <w:t xml:space="preserve">Les commissions exactes de ces acteurs ne sont pas publiées ; tous partagent la même hypothèse structurelle — </w:t>
      </w:r>
      <w:r>
        <w:rPr>
          <w:b/>
          <w:bCs/>
        </w:rPr>
        <w:t xml:space="preserve">« installe notre app »</w:t>
      </w:r>
      <w:r>
        <w:rPr>
          <w:i/>
          <w:iCs/>
        </w:rPr>
        <w:t xml:space="preserve"> — que 95% du marché kinois n'adopte pas. Aucun n'a de rail de paiement mobile money sans API, ni d'adressage par repères, ni de discipline de coût IA.</w:t>
      </w:r>
    </w:p>
    <w:p>
      <w:pPr>
        <w:pStyle w:val="Heading1"/>
        <w:spacing w:after="150" w:before="340"/>
      </w:pPr>
      <w:r>
        <w:rPr>
          <w:b/>
          <w:bCs/>
          <w:color w:val="C96703"/>
        </w:rPr>
        <w:t xml:space="preserve">3. Carte des fonctionnalités : NZELA-OS vs le marché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80"/>
        <w:gridCol w:w="1980"/>
        <w:gridCol w:w="2000"/>
      </w:tblGrid>
      <w:tr>
        <w:trPr>
          <w:tblHeader/>
        </w:trPr>
        <w:tc>
          <w:tcPr>
            <w:tcW w:type="dxa" w:w="34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Capacité</w:t>
            </w:r>
          </w:p>
        </w:tc>
        <w:tc>
          <w:tcPr>
            <w:tcW w:type="dxa" w:w="198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NZELA-OS</w:t>
            </w:r>
          </w:p>
        </w:tc>
        <w:tc>
          <w:tcPr>
            <w:tcW w:type="dxa" w:w="198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Clones (Glovo/Uber)</w:t>
            </w:r>
          </w:p>
        </w:tc>
        <w:tc>
          <w:tcPr>
            <w:tcW w:type="dxa" w:w="20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Locaux (Dosta…)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Sans app (100% WhatsApp)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Oui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Non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Non</w:t>
            </w:r>
          </w:p>
        </w:tc>
      </w:tr>
      <w:tr>
        <w:tc>
          <w:tcPr>
            <w:tcW w:type="dxa" w:w="34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Commande vocale (lingala/français)</w:t>
            </w:r>
          </w:p>
        </w:tc>
        <w:tc>
          <w:tcPr>
            <w:tcW w:type="dxa" w:w="198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Oui</w:t>
            </w:r>
          </w:p>
        </w:tc>
        <w:tc>
          <w:tcPr>
            <w:tcW w:type="dxa" w:w="198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Non</w:t>
            </w:r>
          </w:p>
        </w:tc>
        <w:tc>
          <w:tcPr>
            <w:tcW w:type="dxa" w:w="20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Non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money sans API opérateur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Oui — SMS Ledger Bridge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Non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E7466"/>
              </w:rPr>
              <w:t xml:space="preserve">Partiel</w:t>
            </w:r>
          </w:p>
        </w:tc>
      </w:tr>
      <w:tr>
        <w:tc>
          <w:tcPr>
            <w:tcW w:type="dxa" w:w="34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Cash + 4 réseaux + carte</w:t>
            </w:r>
          </w:p>
        </w:tc>
        <w:tc>
          <w:tcPr>
            <w:tcW w:type="dxa" w:w="198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6 moyens</w:t>
            </w:r>
          </w:p>
        </w:tc>
        <w:tc>
          <w:tcPr>
            <w:tcW w:type="dxa" w:w="198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E7466"/>
              </w:rPr>
              <w:t xml:space="preserve">Carte surtout</w:t>
            </w:r>
          </w:p>
        </w:tc>
        <w:tc>
          <w:tcPr>
            <w:tcW w:type="dxa" w:w="20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E7466"/>
              </w:rPr>
              <w:t xml:space="preserve">Variable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Adressage par repères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Landmark Graph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GPS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GPS</w:t>
            </w:r>
          </w:p>
        </w:tc>
      </w:tr>
      <w:tr>
        <w:tc>
          <w:tcPr>
            <w:tcW w:type="dxa" w:w="34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Suivi ~2 Ko (pas de GPS live)</w:t>
            </w:r>
          </w:p>
        </w:tc>
        <w:tc>
          <w:tcPr>
            <w:tcW w:type="dxa" w:w="198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Oui</w:t>
            </w:r>
          </w:p>
        </w:tc>
        <w:tc>
          <w:tcPr>
            <w:tcW w:type="dxa" w:w="198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Non</w:t>
            </w:r>
          </w:p>
        </w:tc>
        <w:tc>
          <w:tcPr>
            <w:tcW w:type="dxa" w:w="20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Non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Reste 100% du prix au resto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Oui — client-paie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Non (−25/35%)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Non</w:t>
            </w:r>
          </w:p>
        </w:tc>
      </w:tr>
      <w:tr>
        <w:tc>
          <w:tcPr>
            <w:tcW w:type="dxa" w:w="34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Remboursement instantané (crédit)</w:t>
            </w:r>
          </w:p>
        </w:tc>
        <w:tc>
          <w:tcPr>
            <w:tcW w:type="dxa" w:w="198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40 s</w:t>
            </w:r>
          </w:p>
        </w:tc>
        <w:tc>
          <w:tcPr>
            <w:tcW w:type="dxa" w:w="198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Jours</w:t>
            </w:r>
          </w:p>
        </w:tc>
        <w:tc>
          <w:tcPr>
            <w:tcW w:type="dxa" w:w="20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Lent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Coût IA gouverné (ACU, plafonds)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≤ $0.05/cmd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E7466"/>
              </w:rPr>
              <w:t xml:space="preserve">n/a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E7466"/>
              </w:rPr>
              <w:t xml:space="preserve">n/a</w:t>
            </w:r>
          </w:p>
        </w:tc>
      </w:tr>
      <w:tr>
        <w:tc>
          <w:tcPr>
            <w:tcW w:type="dxa" w:w="34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Outils marketing IA pour restos</w:t>
            </w:r>
          </w:p>
        </w:tc>
        <w:tc>
          <w:tcPr>
            <w:tcW w:type="dxa" w:w="198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10 outils</w:t>
            </w:r>
          </w:p>
        </w:tc>
        <w:tc>
          <w:tcPr>
            <w:tcW w:type="dxa" w:w="198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Non</w:t>
            </w:r>
          </w:p>
        </w:tc>
        <w:tc>
          <w:tcPr>
            <w:tcW w:type="dxa" w:w="20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Non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Commande diaspora (GBP/EUR)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Conçu (BitriPay)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Non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E7466"/>
              </w:rPr>
              <w:t xml:space="preserve">AngataDelivery seul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C96703"/>
        </w:rPr>
        <w:t xml:space="preserve">4. Comparaison de prix : qui paie quoi</w:t>
      </w:r>
    </w:p>
    <w:p>
      <w:pPr>
        <w:spacing w:after="110"/>
      </w:pPr>
      <w:r>
        <w:rPr>
          <w:b/>
          <w:bCs/>
        </w:rPr>
        <w:t xml:space="preserve">La différence fondamentale : chez les clones, le restaurant paie. Chez NZELA-OS, le client paie — et le restaurant garde 100%.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560"/>
        <w:gridCol w:w="1600"/>
      </w:tblGrid>
      <w:tr>
        <w:trPr>
          <w:tblHeader/>
        </w:trPr>
        <w:tc>
          <w:tcPr>
            <w:tcW w:type="dxa" w:w="26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Poste</w:t>
            </w:r>
          </w:p>
        </w:tc>
        <w:tc>
          <w:tcPr>
            <w:tcW w:type="dxa" w:w="26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Clones (Glovo/Uber)</w:t>
            </w:r>
          </w:p>
        </w:tc>
        <w:tc>
          <w:tcPr>
            <w:tcW w:type="dxa" w:w="256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NZELA-OS</w:t>
            </w:r>
          </w:p>
        </w:tc>
        <w:tc>
          <w:tcPr>
            <w:tcW w:type="dxa" w:w="16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Gagnant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Commission restaurant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25–35%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0%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Resto</w:t>
            </w:r>
          </w:p>
        </w:tc>
      </w:tr>
      <w:tr>
        <w:tc>
          <w:tcPr>
            <w:tcW w:type="dxa" w:w="26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Frais de service client</w:t>
            </w:r>
          </w:p>
        </w:tc>
        <w:tc>
          <w:tcPr>
            <w:tcW w:type="dxa" w:w="26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Souvent caché + majoration menu 15–20%</w:t>
            </w:r>
          </w:p>
        </w:tc>
        <w:tc>
          <w:tcPr>
            <w:tcW w:type="dxa" w:w="25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10% transparent, affiché</w:t>
            </w:r>
          </w:p>
        </w:tc>
        <w:tc>
          <w:tcPr>
            <w:tcW w:type="dxa" w:w="16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Client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Traitement paiement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Inclus/opaque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241F"/>
              </w:rPr>
              <w:t xml:space="preserve">2% affiché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Égalité</w:t>
            </w:r>
          </w:p>
        </w:tc>
      </w:tr>
      <w:tr>
        <w:tc>
          <w:tcPr>
            <w:tcW w:type="dxa" w:w="26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Livraison</w:t>
            </w:r>
          </w:p>
        </w:tc>
        <w:tc>
          <w:tcPr>
            <w:tcW w:type="dxa" w:w="26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Variable</w:t>
            </w:r>
          </w:p>
        </w:tc>
        <w:tc>
          <w:tcPr>
            <w:tcW w:type="dxa" w:w="25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3 500 FC — 100% au wewa</w:t>
            </w:r>
          </w:p>
        </w:tc>
        <w:tc>
          <w:tcPr>
            <w:tcW w:type="dxa" w:w="16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Wewa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 livreur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Après retenue plateforme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70%, payé tout de suite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7A44"/>
              </w:rPr>
              <w:t xml:space="preserve">Wewa</w:t>
            </w:r>
          </w:p>
        </w:tc>
      </w:tr>
    </w:tbl>
    <w:p>
      <w:pPr>
        <w:spacing w:after="110"/>
      </w:pPr>
      <w:r>
        <w:rPr>
          <w:b/>
          <w:bCs/>
        </w:rPr>
        <w:t xml:space="preserve">Exemple panier 17 000 FC (§ économie verrouillée) : </w:t>
      </w:r>
      <w:r>
        <w:t xml:space="preserve">le client paie 22 540 FC tout compris et voit chaque ligne avant de payer ; le restaurant encaisse 17 000 FC (100%) ; le wewa touche 2 450 FC ; marge Tunakula 3 090 FC. Sur Glovo, ce même resto perdrait 4 250–5 950 FC de commission sur la même vente.</w:t>
      </w:r>
    </w:p>
    <w:p>
      <w:pPr>
        <w:pStyle w:val="Heading1"/>
        <w:spacing w:after="150" w:before="340"/>
      </w:pPr>
      <w:r>
        <w:rPr>
          <w:b/>
          <w:bCs/>
          <w:color w:val="C96703"/>
        </w:rPr>
        <w:t xml:space="preserve">5. Valeur ajoutée, par type d'utilisateur</w:t>
      </w:r>
    </w:p>
    <w:p>
      <w:pPr>
        <w:pStyle w:val="Heading2"/>
        <w:spacing w:after="100" w:before="240"/>
      </w:pPr>
      <w:r>
        <w:rPr>
          <w:b/>
          <w:bCs/>
          <w:color w:val="1C241F"/>
        </w:rPr>
        <w:t xml:space="preserve">Pour le client</w:t>
      </w:r>
    </w:p>
    <w:p>
      <w:pPr>
        <w:spacing w:after="110"/>
      </w:pPr>
      <w:r>
        <w:t xml:space="preserve">Zéro app, zéro data gaspillée, commande à la voix, prix 100% transparents, paie comme il veut (cash/momo/carte), et « mon argent est en sécurité » — remboursement en 40 s si problème. </w:t>
      </w:r>
      <w:r>
        <w:rPr>
          <w:b/>
          <w:bCs/>
        </w:rPr>
        <w:t xml:space="preserve">Il n'a jamais eu à installer, ni à taper une adresse GPS qui n'existe pas.</w:t>
      </w:r>
    </w:p>
    <w:p>
      <w:pPr>
        <w:pStyle w:val="Heading2"/>
        <w:spacing w:after="100" w:before="240"/>
      </w:pPr>
      <w:r>
        <w:rPr>
          <w:b/>
          <w:bCs/>
          <w:color w:val="1C241F"/>
        </w:rPr>
        <w:t xml:space="preserve">Pour le restaurant</w:t>
      </w:r>
    </w:p>
    <w:p>
      <w:pPr>
        <w:spacing w:after="110"/>
      </w:pPr>
      <w:r>
        <w:rPr>
          <w:b/>
          <w:bCs/>
        </w:rPr>
        <w:t xml:space="preserve">Il garde 100% du prix de ses plats</w:t>
      </w:r>
      <w:r>
        <w:t xml:space="preserve"> (vs −25 à −35% ailleurs), n'a besoin que d'un seul Android, ne perd jamais une commande grâce à l'escalade automatique, et reçoit 10 outils marketing IA (Tunakula Pro) pour vendre plus. Là où Glovo ampute sa marge, NZELA-OS la protège.</w:t>
      </w:r>
    </w:p>
    <w:p>
      <w:pPr>
        <w:pStyle w:val="Heading2"/>
        <w:spacing w:after="100" w:before="240"/>
      </w:pPr>
      <w:r>
        <w:rPr>
          <w:b/>
          <w:bCs/>
          <w:color w:val="1C241F"/>
        </w:rPr>
        <w:t xml:space="preserve">Pour le wewa (livreur)</w:t>
      </w:r>
    </w:p>
    <w:p>
      <w:pPr>
        <w:spacing w:after="110"/>
      </w:pPr>
      <w:r>
        <w:t xml:space="preserve">N'importe quel téléphone, 70% des frais de course payés immédiatement, code anti-vol, et un itinéraire par repères — sa vraie langue de la route.</w:t>
      </w:r>
    </w:p>
    <w:p>
      <w:pPr>
        <w:pStyle w:val="Heading2"/>
        <w:spacing w:after="100" w:before="240"/>
      </w:pPr>
      <w:r>
        <w:rPr>
          <w:b/>
          <w:bCs/>
          <w:color w:val="1C241F"/>
        </w:rPr>
        <w:t xml:space="preserve">Pour Tunakula / l'investisseur</w:t>
      </w:r>
    </w:p>
    <w:p>
      <w:pPr>
        <w:spacing w:after="110"/>
      </w:pPr>
      <w:r>
        <w:t xml:space="preserve">Une économie unitaire disciplinée là où Jumia Food a coulé : coût IA ≤ $0.05, règle du ×2 (100% de profit sur le coût complet), aucune action IA gratuite (ACU), et 3 actifs que personne ne peut copier — le SMS Ledger Bridge (paiement sans API), le Landmark Graph (carte propriétaire de Kin), et la boucle diaspora. </w:t>
      </w:r>
      <w:r>
        <w:rPr>
          <w:b/>
          <w:bCs/>
        </w:rPr>
        <w:t xml:space="preserve">Jumia a prouvé que le modèle app perd de l'argent en Afrique ; NZELA-OS est conçu pour l'inverse.</w:t>
      </w:r>
    </w:p>
    <w:p>
      <w:pPr>
        <w:pBdr>
          <w:bottom w:val="single" w:color="C96703" w:sz="6"/>
        </w:pBdr>
        <w:spacing w:after="120" w:before="120"/>
      </w:pPr>
    </w:p>
    <w:p>
      <w:pPr>
        <w:pStyle w:val="Heading1"/>
        <w:spacing w:after="150" w:before="340"/>
      </w:pPr>
      <w:r>
        <w:rPr>
          <w:b/>
          <w:bCs/>
          <w:color w:val="C96703"/>
        </w:rPr>
        <w:t xml:space="preserve">6. Pourquoi nous gagnons — en une phrase</w:t>
      </w:r>
    </w:p>
    <w:p>
      <w:pPr>
        <w:spacing w:after="110"/>
      </w:pPr>
      <w:r>
        <w:rPr>
          <w:i/>
          <w:iCs/>
          <w:color w:val="1C241F"/>
        </w:rPr>
        <w:t xml:space="preserve">Tous les concurrents se battent pour les 5% de Kinshasa qui se comportent comme Lagos ou Nairobi. NZELA-OS est le seul construit pour les 95% : WhatsApp uniquement, cash et mobile money, navigation par repères, notes vocales — servis par une IA assez disciplinée pour dépenser les tokens comme des dollars, parce que c'en sont.</w:t>
      </w:r>
    </w:p>
    <w:p>
      <w:pPr>
        <w:spacing w:before="160"/>
        <w:jc w:val="center"/>
      </w:pPr>
      <w:r>
        <w:rPr>
          <w:i/>
          <w:iCs/>
          <w:color w:val="1D7A44"/>
          <w:sz w:val="22"/>
          <w:szCs w:val="22"/>
        </w:rPr>
        <w:t xml:space="preserve">Tokoli malamu. Nzela ezali polele.</w:t>
      </w:r>
    </w:p>
    <w:p>
      <w:pPr>
        <w:pBdr>
          <w:bottom w:val="single" w:color="C96703" w:sz="6"/>
        </w:pBdr>
        <w:spacing w:after="120" w:before="120"/>
      </w:pPr>
    </w:p>
    <w:p>
      <w:pPr>
        <w:spacing w:after="40" w:before="60"/>
      </w:pPr>
      <w:r>
        <w:rPr>
          <w:b/>
          <w:bCs/>
          <w:color w:val="5E7466"/>
          <w:sz w:val="16"/>
          <w:szCs w:val="16"/>
        </w:rPr>
        <w:t xml:space="preserve">Sources</w:t>
      </w:r>
    </w:p>
    <w:p>
      <w:pPr>
        <w:spacing w:after="40"/>
      </w:pPr>
      <w:r>
        <w:rPr>
          <w:color w:val="5E7466"/>
          <w:sz w:val="15"/>
          <w:szCs w:val="15"/>
        </w:rPr>
        <w:t xml:space="preserve">1. TechCabal, « Jumia shuts down Jumia Food » (déc. 2023) ; Rest of World, « Jumia shut down food delivery » (2024) ; SEC Form 6-K Jumia FY2023.</w:t>
      </w:r>
    </w:p>
    <w:p>
      <w:pPr>
        <w:spacing w:after="40"/>
      </w:pPr>
      <w:r>
        <w:rPr>
          <w:color w:val="5E7466"/>
          <w:sz w:val="15"/>
          <w:szCs w:val="15"/>
        </w:rPr>
        <w:t xml:space="preserve">2. Menuviel, « Glovo Fees and Commissions for Restaurants 2025 » ; Techpoint Africa, « Morocco's Competition Council tames Glovo » ; TechCabal, « Glovo bets on Nigeria » (mai 2025).</w:t>
      </w:r>
    </w:p>
    <w:p>
      <w:pPr>
        <w:spacing w:after="40"/>
      </w:pPr>
      <w:r>
        <w:rPr>
          <w:color w:val="5E7466"/>
          <w:sz w:val="15"/>
          <w:szCs w:val="15"/>
        </w:rPr>
        <w:t xml:space="preserve">3. Rezku, « Third-Party Delivery Fees 2026 » ; OPA!, « Restaurant Delivery Commission Fees » (2025) ; CloudKitchens, « How much do food delivery apps cost restaurants ».</w:t>
      </w:r>
    </w:p>
    <w:p>
      <w:pPr>
        <w:spacing w:after="40"/>
      </w:pPr>
      <w:r>
        <w:rPr>
          <w:color w:val="5E7466"/>
          <w:sz w:val="15"/>
          <w:szCs w:val="15"/>
        </w:rPr>
        <w:t xml:space="preserve">4. Marché local RDC : Disrupt Africa (CongoEats) ; Dosta (dosta.app) ; Tikkotac (tikkotac.com) ; AngataDelivery. Commissions locales non publiées publiquement au moment de l'analyse.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2026-08-04T05:20:25.750Z</dcterms:created>
  <dcterms:modified xsi:type="dcterms:W3CDTF">2026-08-04T05:20:25.773Z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