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13B76C2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>2025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Visiting Scholar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2023-24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Postdoctoral Researcher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2022-23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Associate in Research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5C2D82">
      <w:pPr>
        <w:spacing w:after="80" w:line="240" w:lineRule="auto"/>
        <w:ind w:left="547" w:hanging="547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5EFE03F7" w14:textId="62E60CD7" w:rsidR="00E06E02" w:rsidRPr="00E06E02" w:rsidRDefault="00E06E02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Havens, HM, and Johnsen, S (in prep)</w:t>
      </w:r>
      <w:r w:rsidR="005C2D82">
        <w:rPr>
          <w:rFonts w:ascii="Garamond" w:hAnsi="Garamond"/>
          <w:bCs/>
          <w:sz w:val="24"/>
          <w:szCs w:val="24"/>
        </w:rPr>
        <w:t>.</w:t>
      </w:r>
      <w:r>
        <w:rPr>
          <w:rFonts w:ascii="Garamond" w:hAnsi="Garamond"/>
          <w:bCs/>
          <w:sz w:val="24"/>
          <w:szCs w:val="24"/>
        </w:rPr>
        <w:t xml:space="preserve"> Behavioral </w:t>
      </w:r>
      <w:r w:rsidRPr="00F50F6A">
        <w:rPr>
          <w:rFonts w:ascii="Garamond" w:hAnsi="Garamond"/>
          <w:sz w:val="24"/>
          <w:szCs w:val="24"/>
        </w:rPr>
        <w:t xml:space="preserve">sensitivity to light varies across the body of </w:t>
      </w:r>
      <w:r w:rsidRPr="00F50F6A">
        <w:rPr>
          <w:rFonts w:ascii="Garamond" w:hAnsi="Garamond"/>
          <w:i/>
          <w:iCs/>
          <w:sz w:val="24"/>
          <w:szCs w:val="24"/>
        </w:rPr>
        <w:t>Lytechinus variegatus</w:t>
      </w:r>
      <w:r>
        <w:rPr>
          <w:rFonts w:ascii="Garamond" w:hAnsi="Garamond"/>
          <w:sz w:val="24"/>
          <w:szCs w:val="24"/>
        </w:rPr>
        <w:t>.</w:t>
      </w:r>
    </w:p>
    <w:p w14:paraId="44A34400" w14:textId="79AC386F" w:rsidR="00226D25" w:rsidRPr="00E06E02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lastRenderedPageBreak/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050789B" w14:textId="77777777" w:rsid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66F3C589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4E2199FF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5B92041F" w14:textId="2FF110E3" w:rsidR="00E36621" w:rsidRP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E2DD1C2" w14:textId="5FCDEB2D" w:rsidR="00E06E02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>
        <w:rPr>
          <w:rFonts w:ascii="Garamond" w:hAnsi="Garamond"/>
          <w:sz w:val="24"/>
          <w:szCs w:val="24"/>
        </w:rPr>
        <w:t>2025</w:t>
      </w:r>
      <w:r w:rsidR="00E06E02">
        <w:rPr>
          <w:rFonts w:ascii="Garamond" w:hAnsi="Garamond"/>
          <w:sz w:val="24"/>
          <w:szCs w:val="24"/>
        </w:rPr>
        <w:tab/>
      </w:r>
      <w:proofErr w:type="spellStart"/>
      <w:r w:rsidR="00E06E02">
        <w:rPr>
          <w:rFonts w:ascii="Garamond" w:hAnsi="Garamond"/>
          <w:i/>
          <w:iCs/>
          <w:sz w:val="24"/>
          <w:szCs w:val="24"/>
        </w:rPr>
        <w:t>Echinoder</w:t>
      </w:r>
      <w:proofErr w:type="spellEnd"/>
      <w:r w:rsidR="00E06E02">
        <w:rPr>
          <w:rFonts w:ascii="Garamond" w:hAnsi="Garamond"/>
          <w:i/>
          <w:iCs/>
          <w:sz w:val="24"/>
          <w:szCs w:val="24"/>
        </w:rPr>
        <w:t>-</w:t>
      </w:r>
      <w:r w:rsidR="00C465E2">
        <w:rPr>
          <w:rFonts w:ascii="Garamond" w:hAnsi="Garamond"/>
          <w:i/>
          <w:iCs/>
          <w:sz w:val="24"/>
          <w:szCs w:val="24"/>
        </w:rPr>
        <w:t>b</w:t>
      </w:r>
      <w:r w:rsidR="00E06E02">
        <w:rPr>
          <w:rFonts w:ascii="Garamond" w:hAnsi="Garamond"/>
          <w:i/>
          <w:iCs/>
          <w:sz w:val="24"/>
          <w:szCs w:val="24"/>
        </w:rPr>
        <w:t>ot-a: A sea urchin-inspired camera</w:t>
      </w:r>
    </w:p>
    <w:p w14:paraId="587574E0" w14:textId="247B71FA" w:rsidR="00924184" w:rsidRDefault="00E06E02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C465E2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 xml:space="preserve"> and Havens, HM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Atlanta, GA</w:t>
      </w:r>
      <w:r>
        <w:rPr>
          <w:rFonts w:ascii="Garamond" w:hAnsi="Garamond"/>
          <w:sz w:val="24"/>
          <w:szCs w:val="24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6D3212C7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="005C2D82">
        <w:rPr>
          <w:rFonts w:ascii="Garamond" w:hAnsi="Garamond"/>
          <w:color w:val="000000"/>
          <w:sz w:val="24"/>
          <w:szCs w:val="24"/>
        </w:rPr>
        <w:t>, '25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lastRenderedPageBreak/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Funch</w:t>
      </w: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6FA8105F" w14:textId="77777777" w:rsidR="00BE7ED7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087CB6">
        <w:rPr>
          <w:rFonts w:ascii="Garamond" w:hAnsi="Garamond"/>
          <w:color w:val="000000"/>
          <w:sz w:val="24"/>
          <w:szCs w:val="24"/>
        </w:rPr>
        <w:t>2024-25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D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iv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ision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of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I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nvert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ebrate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Z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oo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logy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 xml:space="preserve"> Mentor</w:t>
      </w:r>
      <w:r w:rsidR="00087CB6">
        <w:rPr>
          <w:rFonts w:ascii="Garamond" w:hAnsi="Garamond"/>
          <w:color w:val="000000"/>
          <w:sz w:val="24"/>
          <w:szCs w:val="24"/>
        </w:rPr>
        <w:t xml:space="preserve"> to undergraduates attending their first </w:t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  <w:t>scientific meeting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ab/>
      </w:r>
    </w:p>
    <w:p w14:paraId="5C85FBBD" w14:textId="29A06982" w:rsidR="00997AFA" w:rsidRDefault="00BE7ED7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 xml:space="preserve">Society for Integrative and Comparative Biology Annual Meeting </w:t>
      </w:r>
      <w:r w:rsidR="00087CB6">
        <w:rPr>
          <w:rFonts w:ascii="Garamond" w:hAnsi="Garamond"/>
          <w:color w:val="000000"/>
          <w:sz w:val="24"/>
          <w:szCs w:val="24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2FB803D4" w14:textId="77777777" w:rsidR="005C2D82" w:rsidRDefault="005C2D82" w:rsidP="005C2D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Service and Societies</w:t>
      </w:r>
    </w:p>
    <w:p w14:paraId="342EFD17" w14:textId="725E88EE" w:rsidR="00593925" w:rsidRDefault="005C2D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Duke Biology Department</w:t>
      </w:r>
      <w:r w:rsidRPr="005C2D82">
        <w:rPr>
          <w:rFonts w:ascii="Garamond" w:hAnsi="Garamond"/>
          <w:color w:val="000000"/>
          <w:sz w:val="24"/>
          <w:szCs w:val="24"/>
        </w:rPr>
        <w:t xml:space="preserve"> </w:t>
      </w:r>
      <w:r w:rsidRPr="005C2D82">
        <w:rPr>
          <w:rFonts w:ascii="Garamond" w:hAnsi="Garamond"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6F5921B0" w14:textId="77777777" w:rsidR="00BA15A7" w:rsidRDefault="00A42BF4" w:rsidP="005C2D82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lastRenderedPageBreak/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Professional Societies</w:t>
      </w:r>
      <w:r w:rsidR="005C2D82" w:rsidRPr="005C2D82">
        <w:rPr>
          <w:rFonts w:ascii="Garamond" w:hAnsi="Garamond"/>
          <w:smallCaps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="005C2D82">
        <w:rPr>
          <w:rFonts w:ascii="Garamond" w:hAnsi="Garamond"/>
          <w:color w:val="000000"/>
          <w:sz w:val="24"/>
          <w:szCs w:val="24"/>
        </w:rPr>
        <w:br/>
        <w:t>International Society for Neuroethology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25EAF41D" w14:textId="67E38D84" w:rsidR="00BA15A7" w:rsidRPr="00BA15A7" w:rsidRDefault="005C2D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smallCaps/>
          <w:color w:val="000000"/>
          <w:sz w:val="24"/>
          <w:szCs w:val="24"/>
          <w:u w:val="single"/>
        </w:rPr>
        <w:t>Reviewer For:</w:t>
      </w:r>
      <w:r w:rsidR="00BA15A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BA15A7">
        <w:rPr>
          <w:rFonts w:ascii="Garamond" w:hAnsi="Garamond"/>
          <w:color w:val="000000"/>
          <w:sz w:val="24"/>
          <w:szCs w:val="24"/>
        </w:rPr>
        <w:t>iScience</w:t>
      </w:r>
      <w:proofErr w:type="spellEnd"/>
      <w:r w:rsidR="00BA15A7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</w:p>
    <w:p w14:paraId="3352B84C" w14:textId="66BDBAB3" w:rsidR="005316EA" w:rsidRPr="00D92FCC" w:rsidRDefault="009855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316EA">
        <w:rPr>
          <w:rFonts w:ascii="Garamond" w:hAnsi="Garamond"/>
          <w:color w:val="000000"/>
          <w:sz w:val="24"/>
          <w:szCs w:val="24"/>
        </w:rPr>
        <w:t>2025</w:t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>Scientific Advisor</w:t>
      </w:r>
      <w:r w:rsidR="0020141A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99570B">
        <w:rPr>
          <w:rFonts w:ascii="Garamond" w:hAnsi="Garamond"/>
          <w:b/>
          <w:bCs/>
          <w:color w:val="000000"/>
          <w:sz w:val="24"/>
          <w:szCs w:val="24"/>
        </w:rPr>
        <w:t>for</w:t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hyperlink r:id="rId17" w:history="1"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>Submerged! In the Company of Fish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,</w:t>
        </w:r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 xml:space="preserve"> 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Voyages: Chapter 7</w:t>
        </w:r>
      </w:hyperlink>
    </w:p>
    <w:p w14:paraId="7D4FA244" w14:textId="5DC40F0F" w:rsidR="005316EA" w:rsidRDefault="005316EA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proofErr w:type="spellStart"/>
      <w:r>
        <w:rPr>
          <w:rFonts w:ascii="Garamond" w:hAnsi="Garamond"/>
          <w:color w:val="000000"/>
          <w:sz w:val="24"/>
          <w:szCs w:val="24"/>
        </w:rPr>
        <w:t>Submersive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Productions and the National Aquarium, Baltimore, MD</w:t>
      </w:r>
    </w:p>
    <w:p w14:paraId="5E90F700" w14:textId="10468B03" w:rsidR="00B12633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2021-24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>Presenter</w:t>
      </w:r>
      <w:r w:rsidRPr="00D65174">
        <w:rPr>
          <w:rFonts w:ascii="Garamond" w:hAnsi="Garamond"/>
          <w:b/>
          <w:bCs/>
          <w:color w:val="000000"/>
          <w:sz w:val="24"/>
          <w:szCs w:val="24"/>
        </w:rPr>
        <w:t>, Annual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7A60AB17" w14:textId="77777777" w:rsidR="00B12633" w:rsidRPr="00AF7722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5BF24815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B12633"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</w:t>
      </w:r>
      <w:r w:rsidR="00B12633">
        <w:rPr>
          <w:rFonts w:ascii="Garamond" w:hAnsi="Garamond"/>
          <w:color w:val="000000"/>
          <w:sz w:val="24"/>
          <w:szCs w:val="24"/>
        </w:rPr>
        <w:t>, &gt;70 logged dives, wetsuit &amp; drysuit experience</w:t>
      </w:r>
      <w:r w:rsidR="00B12633" w:rsidRPr="009B2A11">
        <w:rPr>
          <w:rFonts w:ascii="Garamond" w:hAnsi="Garamond"/>
          <w:color w:val="000000"/>
          <w:sz w:val="24"/>
          <w:szCs w:val="24"/>
        </w:rPr>
        <w:t xml:space="preserve">), PADI Advanced Open Water, PADI Nitrox, </w:t>
      </w:r>
      <w:r w:rsidR="00B12633">
        <w:rPr>
          <w:rFonts w:ascii="Garamond" w:hAnsi="Garamond"/>
          <w:color w:val="000000"/>
          <w:sz w:val="24"/>
          <w:szCs w:val="24"/>
        </w:rPr>
        <w:t>DAN DFA Pro, Experienced freediver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B12633">
        <w:rPr>
          <w:rFonts w:ascii="Garamond" w:hAnsi="Garamond"/>
          <w:color w:val="000000"/>
          <w:sz w:val="24"/>
          <w:szCs w:val="24"/>
        </w:rPr>
        <w:t xml:space="preserve">bash, </w:t>
      </w:r>
      <w:r w:rsidR="00B12633" w:rsidRPr="009B2A11">
        <w:rPr>
          <w:rFonts w:ascii="Garamond" w:hAnsi="Garamond"/>
          <w:color w:val="000000"/>
          <w:sz w:val="24"/>
          <w:szCs w:val="24"/>
        </w:rPr>
        <w:t>Python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sectPr w:rsidR="00EB7D7E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4375A" w14:textId="77777777" w:rsidR="00F54B5B" w:rsidRDefault="00F54B5B">
      <w:r>
        <w:separator/>
      </w:r>
    </w:p>
  </w:endnote>
  <w:endnote w:type="continuationSeparator" w:id="0">
    <w:p w14:paraId="0CB5C798" w14:textId="77777777" w:rsidR="00F54B5B" w:rsidRDefault="00F5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F46B6" w14:textId="77777777" w:rsidR="00F54B5B" w:rsidRDefault="00F54B5B">
      <w:r>
        <w:separator/>
      </w:r>
    </w:p>
  </w:footnote>
  <w:footnote w:type="continuationSeparator" w:id="0">
    <w:p w14:paraId="1189C4AB" w14:textId="77777777" w:rsidR="00F54B5B" w:rsidRDefault="00F5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87CB6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6F14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141A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1D05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6EB7"/>
    <w:rsid w:val="003077F6"/>
    <w:rsid w:val="0031010D"/>
    <w:rsid w:val="00310FBF"/>
    <w:rsid w:val="00312399"/>
    <w:rsid w:val="00312E26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0EF2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16EA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2D82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05A8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58D8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570B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633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15A7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E7ED7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5E2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6DD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0E9"/>
    <w:rsid w:val="00D84D45"/>
    <w:rsid w:val="00D90950"/>
    <w:rsid w:val="00D909FE"/>
    <w:rsid w:val="00D92FCC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0954"/>
    <w:rsid w:val="00E03822"/>
    <w:rsid w:val="00E03BAB"/>
    <w:rsid w:val="00E0473A"/>
    <w:rsid w:val="00E049B9"/>
    <w:rsid w:val="00E06E02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770C6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4B5B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hyperlink" Target="https://aqua.org/stories/2025-06-05-voyages-chapter-7-sneak-peek-with-featured-artist-submersive-produ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21</cp:revision>
  <cp:lastPrinted>2017-08-28T21:32:00Z</cp:lastPrinted>
  <dcterms:created xsi:type="dcterms:W3CDTF">2024-02-09T21:57:00Z</dcterms:created>
  <dcterms:modified xsi:type="dcterms:W3CDTF">2025-07-24T23:18:00Z</dcterms:modified>
</cp:coreProperties>
</file>