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Documentación de Endpoints</w:t>
      </w:r>
    </w:p>
    <w:p>
      <w:pPr>
        <w:jc w:val="center"/>
      </w:pPr>
      <w:r>
        <w:rPr>
          <w:color w:val="4B5563"/>
          <w:sz w:val="26"/>
        </w:rPr>
        <w:t>Compucad Training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40AF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Base URL local</w:t>
            </w:r>
          </w:p>
        </w:tc>
        <w:tc>
          <w:tcPr>
            <w:tcW w:type="dxa" w:w="5040"/>
            <w:vAlign w:val="center"/>
            <w:shd w:fill="EFF6FF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http://localhost:3000/api</w:t>
            </w:r>
          </w:p>
        </w:tc>
      </w:tr>
      <w:tr>
        <w:tc>
          <w:tcPr>
            <w:tcW w:type="dxa" w:w="5040"/>
            <w:vAlign w:val="center"/>
            <w:shd w:fill="1E40AF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Consumo</w:t>
            </w:r>
          </w:p>
        </w:tc>
        <w:tc>
          <w:tcPr>
            <w:tcW w:type="dxa" w:w="5040"/>
            <w:vAlign w:val="center"/>
            <w:shd w:fill="EFF6FF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El frontend consume solo estos endpoints del backend.</w:t>
            </w:r>
          </w:p>
        </w:tc>
      </w:tr>
      <w:tr>
        <w:tc>
          <w:tcPr>
            <w:tcW w:type="dxa" w:w="5040"/>
            <w:vAlign w:val="center"/>
            <w:shd w:fill="1E40AF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Seguridad</w:t>
            </w:r>
          </w:p>
        </w:tc>
        <w:tc>
          <w:tcPr>
            <w:tcW w:type="dxa" w:w="5040"/>
            <w:vAlign w:val="center"/>
            <w:shd w:fill="EFF6FF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El frontend no llama OpenRouter ni accede directamente a la base de datos.</w:t>
            </w:r>
          </w:p>
        </w:tc>
      </w:tr>
    </w:tbl>
    <w:p/>
    <w:p>
      <w:pPr>
        <w:pStyle w:val="Heading2"/>
      </w:pPr>
      <w:r>
        <w:t>Resumen de secciones</w:t>
      </w:r>
    </w:p>
    <w:p>
      <w:pPr>
        <w:pStyle w:val="ListBullet"/>
      </w:pPr>
      <w:r>
        <w:t>Salud</w:t>
      </w:r>
    </w:p>
    <w:p>
      <w:pPr>
        <w:pStyle w:val="ListBullet"/>
      </w:pPr>
      <w:r>
        <w:t>Cursos</w:t>
      </w:r>
    </w:p>
    <w:p>
      <w:pPr>
        <w:pStyle w:val="ListBullet"/>
      </w:pPr>
      <w:r>
        <w:t>Colaboradores</w:t>
      </w:r>
    </w:p>
    <w:p>
      <w:pPr>
        <w:pStyle w:val="ListBullet"/>
      </w:pPr>
      <w:r>
        <w:t>Inscripciones</w:t>
      </w:r>
    </w:p>
    <w:p>
      <w:pPr>
        <w:pStyle w:val="ListBullet"/>
      </w:pPr>
      <w:r>
        <w:t>Agente IA</w:t>
      </w:r>
    </w:p>
    <w:p>
      <w:pPr>
        <w:pStyle w:val="ListBullet"/>
      </w:pPr>
      <w:r>
        <w:t>Respuesta estándar</w:t>
      </w:r>
    </w:p>
    <w:p>
      <w:pPr>
        <w:pStyle w:val="Heading2"/>
      </w:pPr>
      <w:r>
        <w:t>Salud</w:t>
      </w:r>
    </w:p>
    <w:p>
      <w:pPr>
        <w:pStyle w:val="Heading3"/>
      </w:pPr>
      <w:r>
        <w:rPr>
          <w:color w:val="0F172A"/>
        </w:rPr>
        <w:t>GET /health</w:t>
      </w:r>
    </w:p>
    <w:p>
      <w:r>
        <w:t>Verifica que la API esté operativa.</w:t>
      </w:r>
    </w:p>
    <w:p>
      <w:pPr>
        <w:pStyle w:val="Heading4"/>
      </w:pPr>
      <w:r>
        <w:t>Respuesta ejemplo: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"status": "ok"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Cursos</w:t>
      </w:r>
    </w:p>
    <w:p>
      <w:pPr>
        <w:pStyle w:val="Heading3"/>
      </w:pPr>
      <w:r>
        <w:rPr>
          <w:color w:val="0F172A"/>
        </w:rPr>
        <w:t>GET /courses</w:t>
      </w:r>
    </w:p>
    <w:p>
      <w:r>
        <w:t>Lista cursos registrados en el catálogo. Permite filtros opcionales por query.</w:t>
      </w:r>
    </w:p>
    <w:p>
      <w:pPr>
        <w:pStyle w:val="Heading4"/>
      </w:pPr>
      <w:r>
        <w:t>Notas:</w:t>
      </w:r>
    </w:p>
    <w:p>
      <w:pPr>
        <w:pStyle w:val="ListBullet"/>
      </w:pPr>
      <w:r>
        <w:t>Filtros opcionales: status, category, modality.</w:t>
      </w:r>
    </w:p>
    <w:p>
      <w:pPr>
        <w:pStyle w:val="Heading3"/>
      </w:pPr>
      <w:r>
        <w:rPr>
          <w:color w:val="0F172A"/>
        </w:rPr>
        <w:t>GET /courses/:id</w:t>
      </w:r>
    </w:p>
    <w:p>
      <w:r>
        <w:t>Obtiene un curso específico por ID.</w:t>
      </w:r>
    </w:p>
    <w:p>
      <w:pPr>
        <w:pStyle w:val="Heading2"/>
      </w:pPr>
      <w:r>
        <w:t>Colaboradores</w:t>
      </w:r>
    </w:p>
    <w:p>
      <w:pPr>
        <w:pStyle w:val="Heading3"/>
      </w:pPr>
      <w:r>
        <w:rPr>
          <w:color w:val="0F172A"/>
        </w:rPr>
        <w:t>GET /collaborators</w:t>
      </w:r>
    </w:p>
    <w:p>
      <w:r>
        <w:t>Lista colaboradores con resumen de posición y área.</w:t>
      </w:r>
    </w:p>
    <w:p>
      <w:pPr>
        <w:pStyle w:val="Heading3"/>
      </w:pPr>
      <w:r>
        <w:rPr>
          <w:color w:val="0F172A"/>
        </w:rPr>
        <w:t>GET /collaborators/:id</w:t>
      </w:r>
    </w:p>
    <w:p>
      <w:r>
        <w:t>Obtiene un colaborador por ID.</w:t>
      </w:r>
    </w:p>
    <w:p>
      <w:pPr>
        <w:pStyle w:val="Heading3"/>
      </w:pPr>
      <w:r>
        <w:rPr>
          <w:color w:val="0F172A"/>
        </w:rPr>
        <w:t>GET /collaborators/:id/enrollments</w:t>
      </w:r>
    </w:p>
    <w:p>
      <w:r>
        <w:t>Lista las inscripciones activas del colaborador.</w:t>
      </w:r>
    </w:p>
    <w:p>
      <w:pPr>
        <w:pStyle w:val="Heading3"/>
      </w:pPr>
      <w:r>
        <w:rPr>
          <w:color w:val="0F172A"/>
        </w:rPr>
        <w:t>GET /collaborators/:id/history</w:t>
      </w:r>
    </w:p>
    <w:p>
      <w:r>
        <w:t>Lista los cursos completados del colaborador.</w:t>
      </w:r>
    </w:p>
    <w:p>
      <w:pPr>
        <w:pStyle w:val="Heading3"/>
      </w:pPr>
      <w:r>
        <w:rPr>
          <w:color w:val="0F172A"/>
        </w:rPr>
        <w:t>GET /collaborators/:id/recommendations</w:t>
      </w:r>
    </w:p>
    <w:p>
      <w:r>
        <w:t>Devuelve recomendaciones determinísticas de cursos para el colaborador seleccionado.</w:t>
      </w:r>
    </w:p>
    <w:p>
      <w:pPr>
        <w:pStyle w:val="Heading2"/>
      </w:pPr>
      <w:r>
        <w:t>Inscripciones</w:t>
      </w:r>
    </w:p>
    <w:p>
      <w:pPr>
        <w:pStyle w:val="Heading3"/>
      </w:pPr>
      <w:r>
        <w:rPr>
          <w:color w:val="0F172A"/>
        </w:rPr>
        <w:t>POST /enrollments</w:t>
      </w:r>
    </w:p>
    <w:p>
      <w:r>
        <w:t>Crea una inscripción validando políticas de negocio en el backend.</w:t>
      </w:r>
    </w:p>
    <w:p>
      <w:pPr>
        <w:pStyle w:val="Heading4"/>
      </w:pPr>
      <w:r>
        <w:t>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"collaboratorId": 1,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"courseId": 2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4"/>
      </w:pPr>
      <w:r>
        <w:t>Notas:</w:t>
      </w:r>
    </w:p>
    <w:p>
      <w:pPr>
        <w:pStyle w:val="ListBullet"/>
      </w:pPr>
      <w:r>
        <w:t>400 POLICY_REJECTION: incumplimiento de reglas.</w:t>
      </w:r>
    </w:p>
    <w:p>
      <w:pPr>
        <w:pStyle w:val="ListBullet"/>
      </w:pPr>
      <w:r>
        <w:t>400 AppError: payload inválido.</w:t>
      </w:r>
    </w:p>
    <w:p>
      <w:pPr>
        <w:pStyle w:val="Heading3"/>
      </w:pPr>
      <w:r>
        <w:rPr>
          <w:color w:val="0F172A"/>
        </w:rPr>
        <w:t>POST /enrollments/:id/cancel</w:t>
      </w:r>
    </w:p>
    <w:p>
      <w:r>
        <w:t>Cancela una inscripción activa cambiando su estado a CANCELLED.</w:t>
      </w:r>
    </w:p>
    <w:p>
      <w:pPr>
        <w:pStyle w:val="Heading3"/>
      </w:pPr>
      <w:r>
        <w:rPr>
          <w:color w:val="0F172A"/>
        </w:rPr>
        <w:t>POST /enrollments/:id/complete</w:t>
      </w:r>
    </w:p>
    <w:p>
      <w:r>
        <w:t>Completa una inscripción activa cambiando su estado a COMPLETED y suma puntos al colaborador.</w:t>
      </w:r>
    </w:p>
    <w:p>
      <w:pPr>
        <w:pStyle w:val="Heading2"/>
      </w:pPr>
      <w:r>
        <w:t>Agente IA</w:t>
      </w:r>
    </w:p>
    <w:p>
      <w:pPr>
        <w:pStyle w:val="Heading3"/>
      </w:pPr>
      <w:r>
        <w:rPr>
          <w:color w:val="0F172A"/>
        </w:rPr>
        <w:t>POST /agent/message</w:t>
      </w:r>
    </w:p>
    <w:p>
      <w:r>
        <w:t>Interpreta el mensaje con OpenRouter y delega la ejecución a servicios determinísticos del backend.</w:t>
      </w:r>
    </w:p>
    <w:p>
      <w:pPr>
        <w:pStyle w:val="Heading4"/>
      </w:pPr>
      <w:r>
        <w:t>Body: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"collaboratorId": 1,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"message": "Inscribime en React Advanced"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4"/>
      </w:pPr>
      <w:r>
        <w:t>Respuesta ejemplo: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"data":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"intent": "enroll_course",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"message": "Inscripción creada correctamente"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Heading4"/>
      </w:pPr>
      <w:r>
        <w:t>Notas:</w:t>
      </w:r>
    </w:p>
    <w:p>
      <w:pPr>
        <w:pStyle w:val="ListBullet"/>
      </w:pPr>
      <w:r>
        <w:t>Intenciones soportadas: list_courses, get_active_enrollments, get_completed_courses, recommend_courses, enroll_course, cancel_enrollment, complete_enrollment, unknown.</w:t>
      </w:r>
    </w:p>
    <w:p>
      <w:pPr>
        <w:pStyle w:val="ListBullet"/>
      </w:pPr>
      <w:r>
        <w:t>El modelo no escribe en la base de datos directamente.</w:t>
      </w:r>
    </w:p>
    <w:p>
      <w:pPr>
        <w:pStyle w:val="ListBullet"/>
      </w:pPr>
      <w:r>
        <w:t>La API puede responder pidiendo aclaración si la intención es ambigua.</w:t>
      </w:r>
    </w:p>
    <w:p>
      <w:pPr>
        <w:pStyle w:val="Heading2"/>
      </w:pPr>
      <w:r>
        <w:t>Respuesta estándar</w:t>
      </w:r>
    </w:p>
    <w:p>
      <w:r>
        <w:t>En general, los endpoints responden con una envoltura de datos en la propiedad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"data": {}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Compucad Training Platform - Documentación de Endpoints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3741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Endpoints - Compucad Training Platform</dc:title>
  <dc:subject>Endpoints principales de la API local</dc:subject>
  <dc:creator>Juan Tellez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