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8B2655"/>
          <w:sz w:val="72"/>
          <w:szCs w:val="72"/>
        </w:rPr>
        <w:t xml:space="preserve">LUMEN</w:t>
      </w:r>
    </w:p>
    <w:p>
      <w:pPr>
        <w:spacing w:after="400"/>
        <w:jc w:val="center"/>
      </w:pPr>
      <w:r>
        <w:rPr>
          <w:i/>
          <w:iCs/>
          <w:color w:val="5B6470"/>
          <w:sz w:val="24"/>
          <w:szCs w:val="24"/>
        </w:rPr>
        <w:t xml:space="preserve">Iluminando a gestão, impulsionando o seu talento</w:t>
      </w:r>
    </w:p>
    <w:p>
      <w:pPr>
        <w:spacing w:after="120"/>
        <w:jc w:val="center"/>
      </w:pPr>
      <w:r>
        <w:rPr>
          <w:b/>
          <w:bCs/>
          <w:color w:val="1F2933"/>
          <w:sz w:val="40"/>
          <w:szCs w:val="40"/>
        </w:rPr>
        <w:t xml:space="preserve">Estratégia de Crescimento</w:t>
      </w:r>
    </w:p>
    <w:p>
      <w:pPr>
        <w:spacing w:after="600"/>
        <w:jc w:val="center"/>
      </w:pPr>
      <w:r>
        <w:rPr>
          <w:color w:val="5B6470"/>
          <w:sz w:val="26"/>
          <w:szCs w:val="26"/>
        </w:rPr>
        <w:t xml:space="preserve">2026 (jul–dez) e 2027 — Os 6 Passos da Estratégia</w:t>
      </w:r>
    </w:p>
    <w:p>
      <w:pPr>
        <w:spacing w:after="60"/>
        <w:jc w:val="center"/>
      </w:pPr>
      <w:r>
        <w:rPr>
          <w:color w:val="5B6470"/>
          <w:sz w:val="22"/>
          <w:szCs w:val="22"/>
        </w:rPr>
        <w:t xml:space="preserve">SaaS de gestão para nail designers e salões</w:t>
      </w:r>
    </w:p>
    <w:p>
      <w:pPr>
        <w:spacing w:after="60"/>
        <w:jc w:val="center"/>
      </w:pPr>
      <w:r>
        <w:rPr>
          <w:color w:val="5B6470"/>
          <w:sz w:val="22"/>
          <w:szCs w:val="22"/>
        </w:rPr>
        <w:t xml:space="preserve">Documento para mentoria — Junho/2026</w:t>
      </w:r>
    </w:p>
    <w:p>
      <w:pPr>
        <w:pageBreakBefore/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Resumo executivo</w:t>
      </w:r>
    </w:p>
    <w:p>
      <w:pPr>
        <w:spacing w:after="120"/>
      </w:pPr>
      <w:r>
        <w:rPr>
          <w:sz w:val="22"/>
          <w:szCs w:val="22"/>
        </w:rPr>
        <w:t xml:space="preserve">O Lumen é um SaaS de gestão para nail designers e salões, com posicionamento central na maior dor do público: organizar o financeiro. A estratégia abaixo traduz o objetivo em números petrificados, com um plano que prova como cada cliente chega, as competências necessárias, a estrutura, a ordem de execução e o investimento — sempre saindo da própria receita.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Clientes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MRR (mês)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ARR (ano)</w:t>
            </w:r>
          </w:p>
        </w:tc>
      </w:tr>
      <w:tr>
        <w:tc>
          <w:tcPr>
            <w:tcW w:type="dxa" w:w="3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Fim de 2026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R$ 4.475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R$ 53.700</w:t>
            </w:r>
          </w:p>
        </w:tc>
      </w:tr>
      <w:tr>
        <w:tc>
          <w:tcPr>
            <w:tcW w:type="dxa" w:w="3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Receita NOVA de 2027 (120 novos)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+120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+R$ 21.480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+R$ 257.760</w:t>
            </w:r>
          </w:p>
        </w:tc>
      </w:tr>
      <w:tr>
        <w:tc>
          <w:tcPr>
            <w:tcW w:type="dxa" w:w="3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Consolidado — fim de 2027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145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R$ 25.955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R$ 311.460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Plano </w:t>
      </w:r>
      <w:r>
        <w:rPr>
          <w:b/>
          <w:bCs/>
          <w:sz w:val="22"/>
          <w:szCs w:val="22"/>
        </w:rPr>
        <w:t xml:space="preserve">R$ 179/mês</w:t>
      </w:r>
      <w:r>
        <w:rPr>
          <w:sz w:val="22"/>
          <w:szCs w:val="22"/>
        </w:rPr>
        <w:t xml:space="preserve"> (Pro). Métricas que mandam: nº de assinantes ativos, MRR e ARR.</w:t>
      </w:r>
    </w:p>
    <w:p>
      <w:pPr>
        <w:pageBreakBefore/>
      </w:pPr>
    </w:p>
    <w:p>
      <w:pPr>
        <w:pStyle w:val="Heading1"/>
      </w:pPr>
      <w:r>
        <w:t xml:space="preserve">Passo 1 — Onde quero chegar?</w:t>
      </w:r>
    </w:p>
    <w:p>
      <w:pPr>
        <w:spacing w:after="120"/>
      </w:pPr>
      <w:r>
        <w:rPr>
          <w:sz w:val="22"/>
          <w:szCs w:val="22"/>
        </w:rPr>
        <w:t xml:space="preserve">Alvo petrificado, com número. A recorrência dos 25 clientes de 2026 não conta como conquista de 2027 (já foi conquistada), mas soma no consolidado, porque o tamanho real do negócio é a base inteira.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Clientes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MRR (mês)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ARR (ano)</w:t>
            </w:r>
          </w:p>
        </w:tc>
      </w:tr>
      <w:tr>
        <w:tc>
          <w:tcPr>
            <w:tcW w:type="dxa" w:w="3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Fim de 2026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R$ 4.475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R$ 53.700</w:t>
            </w:r>
          </w:p>
        </w:tc>
      </w:tr>
      <w:tr>
        <w:tc>
          <w:tcPr>
            <w:tcW w:type="dxa" w:w="3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Receita NOVA de 2027 (só os 120 novos)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+120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+R$ 21.480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+R$ 257.760</w:t>
            </w:r>
          </w:p>
        </w:tc>
      </w:tr>
      <w:tr>
        <w:tc>
          <w:tcPr>
            <w:tcW w:type="dxa" w:w="3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Consolidado — fim de 2027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145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R$ 25.955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R$ 311.460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Em 2026</w:t>
      </w:r>
      <w:r>
        <w:rPr>
          <w:sz w:val="22"/>
          <w:szCs w:val="22"/>
        </w:rPr>
        <w:t xml:space="preserve"> o Lumen chega a R$ 4.475/mês (R$ 53.700/ano).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Em 2027</w:t>
      </w:r>
      <w:r>
        <w:rPr>
          <w:sz w:val="22"/>
          <w:szCs w:val="22"/>
        </w:rPr>
        <w:t xml:space="preserve"> gera receita nova de R$ 21.480/mês (R$ 257.760/ano) — fruto só dos 120 clientes novos.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 negócio consolidado</w:t>
      </w:r>
      <w:r>
        <w:rPr>
          <w:sz w:val="22"/>
          <w:szCs w:val="22"/>
        </w:rPr>
        <w:t xml:space="preserve"> fecha 2027 valendo R$ 25.955/mês de MRR, ou R$ 311.460/ano de ARR.</w:t>
      </w:r>
    </w:p>
    <w:p>
      <w:pPr>
        <w:pageBreakBefore/>
      </w:pPr>
    </w:p>
    <w:p>
      <w:pPr>
        <w:pStyle w:val="Heading1"/>
      </w:pPr>
      <w:r>
        <w:t xml:space="preserve">Passo 2 — Como quero chegar? (o plano)</w:t>
      </w:r>
    </w:p>
    <w:tbl>
      <w:tblPr>
        <w:tblW w:type="dxa" w:w="9360"/>
        <w:tblBorders>
          <w:top w:val="single" w:color="8B2655" w:sz="1"/>
          <w:left w:val="single" w:color="8B2655" w:sz="18"/>
          <w:bottom w:val="single" w:color="8B2655" w:sz="1"/>
          <w:right w:val="single" w:color="8B2655" w:sz="1"/>
          <w:insideH w:val="single" w:color="8B2655" w:sz="1"/>
          <w:insideV w:val="single" w:color="8B2655" w:sz="1"/>
        </w:tblBorders>
      </w:tblPr>
      <w:tblGrid>
        <w:gridCol w:w="9360"/>
      </w:tblGrid>
      <w:tr>
        <w:tc>
          <w:tcPr>
            <w:tcW w:type="dxa" w:w="9360"/>
            <w:shd w:fill="FBF5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B2655"/>
                <w:sz w:val="22"/>
                <w:szCs w:val="22"/>
              </w:rPr>
              <w:t xml:space="preserve">Posicionamento (o fio que liga tudo)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O Lumen é vendido como </w:t>
            </w:r>
            <w:r>
              <w:rPr>
                <w:b/>
                <w:bCs/>
                <w:sz w:val="22"/>
                <w:szCs w:val="22"/>
              </w:rPr>
              <w:t xml:space="preserve">a solução para a maior dor da manicure hoje: organizar o financeiro</w:t>
            </w:r>
            <w:r>
              <w:rPr>
                <w:sz w:val="22"/>
                <w:szCs w:val="22"/>
              </w:rPr>
              <w:t xml:space="preserve">. Agenda, clientes e o resto vêm como bônus. Toda prospecção e todo conteúdo batem nessa tecla.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A) A conta que prova o número (funil)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2026 — preciso de +24 clientes (de 1 → 25 ≈ 4/mês):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20 abordagens/semana → 80/mês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~15% viram conversa → 12/mês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~40% testam o Lumen → ~5/mês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~70% assinam → ~3,5/mês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+ indicação ~1/mês → </w:t>
      </w:r>
      <w:r>
        <w:rPr>
          <w:b/>
          <w:bCs/>
          <w:sz w:val="22"/>
          <w:szCs w:val="22"/>
        </w:rPr>
        <w:t xml:space="preserve">~4 a 5 clientes novos/mês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2027 — preciso de +120 clientes novos (10/mês):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Tráfego pago: R$ 1.200/mês ÷ ~R$ 150 por cliente = ~8/mês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Indicação + parcerias: ~2/mês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= ~10 clientes novos/mês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B) A trajetória (marcos)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Clientes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</w:tr>
      <w:tr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Julho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R$ 716</w:t>
            </w:r>
          </w:p>
        </w:tc>
      </w:tr>
      <w:tr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Agosto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R$ 1.253</w:t>
            </w:r>
          </w:p>
        </w:tc>
      </w:tr>
      <w:tr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Setembro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R$ 1.969</w:t>
            </w:r>
          </w:p>
        </w:tc>
      </w:tr>
      <w:tr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Outubro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R$ 2.685</w:t>
            </w:r>
          </w:p>
        </w:tc>
      </w:tr>
      <w:tr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Novembro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R$ 3.580</w:t>
            </w:r>
          </w:p>
        </w:tc>
      </w:tr>
      <w:tr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Dezembro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25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R$ 4.475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2027 (+30 novos por trimestre):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Trimestre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de clientes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</w:tr>
      <w:tr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Q1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55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R$ 9.845</w:t>
            </w:r>
          </w:p>
        </w:tc>
      </w:tr>
      <w:tr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Q2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85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R$ 15.215</w:t>
            </w:r>
          </w:p>
        </w:tc>
      </w:tr>
      <w:tr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Q3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115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R$ 20.585</w:t>
            </w:r>
          </w:p>
        </w:tc>
      </w:tr>
      <w:tr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Q4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145</w:t>
            </w:r>
          </w:p>
        </w:tc>
        <w:tc>
          <w:tcPr>
            <w:tcW w:type="dxa" w:w="312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R$ 25.955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C) Rotina semanal (o hábito)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20 abordagens novas (DM + WhatsApp), discurso na dor financeira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7 posts (conteúdo diário, foco financeiro)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Pedir indicação a cada cliente satisfeita (programa “Indique e ganhe dinheiro”: quem indica recebe 50% da 1ª mensalidade no PIX; a indicada paga 50% no 1º mês)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Acompanhar 1 número: quantos assinaram na semana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D) Indicadores que vigio (KPIs)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Clientes novos no mês (meta: 4 em 2026, 10 em 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Cancelamento (churn) — repor o que cai para a meta não furar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 por cliente no tráfego (meta 2027: ≤ R$ 150)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% de novos vindos de indicação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Linhas de receita extra (2027, fora da meta de assinantes)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Monetização da base: </w:t>
      </w:r>
      <w:r>
        <w:rPr>
          <w:sz w:val="22"/>
          <w:szCs w:val="22"/>
        </w:rPr>
        <w:t xml:space="preserve">ponte entre marcas e manicures — (a) canal de divulgação opt-in no app (só vê quem aceitou; ~R$ 500–2.000/campanha) e (b) relatórios de tendência anônimos (sem dado pessoal, 100% legal — LGPD). Nunca vender dado pessoal. Lançar com ~80+ clientes.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Mentoria de gestão para manicures</w:t>
      </w:r>
      <w:r>
        <w:rPr>
          <w:sz w:val="22"/>
          <w:szCs w:val="22"/>
        </w:rPr>
        <w:t xml:space="preserve"> — empacotar o que o Lumen ensina sobre gerir o negócio.</w:t>
      </w:r>
    </w:p>
    <w:p>
      <w:pPr>
        <w:pageBreakBefore/>
      </w:pPr>
    </w:p>
    <w:p>
      <w:pPr>
        <w:pStyle w:val="Heading1"/>
      </w:pPr>
      <w:r>
        <w:t xml:space="preserve">Passo 3 — Competências (exercício de humildade)</w:t>
      </w:r>
    </w:p>
    <w:p>
      <w:pPr>
        <w:spacing w:after="120"/>
      </w:pPr>
      <w:r>
        <w:rPr>
          <w:sz w:val="22"/>
          <w:szCs w:val="22"/>
        </w:rPr>
        <w:t xml:space="preserve">Mapa honesto: o que domino e, onde há lacuna, o que fazer e quando.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15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54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Plano de ação</w:t>
            </w:r>
          </w:p>
        </w:tc>
      </w:tr>
      <w:tr>
        <w:tc>
          <w:tcPr>
            <w:tcW w:type="dxa" w:w="24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Produto (React/Supabase)</w:t>
            </w:r>
          </w:p>
        </w:tc>
        <w:tc>
          <w:tcPr>
            <w:tcW w:type="dxa" w:w="15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Domino (c/ IA)</w:t>
            </w:r>
          </w:p>
        </w:tc>
        <w:tc>
          <w:tcPr>
            <w:tcW w:type="dxa" w:w="54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Manter. A IA cobre a folga — sem custo de equipe técnica por enquanto.</w:t>
            </w:r>
          </w:p>
        </w:tc>
      </w:tr>
      <w:tr>
        <w:tc>
          <w:tcPr>
            <w:tcW w:type="dxa" w:w="24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Prospecção / vendas</w:t>
            </w:r>
          </w:p>
        </w:tc>
        <w:tc>
          <w:tcPr>
            <w:tcW w:type="dxa" w:w="15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Domino</w:t>
            </w:r>
          </w:p>
        </w:tc>
        <w:tc>
          <w:tcPr>
            <w:tcW w:type="dxa" w:w="54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Maior força. Motor de 2026 — explorar ao máximo no orgânico.</w:t>
            </w:r>
          </w:p>
        </w:tc>
      </w:tr>
      <w:tr>
        <w:tc>
          <w:tcPr>
            <w:tcW w:type="dxa" w:w="24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Tráfego pago Meta</w:t>
            </w:r>
          </w:p>
        </w:tc>
        <w:tc>
          <w:tcPr>
            <w:tcW w:type="dxa" w:w="15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Noção</w:t>
            </w:r>
          </w:p>
        </w:tc>
        <w:tc>
          <w:tcPr>
            <w:tcW w:type="dxa" w:w="54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2026: estudar e rodar testes pequenos. 2027: se não atingir ~R$ 150/cliente, contratar freela de tráfego (~R$ 800–1.500/mês).</w:t>
            </w:r>
          </w:p>
        </w:tc>
      </w:tr>
      <w:tr>
        <w:tc>
          <w:tcPr>
            <w:tcW w:type="dxa" w:w="24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Copy / conteúdo</w:t>
            </w:r>
          </w:p>
        </w:tc>
        <w:tc>
          <w:tcPr>
            <w:tcW w:type="dxa" w:w="15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Noção + IA</w:t>
            </w:r>
          </w:p>
        </w:tc>
        <w:tc>
          <w:tcPr>
            <w:tcW w:type="dxa" w:w="54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Usar IA para rascunhar anúncios e posts; você edita e dá o tom. Suficiente por ora.</w:t>
            </w:r>
          </w:p>
        </w:tc>
      </w:tr>
      <w:tr>
        <w:tc>
          <w:tcPr>
            <w:tcW w:type="dxa" w:w="24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Fechar parcerias</w:t>
            </w:r>
          </w:p>
        </w:tc>
        <w:tc>
          <w:tcPr>
            <w:tcW w:type="dxa" w:w="15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Noção</w:t>
            </w:r>
          </w:p>
        </w:tc>
        <w:tc>
          <w:tcPr>
            <w:tcW w:type="dxa" w:w="54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Competência de 2027. Aprender negociando as primeiras 2–4 parcerias você mesmo (é vendas, que domina).</w:t>
            </w:r>
          </w:p>
        </w:tc>
      </w:tr>
      <w:tr>
        <w:tc>
          <w:tcPr>
            <w:tcW w:type="dxa" w:w="24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Suporte ao cliente</w:t>
            </w:r>
          </w:p>
        </w:tc>
        <w:tc>
          <w:tcPr>
            <w:tcW w:type="dxa" w:w="15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Domino</w:t>
            </w:r>
          </w:p>
        </w:tc>
        <w:tc>
          <w:tcPr>
            <w:tcW w:type="dxa" w:w="54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Tranquilo até ~60–80 clientes. Depois pode virar gargalo de tempo → avaliar apoio.</w:t>
            </w:r>
          </w:p>
        </w:tc>
      </w:tr>
      <w:tr>
        <w:tc>
          <w:tcPr>
            <w:tcW w:type="dxa" w:w="24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Mentoria de gestão</w:t>
            </w:r>
          </w:p>
        </w:tc>
        <w:tc>
          <w:tcPr>
            <w:tcW w:type="dxa" w:w="15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Domino</w:t>
            </w:r>
          </w:p>
        </w:tc>
        <w:tc>
          <w:tcPr>
            <w:tcW w:type="dxa" w:w="54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Vira produto/receita em 2027. Empacotar o que já sabe.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Leitura do exercício de humildade: </w:t>
      </w:r>
      <w:r>
        <w:rPr>
          <w:sz w:val="22"/>
          <w:szCs w:val="22"/>
        </w:rPr>
        <w:t xml:space="preserve">as forças (produto, vendas, suporte, mentoria) cobrem 2026 inteiro — dá para chegar aos 25 praticamente sozinho. As lacunas (tráfego, copy, parcerias) são todas de 2027, e nenhuma trava 2026. Elas aparecem exatamente quando o negócio já terá receita para bancar a solução.</w:t>
      </w:r>
    </w:p>
    <w:p>
      <w:pPr>
        <w:pageBreakBefore/>
      </w:pPr>
    </w:p>
    <w:p>
      <w:pPr>
        <w:pStyle w:val="Heading1"/>
      </w:pPr>
      <w:r>
        <w:t xml:space="preserve">Passo 4 — Estrutura</w:t>
      </w:r>
    </w:p>
    <w:p>
      <w:pPr>
        <w:spacing w:after="120"/>
      </w:pPr>
      <w:r>
        <w:rPr>
          <w:sz w:val="22"/>
          <w:szCs w:val="22"/>
        </w:rPr>
        <w:t xml:space="preserve">Tudo que dá sustentação ao plano — ferramentas e pessoas.</w:t>
      </w:r>
    </w:p>
    <w:p>
      <w:pPr>
        <w:pStyle w:val="Heading2"/>
      </w:pPr>
      <w:r>
        <w:t xml:space="preserve">O que já está de pé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Lumen em produção (Vercel + Supabase) — o produto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SMTP próprio (Resend + domínio) — cadastro/e-mails funcionando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Pixel + CAPI do Meta — estrutura de anúncio pronta para ligar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Programa de indicação “Indique e ganhe dinheiro” — no 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Cobrança no Asaas (anual parcelado + mensal recorrente)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O que falta montar — 2026 (base obrigatória)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4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quê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4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Backup diário + proteção de senha vazada. Não dá para crescer sem rede de segurança nos dados das clientes.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~US$ 25/mês (~R$ 135)</w:t>
            </w:r>
          </w:p>
        </w:tc>
      </w:tr>
      <w:tr>
        <w:tc>
          <w:tcPr>
            <w:tcW w:type="dxa" w:w="3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Cobrança recorrente automática</w:t>
            </w:r>
          </w:p>
        </w:tc>
        <w:tc>
          <w:tcPr>
            <w:tcW w:type="dxa" w:w="4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Hoje a renovação anual é manual (risco de perder cliente que esquece). Automatizar segura receita.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Trabalho de dev</w:t>
            </w:r>
          </w:p>
        </w:tc>
      </w:tr>
      <w:tr>
        <w:tc>
          <w:tcPr>
            <w:tcW w:type="dxa" w:w="3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IA (ChatGPT/Claude)</w:t>
            </w:r>
          </w:p>
        </w:tc>
        <w:tc>
          <w:tcPr>
            <w:tcW w:type="dxa" w:w="4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Apoio no produto e no copy dos posts/anúncios.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~R$ 100–120/mês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O que falta montar — 2027 (entra quando o crescimento exige)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4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quê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Verba de tráfego Meta</w:t>
            </w:r>
          </w:p>
        </w:tc>
        <w:tc>
          <w:tcPr>
            <w:tcW w:type="dxa" w:w="4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Motor de aquisição (10 novos/mês).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~R$ 1.200/mês</w:t>
            </w:r>
          </w:p>
        </w:tc>
      </w:tr>
      <w:tr>
        <w:tc>
          <w:tcPr>
            <w:tcW w:type="dxa" w:w="3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Freela / gestor de tráfego</w:t>
            </w:r>
          </w:p>
        </w:tc>
        <w:tc>
          <w:tcPr>
            <w:tcW w:type="dxa" w:w="4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Cobrir a lacuna do passo 3, se não bater ~R$ 150/cliente sozinho.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~R$ 800–1.500/mês</w:t>
            </w:r>
          </w:p>
        </w:tc>
      </w:tr>
      <w:tr>
        <w:tc>
          <w:tcPr>
            <w:tcW w:type="dxa" w:w="3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Apoio em suporte (avaliar)</w:t>
            </w:r>
          </w:p>
        </w:tc>
        <w:tc>
          <w:tcPr>
            <w:tcW w:type="dxa" w:w="4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Quando passar de ~60–80 clientes e o atendimento virar gargalo do seu tempo.</w:t>
            </w:r>
          </w:p>
        </w:tc>
        <w:tc>
          <w:tcPr>
            <w:tcW w:type="dxa" w:w="2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A definir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Pessoas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2026: </w:t>
      </w:r>
      <w:r>
        <w:rPr>
          <w:sz w:val="22"/>
          <w:szCs w:val="22"/>
        </w:rPr>
        <w:t xml:space="preserve">só você. A estrutura é toda ferramenta — sem contratação.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2027: </w:t>
      </w:r>
      <w:r>
        <w:rPr>
          <w:sz w:val="22"/>
          <w:szCs w:val="22"/>
        </w:rPr>
        <w:t xml:space="preserve">primeira contratação provável = freela de tráfego (não funcionário). Suporte só se o volume justificar.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8B2655" w:sz="1"/>
          <w:left w:val="single" w:color="8B2655" w:sz="18"/>
          <w:bottom w:val="single" w:color="8B2655" w:sz="1"/>
          <w:right w:val="single" w:color="8B2655" w:sz="1"/>
          <w:insideH w:val="single" w:color="8B2655" w:sz="1"/>
          <w:insideV w:val="single" w:color="8B2655" w:sz="1"/>
        </w:tblBorders>
      </w:tblPr>
      <w:tblGrid>
        <w:gridCol w:w="9360"/>
      </w:tblGrid>
      <w:tr>
        <w:tc>
          <w:tcPr>
            <w:tcW w:type="dxa" w:w="9360"/>
            <w:shd w:fill="FBF5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B2655"/>
                <w:sz w:val="22"/>
                <w:szCs w:val="22"/>
              </w:rPr>
              <w:t xml:space="preserve">Princípio que guia a estrutura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Gastar pouco e fixo em 2026 (Pro + IA ≈ R$ 250/mês), e só abrir custo variável em 2027, quando já existe receita para bancar.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Passo 5 — Prioridades (a ordem dos passos)</w:t>
      </w:r>
    </w:p>
    <w:p>
      <w:pPr>
        <w:spacing w:after="120"/>
      </w:pPr>
      <w:r>
        <w:rPr>
          <w:sz w:val="22"/>
          <w:szCs w:val="22"/>
        </w:rPr>
        <w:t xml:space="preserve">Primeiro proteger e automatizar a base, depois vender no orgânico, e só então ligar a máquina paga.</w:t>
      </w:r>
    </w:p>
    <w:p>
      <w:pPr>
        <w:pStyle w:val="Heading2"/>
      </w:pPr>
      <w:r>
        <w:t xml:space="preserve">2026 — fundação + tração orgânica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Supabase Pro — proteger os dados antes de trazer gente nova (rápido, é só assinar)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Cobrança recorrente automática — parar de vazar receita na renovação manual (dev)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Rotina de prospecção + conteúdo diário — a máquina orgânica que leva de 1 → 25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Programa de indicação rodando forte — pedir indicação em toda venda satisfeita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Estudar tráfego pago (testes pequenos) — chegar pronto em 2027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2027 — escala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Ligar tráfego pago no Meta — canal principal (R$ 1.200/mês), ancorado na dor financeira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Contratar freela de tráfego — se não bater ~R$ 150/cliente sozinho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Fechar parcerias com marcas e micro influenciadoras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Lançar monetização da base (~80+ clientes) — canal opt-in + relatórios anônimos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Lançar a mentoria de gestão — 2ª linha de receita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8B2655" w:sz="1"/>
          <w:left w:val="single" w:color="8B2655" w:sz="18"/>
          <w:bottom w:val="single" w:color="8B2655" w:sz="1"/>
          <w:right w:val="single" w:color="8B2655" w:sz="1"/>
          <w:insideH w:val="single" w:color="8B2655" w:sz="1"/>
          <w:insideV w:val="single" w:color="8B2655" w:sz="1"/>
        </w:tblBorders>
      </w:tblPr>
      <w:tblGrid>
        <w:gridCol w:w="9360"/>
      </w:tblGrid>
      <w:tr>
        <w:tc>
          <w:tcPr>
            <w:tcW w:type="dxa" w:w="9360"/>
            <w:shd w:fill="FBF5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B2655"/>
                <w:sz w:val="22"/>
                <w:szCs w:val="22"/>
              </w:rPr>
              <w:t xml:space="preserve">Regra de ouro da ordem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Nada de 2027 começa antes de 2026 estar de pé. Tráfego pago sem base protegida e sem cobrança automática é construir o telhado antes do alicerce.</w:t>
            </w:r>
          </w:p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Os 3 inadiáveis: 1) Supabase Pro · 2) Cobrança automática · 3) Prospecção diária focada no financeiro.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Passo 6 — Investimento</w:t>
      </w:r>
    </w:p>
    <w:p>
      <w:pPr>
        <w:spacing w:after="120"/>
      </w:pPr>
      <w:r>
        <w:rPr>
          <w:sz w:val="22"/>
          <w:szCs w:val="22"/>
        </w:rPr>
        <w:t xml:space="preserve">Quanto custa, e de onde sai o dinheiro — de preferência, qual % da receita vai para isso.</w:t>
      </w:r>
    </w:p>
    <w:p>
      <w:pPr>
        <w:pStyle w:val="Heading2"/>
      </w:pPr>
      <w:r>
        <w:t xml:space="preserve">Quanto custa — 2026 (baixo e fixo)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</w:tr>
      <w:tr>
        <w:tc>
          <w:tcPr>
            <w:tcW w:type="dxa" w:w="6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3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~R$ 135</w:t>
            </w:r>
          </w:p>
        </w:tc>
      </w:tr>
      <w:tr>
        <w:tc>
          <w:tcPr>
            <w:tcW w:type="dxa" w:w="6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IA (ChatGPT/Claude)</w:t>
            </w:r>
          </w:p>
        </w:tc>
        <w:tc>
          <w:tcPr>
            <w:tcW w:type="dxa" w:w="3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~R$ 110</w:t>
            </w:r>
          </w:p>
        </w:tc>
      </w:tr>
      <w:tr>
        <w:tc>
          <w:tcPr>
            <w:tcW w:type="dxa" w:w="6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~R$ 245/mês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→ ~</w:t>
      </w:r>
      <w:r>
        <w:rPr>
          <w:b/>
          <w:bCs/>
          <w:sz w:val="22"/>
          <w:szCs w:val="22"/>
        </w:rPr>
        <w:t xml:space="preserve">R$ 1.500</w:t>
      </w:r>
      <w:r>
        <w:rPr>
          <w:sz w:val="22"/>
          <w:szCs w:val="22"/>
        </w:rPr>
        <w:t xml:space="preserve"> no semestre (jul–dez). Praticamente simbólico.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Quanto custa — 2027 (entra o custo variável de crescimento)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</w:tr>
      <w:tr>
        <w:tc>
          <w:tcPr>
            <w:tcW w:type="dxa" w:w="6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Supabase Pro + IA</w:t>
            </w:r>
          </w:p>
        </w:tc>
        <w:tc>
          <w:tcPr>
            <w:tcW w:type="dxa" w:w="3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~R$ 245</w:t>
            </w:r>
          </w:p>
        </w:tc>
      </w:tr>
      <w:tr>
        <w:tc>
          <w:tcPr>
            <w:tcW w:type="dxa" w:w="6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Verba de tráfego Meta</w:t>
            </w:r>
          </w:p>
        </w:tc>
        <w:tc>
          <w:tcPr>
            <w:tcW w:type="dxa" w:w="3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~R$ 1.200</w:t>
            </w:r>
          </w:p>
        </w:tc>
      </w:tr>
      <w:tr>
        <w:tc>
          <w:tcPr>
            <w:tcW w:type="dxa" w:w="6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Freela de tráfego</w:t>
            </w:r>
          </w:p>
        </w:tc>
        <w:tc>
          <w:tcPr>
            <w:tcW w:type="dxa" w:w="3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~R$ 1.000</w:t>
            </w:r>
          </w:p>
        </w:tc>
      </w:tr>
      <w:tr>
        <w:tc>
          <w:tcPr>
            <w:tcW w:type="dxa" w:w="60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~R$ 2.445/mês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→ ~</w:t>
      </w:r>
      <w:r>
        <w:rPr>
          <w:b/>
          <w:bCs/>
          <w:sz w:val="22"/>
          <w:szCs w:val="22"/>
        </w:rPr>
        <w:t xml:space="preserve">R$ 29.000</w:t>
      </w:r>
      <w:r>
        <w:rPr>
          <w:sz w:val="22"/>
          <w:szCs w:val="22"/>
        </w:rPr>
        <w:t xml:space="preserve"> no ano.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De onde sai o dinheiro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2026: </w:t>
      </w:r>
      <w:r>
        <w:rPr>
          <w:sz w:val="22"/>
          <w:szCs w:val="22"/>
        </w:rPr>
        <w:t xml:space="preserve">os R$ 245/mês saem do próprio caixa / da receita que já entra (em julho já há R$ 716/mês de MRR cobrindo de sobra). Sem precisar de reserva.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2027: </w:t>
      </w:r>
      <w:r>
        <w:rPr>
          <w:sz w:val="22"/>
          <w:szCs w:val="22"/>
        </w:rPr>
        <w:t xml:space="preserve">da própria receita do Lumen — o negócio se paga. Regra: destinar ~15% do MRR para reinvestir em crescimento.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 conta provando que fecha (2027)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Trimestre</w:t>
            </w:r>
          </w:p>
        </w:tc>
        <w:tc>
          <w:tcPr>
            <w:tcW w:type="dxa" w:w="22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24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15% reinvestido</w:t>
            </w:r>
          </w:p>
        </w:tc>
        <w:tc>
          <w:tcPr>
            <w:tcW w:type="dxa" w:w="29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8B26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 crescimento / Sobra</w:t>
            </w:r>
          </w:p>
        </w:tc>
      </w:tr>
      <w:tr>
        <w:tc>
          <w:tcPr>
            <w:tcW w:type="dxa" w:w="18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Q1</w:t>
            </w:r>
          </w:p>
        </w:tc>
        <w:tc>
          <w:tcPr>
            <w:tcW w:type="dxa" w:w="22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R$ 9.845</w:t>
            </w:r>
          </w:p>
        </w:tc>
        <w:tc>
          <w:tcPr>
            <w:tcW w:type="dxa" w:w="24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R$ 1.477</w:t>
            </w:r>
          </w:p>
        </w:tc>
        <w:tc>
          <w:tcPr>
            <w:tcW w:type="dxa" w:w="29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~R$ 2.445 → falta ~R$ 970</w:t>
            </w:r>
          </w:p>
        </w:tc>
      </w:tr>
      <w:tr>
        <w:tc>
          <w:tcPr>
            <w:tcW w:type="dxa" w:w="18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Q2</w:t>
            </w:r>
          </w:p>
        </w:tc>
        <w:tc>
          <w:tcPr>
            <w:tcW w:type="dxa" w:w="22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R$ 15.215</w:t>
            </w:r>
          </w:p>
        </w:tc>
        <w:tc>
          <w:tcPr>
            <w:tcW w:type="dxa" w:w="24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R$ 2.282</w:t>
            </w:r>
          </w:p>
        </w:tc>
        <w:tc>
          <w:tcPr>
            <w:tcW w:type="dxa" w:w="29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~R$ 2.445 → quase no zero</w:t>
            </w:r>
          </w:p>
        </w:tc>
      </w:tr>
      <w:tr>
        <w:tc>
          <w:tcPr>
            <w:tcW w:type="dxa" w:w="18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Q3</w:t>
            </w:r>
          </w:p>
        </w:tc>
        <w:tc>
          <w:tcPr>
            <w:tcW w:type="dxa" w:w="22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R$ 20.585</w:t>
            </w:r>
          </w:p>
        </w:tc>
        <w:tc>
          <w:tcPr>
            <w:tcW w:type="dxa" w:w="24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R$ 3.088</w:t>
            </w:r>
          </w:p>
        </w:tc>
        <w:tc>
          <w:tcPr>
            <w:tcW w:type="dxa" w:w="29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~R$ 2.445 → sobra R$ 640</w:t>
            </w:r>
          </w:p>
        </w:tc>
      </w:tr>
      <w:tr>
        <w:tc>
          <w:tcPr>
            <w:tcW w:type="dxa" w:w="18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Q4</w:t>
            </w:r>
          </w:p>
        </w:tc>
        <w:tc>
          <w:tcPr>
            <w:tcW w:type="dxa" w:w="22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R$ 25.955</w:t>
            </w:r>
          </w:p>
        </w:tc>
        <w:tc>
          <w:tcPr>
            <w:tcW w:type="dxa" w:w="240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F2933"/>
                <w:sz w:val="20"/>
                <w:szCs w:val="20"/>
              </w:rPr>
              <w:t xml:space="preserve">R$ 3.893</w:t>
            </w:r>
          </w:p>
        </w:tc>
        <w:tc>
          <w:tcPr>
            <w:tcW w:type="dxa" w:w="2960"/>
            <w:tcBorders>
              <w:top w:val="single" w:color="D9C2CC" w:sz="1"/>
              <w:left w:val="single" w:color="D9C2CC" w:sz="1"/>
              <w:bottom w:val="single" w:color="D9C2CC" w:sz="1"/>
              <w:right w:val="single" w:color="D9C2CC" w:sz="1"/>
            </w:tcBorders>
            <w:shd w:fill="F5EE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1F2933"/>
                <w:sz w:val="20"/>
                <w:szCs w:val="20"/>
              </w:rPr>
              <w:t xml:space="preserve">~R$ 2.445 → sobra R$ 1.450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8B2655" w:sz="1"/>
          <w:left w:val="single" w:color="8B2655" w:sz="18"/>
          <w:bottom w:val="single" w:color="8B2655" w:sz="1"/>
          <w:right w:val="single" w:color="8B2655" w:sz="1"/>
          <w:insideH w:val="single" w:color="8B2655" w:sz="1"/>
          <w:insideV w:val="single" w:color="8B2655" w:sz="1"/>
        </w:tblBorders>
      </w:tblPr>
      <w:tblGrid>
        <w:gridCol w:w="9360"/>
      </w:tblGrid>
      <w:tr>
        <w:tc>
          <w:tcPr>
            <w:tcW w:type="dxa" w:w="9360"/>
            <w:shd w:fill="FBF5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B2655"/>
                <w:sz w:val="22"/>
                <w:szCs w:val="22"/>
              </w:rPr>
              <w:t xml:space="preserve">Leitura honesta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No início de 2027 o reinvestimento de 15% ainda não cobre 100% do tráfego + freela. Duas saídas: (a) começar o tráfego mais devagar (ex. R$ 600/mês) e acelerar conforme a receita sobe, ou (b) bancar a diferença (~R$ 1.000/mês no Q1) com uma pequena reserva nos primeiros meses. A partir do Q3 o negócio se paga sozinho e ainda sobra.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8B2655" w:sz="1"/>
          <w:left w:val="single" w:color="8B2655" w:sz="18"/>
          <w:bottom w:val="single" w:color="8B2655" w:sz="1"/>
          <w:right w:val="single" w:color="8B2655" w:sz="1"/>
          <w:insideH w:val="single" w:color="8B2655" w:sz="1"/>
          <w:insideV w:val="single" w:color="8B2655" w:sz="1"/>
        </w:tblBorders>
      </w:tblPr>
      <w:tblGrid>
        <w:gridCol w:w="9360"/>
      </w:tblGrid>
      <w:tr>
        <w:tc>
          <w:tcPr>
            <w:tcW w:type="dxa" w:w="9360"/>
            <w:shd w:fill="FBF5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B2655"/>
                <w:sz w:val="22"/>
                <w:szCs w:val="22"/>
              </w:rPr>
              <w:t xml:space="preserve">Resposta para a mentoria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“O investimento sai da própria receita — destino ~15% do MRR para crescimento. Em 2026 o custo é mínimo (~R$ 245/mês). Em 2027 sobe para ~R$ 2.445/mês (tráfego + freela), começando mais enxuto no 1º trimestre e acelerando conforme o caixa cresce. Não dependo de capital externo.”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Resumo dos 6 passos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Onde chegar: </w:t>
      </w:r>
      <w:r>
        <w:rPr>
          <w:sz w:val="22"/>
          <w:szCs w:val="22"/>
        </w:rPr>
        <w:t xml:space="preserve">25 clientes (2026) → 145 consolidado (2027), R$ 311.460 de ARR.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Como chegar: </w:t>
      </w:r>
      <w:r>
        <w:rPr>
          <w:sz w:val="22"/>
          <w:szCs w:val="22"/>
        </w:rPr>
        <w:t xml:space="preserve">funil com números, foco na dor financeira; orgânico em 2026 + máquina paga em 2027.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Competências: </w:t>
      </w:r>
      <w:r>
        <w:rPr>
          <w:sz w:val="22"/>
          <w:szCs w:val="22"/>
        </w:rPr>
        <w:t xml:space="preserve">forças cobrem 2026; lacunas (tráfego/copy/parcerias) são de 2027.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Estrutura: </w:t>
      </w:r>
      <w:r>
        <w:rPr>
          <w:sz w:val="22"/>
          <w:szCs w:val="22"/>
        </w:rPr>
        <w:t xml:space="preserve">Pro + automação + IA em 2026; verba + freela em 2027.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Prioridades: </w:t>
      </w:r>
      <w:r>
        <w:rPr>
          <w:sz w:val="22"/>
          <w:szCs w:val="22"/>
        </w:rPr>
        <w:t xml:space="preserve">fundação antes de escalar; nada de 2027 antes de 2026 de pé.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Investimento: </w:t>
      </w:r>
      <w:r>
        <w:rPr>
          <w:sz w:val="22"/>
          <w:szCs w:val="22"/>
        </w:rPr>
        <w:t xml:space="preserve">da própria receita, ~15% do MRR; sem capital externo.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2CC" w:sz="4" w:space="6"/>
      </w:pBdr>
      <w:jc w:val="center"/>
    </w:pPr>
    <w:r>
      <w:rPr>
        <w:color w:val="5B6470"/>
        <w:sz w:val="16"/>
        <w:szCs w:val="16"/>
      </w:rPr>
      <w:t xml:space="preserve">Lumen — Estratégia 2026–2027    |    Página </w:t>
    </w:r>
    <w:r>
      <w:rPr>
        <w:color w:val="5B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B2655" w:sz="8" w:space="6"/>
      </w:pBdr>
      <w:spacing w:after="200" w:before="240"/>
      <w:outlineLvl w:val="0"/>
    </w:pPr>
    <w:rPr>
      <w:rFonts w:ascii="Arial" w:cs="Arial" w:eastAsia="Arial" w:hAnsi="Arial"/>
      <w:b/>
      <w:bCs/>
      <w:color w:val="8B265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F29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Estratégia Lumen 2026–2027</dc:title>
  <dc:creator>Lumen</dc:creator>
  <cp:lastModifiedBy>Un-named</cp:lastModifiedBy>
  <cp:revision>1</cp:revision>
  <dcterms:created xsi:type="dcterms:W3CDTF">2026-06-17T03:40:14.853Z</dcterms:created>
  <dcterms:modified xsi:type="dcterms:W3CDTF">2026-06-17T03:40:14.855Z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