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highlight w:val="white"/>
          <w:rtl w:val="0"/>
        </w:rPr>
        <w:t xml:space="preserve">Dr. Larsens,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At this point I have not done all that much since our meeting on Tuesday. I have looked over the code Dr. Wayne Larsen sent me and I am generally understanding it. However, the code attempts to load a few data sets from a LARC folder that were not included in the folder you uploaded, if you still have them it would help to have access to them so I can use an example with the code.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Other than reviewing that code I have been writing the posterior LARC function for the Mosteller model. I was able to set it up and get it to work with all of the other functions I previously wrote. I did however have to change some of the older functions to allow this functionality. The only thing you need to know about these changes is that I added a matrix variable to the data frame created by the data.configure function named WinsVersus that lists how many times each team has won against each other team.</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I also renamed the file "BradleyTerryLARC.R" to "LARCFunctions.R" within it is the Mosteller Model function. Two things to note about that function is that the optimizations do not seem to work for any of the data sets with it and I have not yet checked it with simple scenarios.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Before we meet next Tuesday I will begin the following things: working on the new optimization function, calculating by hand some simple scenarios and check if the Mosteller function is accurately calculating the posterior, and coding the simulation we came up with last Tuesday. </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That's all. Let me know if there is anything else I should do before we meet again.</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Tanner Johnson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