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8E919">
      <w:pPr>
        <w:spacing w:beforeAutospacing="1"/>
        <w:jc w:val="center"/>
        <w:rPr>
          <w:rFonts w:ascii="Times New Roman" w:hAnsi="Times New Roman" w:eastAsia="楷体_GB2312" w:cs="Times New Roman"/>
          <w:b/>
          <w:sz w:val="44"/>
          <w:szCs w:val="44"/>
        </w:rPr>
      </w:pPr>
      <w:r>
        <w:rPr>
          <w:rFonts w:ascii="楷体_GB2312" w:hAnsi="Times New Roman" w:eastAsia="楷体_GB2312" w:cs="楷体_GB2312"/>
          <w:b/>
          <w:sz w:val="44"/>
          <w:szCs w:val="44"/>
          <w:lang w:bidi="ar"/>
        </w:rPr>
        <w:t>暨南大学本科实验报告专用纸</w:t>
      </w:r>
    </w:p>
    <w:p w14:paraId="63133082">
      <w:pPr>
        <w:spacing w:beforeAutospacing="1"/>
        <w:rPr>
          <w:rFonts w:ascii="Times New Roman" w:hAnsi="Times New Roman" w:eastAsia="楷体_GB2312" w:cs="Times New Roman"/>
          <w:sz w:val="28"/>
          <w:szCs w:val="28"/>
        </w:rPr>
      </w:pPr>
      <w:r>
        <w:rPr>
          <w:rFonts w:ascii="楷体_GB2312" w:hAnsi="Times New Roman" w:eastAsia="楷体_GB2312" w:cs="楷体_GB2312"/>
          <w:sz w:val="28"/>
          <w:szCs w:val="28"/>
          <w:lang w:bidi="ar"/>
        </w:rPr>
        <w:t>课程名称</w:t>
      </w:r>
      <w:r>
        <w:rPr>
          <w:rFonts w:ascii="Times New Roman" w:hAnsi="Times New Roman" w:eastAsia="楷体_GB2312" w:cs="Times New Roman"/>
          <w:sz w:val="28"/>
          <w:szCs w:val="28"/>
          <w:u w:val="single"/>
          <w:lang w:bidi="ar"/>
        </w:rPr>
        <w:t xml:space="preserve">    </w:t>
      </w:r>
      <w:r>
        <w:rPr>
          <w:rFonts w:hint="eastAsia" w:ascii="Times New Roman" w:hAnsi="Times New Roman" w:eastAsia="楷体_GB2312" w:cs="Times New Roman"/>
          <w:sz w:val="28"/>
          <w:szCs w:val="28"/>
          <w:u w:val="single"/>
          <w:lang w:val="en-US" w:eastAsia="zh-CN" w:bidi="ar"/>
        </w:rPr>
        <w:t>计算机视觉</w:t>
      </w:r>
      <w:r>
        <w:rPr>
          <w:rFonts w:ascii="楷体_GB2312" w:hAnsi="Times New Roman" w:eastAsia="楷体_GB2312" w:cs="楷体_GB2312"/>
          <w:sz w:val="28"/>
          <w:szCs w:val="28"/>
          <w:u w:val="single"/>
          <w:lang w:bidi="ar"/>
        </w:rPr>
        <w:t>实验</w:t>
      </w:r>
      <w:r>
        <w:rPr>
          <w:rFonts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lang w:bidi="ar"/>
        </w:rPr>
        <w:t>成绩评定</w:t>
      </w:r>
      <w:r>
        <w:rPr>
          <w:rFonts w:ascii="Times New Roman" w:hAnsi="Times New Roman" w:eastAsia="楷体_GB2312" w:cs="Times New Roman"/>
          <w:sz w:val="28"/>
          <w:szCs w:val="28"/>
          <w:u w:val="single"/>
          <w:lang w:bidi="ar"/>
        </w:rPr>
        <w:t xml:space="preserve">            </w:t>
      </w:r>
    </w:p>
    <w:p w14:paraId="02B1190B">
      <w:pPr>
        <w:spacing w:beforeAutospacing="1"/>
        <w:rPr>
          <w:rFonts w:ascii="Times New Roman" w:hAnsi="Times New Roman" w:eastAsia="楷体_GB2312" w:cs="Times New Roman"/>
          <w:sz w:val="28"/>
          <w:szCs w:val="28"/>
          <w:u w:val="single"/>
          <w:lang w:bidi="ar"/>
        </w:rPr>
      </w:pPr>
      <w:r>
        <w:rPr>
          <w:rFonts w:ascii="楷体_GB2312" w:hAnsi="Times New Roman" w:eastAsia="楷体_GB2312" w:cs="楷体_GB2312"/>
          <w:sz w:val="28"/>
          <w:szCs w:val="28"/>
          <w:lang w:bidi="ar"/>
        </w:rPr>
        <w:t>实验项目名称</w:t>
      </w:r>
      <w:r>
        <w:rPr>
          <w:rFonts w:ascii="Times New Roman" w:hAnsi="Times New Roman" w:eastAsia="楷体_GB2312" w:cs="Times New Roman"/>
          <w:sz w:val="28"/>
          <w:szCs w:val="28"/>
          <w:u w:val="single"/>
          <w:lang w:bidi="ar"/>
        </w:rPr>
        <w:t xml:space="preserve"> </w:t>
      </w:r>
      <w:r>
        <w:rPr>
          <w:rFonts w:hint="eastAsia" w:ascii="Times New Roman" w:hAnsi="Times New Roman" w:eastAsia="楷体_GB2312" w:cs="Times New Roman"/>
          <w:sz w:val="28"/>
          <w:szCs w:val="28"/>
          <w:u w:val="single"/>
          <w:lang w:bidi="ar"/>
        </w:rPr>
        <w:t>基于 MediaPipe Pose 与骨架序列 Transformer 的羽毛球击球动作识别</w:t>
      </w:r>
      <w:r>
        <w:rPr>
          <w:rFonts w:ascii="Times New Roman" w:hAnsi="Times New Roman" w:eastAsia="楷体_GB2312" w:cs="Times New Roman"/>
          <w:sz w:val="28"/>
          <w:szCs w:val="28"/>
          <w:u w:val="single"/>
          <w:lang w:bidi="ar"/>
        </w:rPr>
        <w:t xml:space="preserve">  </w:t>
      </w:r>
      <w:r>
        <w:rPr>
          <w:rFonts w:hint="eastAsia" w:ascii="Times New Roman" w:hAnsi="Times New Roman" w:eastAsia="楷体_GB2312" w:cs="Times New Roman"/>
          <w:sz w:val="28"/>
          <w:szCs w:val="28"/>
          <w:u w:val="single"/>
          <w:lang w:bidi="ar"/>
        </w:rPr>
        <w:t xml:space="preserve">                       </w:t>
      </w:r>
      <w:r>
        <w:rPr>
          <w:rFonts w:ascii="Times New Roman" w:hAnsi="Times New Roman" w:eastAsia="楷体_GB2312" w:cs="Times New Roman"/>
          <w:sz w:val="28"/>
          <w:szCs w:val="28"/>
          <w:u w:val="single"/>
          <w:lang w:bidi="ar"/>
        </w:rPr>
        <w:t xml:space="preserve">    </w:t>
      </w:r>
    </w:p>
    <w:p w14:paraId="7238CF8E">
      <w:pPr>
        <w:spacing w:beforeAutospacing="1"/>
        <w:rPr>
          <w:rFonts w:ascii="Times New Roman" w:hAnsi="Times New Roman" w:eastAsia="楷体_GB2312" w:cs="Times New Roman"/>
          <w:sz w:val="28"/>
          <w:szCs w:val="28"/>
        </w:rPr>
      </w:pPr>
      <w:r>
        <w:rPr>
          <w:rFonts w:ascii="楷体_GB2312" w:hAnsi="Times New Roman" w:eastAsia="楷体_GB2312" w:cs="楷体_GB2312"/>
          <w:sz w:val="28"/>
          <w:szCs w:val="28"/>
          <w:lang w:bidi="ar"/>
        </w:rPr>
        <w:t>指导教师</w:t>
      </w:r>
      <w:r>
        <w:rPr>
          <w:rFonts w:ascii="Times New Roman" w:hAnsi="Times New Roman" w:eastAsia="楷体_GB2312" w:cs="Times New Roman"/>
          <w:sz w:val="28"/>
          <w:szCs w:val="28"/>
          <w:u w:val="single"/>
          <w:lang w:bidi="ar"/>
        </w:rPr>
        <w:t xml:space="preserve">    </w:t>
      </w:r>
      <w:r>
        <w:rPr>
          <w:rFonts w:hint="eastAsia" w:ascii="Times New Roman" w:hAnsi="Times New Roman" w:eastAsia="楷体_GB2312" w:cs="Times New Roman"/>
          <w:sz w:val="28"/>
          <w:szCs w:val="28"/>
          <w:u w:val="single"/>
          <w:lang w:val="en-US" w:eastAsia="zh-CN" w:bidi="ar"/>
        </w:rPr>
        <w:t>赵乘骥</w:t>
      </w:r>
      <w:r>
        <w:rPr>
          <w:rFonts w:ascii="Times New Roman" w:hAnsi="Times New Roman" w:eastAsia="楷体_GB2312" w:cs="Times New Roman"/>
          <w:sz w:val="28"/>
          <w:szCs w:val="28"/>
          <w:u w:val="single"/>
          <w:lang w:bidi="ar"/>
        </w:rPr>
        <w:t xml:space="preserve">        </w:t>
      </w:r>
    </w:p>
    <w:p w14:paraId="087F5CBF">
      <w:pPr>
        <w:spacing w:beforeAutospacing="1"/>
        <w:rPr>
          <w:rFonts w:ascii="Times New Roman" w:hAnsi="Times New Roman" w:eastAsia="楷体_GB2312" w:cs="Times New Roman"/>
          <w:sz w:val="28"/>
          <w:szCs w:val="28"/>
          <w:u w:val="single"/>
        </w:rPr>
      </w:pPr>
      <w:r>
        <w:rPr>
          <w:rFonts w:ascii="楷体_GB2312" w:hAnsi="Times New Roman" w:eastAsia="楷体_GB2312" w:cs="楷体_GB2312"/>
          <w:sz w:val="28"/>
          <w:szCs w:val="28"/>
          <w:lang w:bidi="ar"/>
        </w:rPr>
        <w:t>实验项目编号</w:t>
      </w:r>
      <w:r>
        <w:rPr>
          <w:rFonts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lang w:bidi="ar"/>
        </w:rPr>
        <w:t>实验项目类型</w:t>
      </w:r>
      <w:r>
        <w:rPr>
          <w:rFonts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lang w:bidi="ar"/>
        </w:rPr>
        <w:t>实验地点</w:t>
      </w:r>
      <w:r>
        <w:rPr>
          <w:rFonts w:ascii="Times New Roman" w:hAnsi="Times New Roman" w:eastAsia="楷体_GB2312" w:cs="Times New Roman"/>
          <w:sz w:val="28"/>
          <w:szCs w:val="28"/>
          <w:u w:val="single"/>
          <w:lang w:bidi="ar"/>
        </w:rPr>
        <w:t xml:space="preserve">       </w:t>
      </w:r>
    </w:p>
    <w:p w14:paraId="1915BD11">
      <w:pPr>
        <w:spacing w:beforeAutospacing="1"/>
        <w:rPr>
          <w:rFonts w:ascii="Times New Roman" w:hAnsi="Times New Roman" w:eastAsia="楷体_GB2312" w:cs="Times New Roman"/>
          <w:sz w:val="28"/>
          <w:szCs w:val="28"/>
          <w:u w:val="single"/>
        </w:rPr>
      </w:pPr>
      <w:r>
        <w:rPr>
          <w:rFonts w:ascii="楷体_GB2312" w:hAnsi="Times New Roman" w:eastAsia="楷体_GB2312" w:cs="楷体_GB2312"/>
          <w:sz w:val="28"/>
          <w:szCs w:val="28"/>
          <w:lang w:bidi="ar"/>
        </w:rPr>
        <w:t>学生姓名</w:t>
      </w:r>
      <w:r>
        <w:rPr>
          <w:rFonts w:ascii="Times New Roman" w:hAnsi="Times New Roman" w:eastAsia="楷体_GB2312" w:cs="Times New Roman"/>
          <w:sz w:val="28"/>
          <w:szCs w:val="28"/>
          <w:u w:val="single"/>
          <w:lang w:bidi="ar"/>
        </w:rPr>
        <w:t xml:space="preserve">   </w:t>
      </w:r>
      <w:r>
        <w:rPr>
          <w:rFonts w:hint="eastAsia" w:ascii="Times New Roman" w:hAnsi="Times New Roman" w:eastAsia="楷体_GB2312" w:cs="Times New Roman"/>
          <w:sz w:val="28"/>
          <w:szCs w:val="28"/>
          <w:u w:val="single"/>
          <w:lang w:val="en-US" w:eastAsia="zh-CN" w:bidi="ar"/>
        </w:rPr>
        <w:t>普蕊</w:t>
      </w:r>
      <w:r>
        <w:rPr>
          <w:rFonts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lang w:bidi="ar"/>
        </w:rPr>
        <w:t>学号</w:t>
      </w:r>
      <w:r>
        <w:rPr>
          <w:rFonts w:ascii="Times New Roman" w:hAnsi="Times New Roman" w:eastAsia="楷体_GB2312" w:cs="Times New Roman"/>
          <w:sz w:val="28"/>
          <w:szCs w:val="28"/>
          <w:u w:val="single"/>
          <w:lang w:bidi="ar"/>
        </w:rPr>
        <w:t xml:space="preserve">  202210</w:t>
      </w:r>
      <w:r>
        <w:rPr>
          <w:rFonts w:hint="eastAsia" w:ascii="Times New Roman" w:hAnsi="Times New Roman" w:eastAsia="楷体_GB2312" w:cs="Times New Roman"/>
          <w:sz w:val="28"/>
          <w:szCs w:val="28"/>
          <w:u w:val="single"/>
          <w:lang w:val="en-US" w:eastAsia="zh-CN" w:bidi="ar"/>
        </w:rPr>
        <w:t>3622</w:t>
      </w:r>
      <w:r>
        <w:rPr>
          <w:rFonts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lang w:bidi="ar"/>
        </w:rPr>
        <w:t>组号</w:t>
      </w:r>
      <w:r>
        <w:rPr>
          <w:rFonts w:ascii="Times New Roman" w:hAnsi="Times New Roman" w:eastAsia="楷体_GB2312" w:cs="Times New Roman"/>
          <w:sz w:val="28"/>
          <w:szCs w:val="28"/>
          <w:u w:val="single"/>
          <w:lang w:bidi="ar"/>
        </w:rPr>
        <w:t xml:space="preserve">             </w:t>
      </w:r>
      <w:r>
        <w:rPr>
          <w:rFonts w:hint="eastAsia" w:ascii="Times New Roman" w:hAnsi="Times New Roman" w:eastAsia="楷体_GB2312" w:cs="Times New Roman"/>
          <w:sz w:val="28"/>
          <w:szCs w:val="28"/>
          <w:u w:val="single"/>
          <w:lang w:bidi="ar"/>
        </w:rPr>
        <w:t xml:space="preserve">  </w:t>
      </w:r>
      <w:r>
        <w:rPr>
          <w:rFonts w:ascii="Times New Roman" w:hAnsi="Times New Roman" w:eastAsia="楷体_GB2312" w:cs="Times New Roman"/>
          <w:sz w:val="28"/>
          <w:szCs w:val="28"/>
          <w:u w:val="single"/>
          <w:lang w:bidi="ar"/>
        </w:rPr>
        <w:t xml:space="preserve">  </w:t>
      </w:r>
    </w:p>
    <w:p w14:paraId="7202F90F">
      <w:pPr>
        <w:spacing w:beforeAutospacing="1"/>
        <w:rPr>
          <w:rFonts w:ascii="Times New Roman" w:hAnsi="Times New Roman" w:eastAsia="楷体_GB2312" w:cs="Times New Roman"/>
          <w:sz w:val="28"/>
          <w:szCs w:val="28"/>
          <w:u w:val="single"/>
        </w:rPr>
      </w:pPr>
      <w:r>
        <w:rPr>
          <w:rFonts w:ascii="楷体_GB2312" w:hAnsi="Times New Roman" w:eastAsia="楷体_GB2312" w:cs="楷体_GB2312"/>
          <w:sz w:val="28"/>
          <w:szCs w:val="28"/>
          <w:lang w:bidi="ar"/>
        </w:rPr>
        <w:t>学院</w:t>
      </w:r>
      <w:r>
        <w:rPr>
          <w:rFonts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u w:val="single"/>
          <w:lang w:bidi="ar"/>
        </w:rPr>
        <w:t>国际能源学院</w:t>
      </w:r>
      <w:r>
        <w:rPr>
          <w:rFonts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lang w:bidi="ar"/>
        </w:rPr>
        <w:t>系</w:t>
      </w:r>
      <w:r>
        <w:rPr>
          <w:rFonts w:ascii="Times New Roman" w:hAnsi="Times New Roman" w:eastAsia="楷体_GB2312" w:cs="Times New Roman"/>
          <w:sz w:val="28"/>
          <w:szCs w:val="28"/>
          <w:u w:val="single"/>
          <w:lang w:bidi="ar"/>
        </w:rPr>
        <w:t xml:space="preserve">          </w:t>
      </w:r>
      <w:r>
        <w:rPr>
          <w:rFonts w:hint="eastAsia"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lang w:bidi="ar"/>
        </w:rPr>
        <w:t>专业</w:t>
      </w:r>
      <w:r>
        <w:rPr>
          <w:rFonts w:ascii="Times New Roman" w:hAnsi="Times New Roman" w:eastAsia="楷体_GB2312" w:cs="Times New Roman"/>
          <w:sz w:val="28"/>
          <w:szCs w:val="28"/>
          <w:u w:val="single"/>
          <w:lang w:bidi="ar"/>
        </w:rPr>
        <w:t xml:space="preserve"> </w:t>
      </w:r>
      <w:r>
        <w:rPr>
          <w:rFonts w:hint="eastAsia" w:ascii="Times New Roman" w:hAnsi="Times New Roman" w:eastAsia="楷体_GB2312" w:cs="Times New Roman"/>
          <w:sz w:val="28"/>
          <w:szCs w:val="28"/>
          <w:u w:val="single"/>
          <w:lang w:val="en-US" w:eastAsia="zh-CN" w:bidi="ar"/>
        </w:rPr>
        <w:t>自动</w:t>
      </w:r>
      <w:r>
        <w:rPr>
          <w:rFonts w:ascii="楷体_GB2312" w:hAnsi="Times New Roman" w:eastAsia="楷体_GB2312" w:cs="楷体_GB2312"/>
          <w:sz w:val="28"/>
          <w:szCs w:val="28"/>
          <w:u w:val="single"/>
          <w:lang w:bidi="ar"/>
        </w:rPr>
        <w:t>化</w:t>
      </w:r>
      <w:r>
        <w:rPr>
          <w:rFonts w:ascii="Times New Roman" w:hAnsi="Times New Roman" w:eastAsia="楷体_GB2312" w:cs="Times New Roman"/>
          <w:sz w:val="28"/>
          <w:szCs w:val="28"/>
          <w:u w:val="single"/>
          <w:lang w:bidi="ar"/>
        </w:rPr>
        <w:t xml:space="preserve"> </w:t>
      </w:r>
    </w:p>
    <w:p w14:paraId="7719A404">
      <w:pPr>
        <w:spacing w:beforeAutospacing="1"/>
        <w:rPr>
          <w:rFonts w:ascii="Times New Roman" w:hAnsi="Times New Roman" w:eastAsia="楷体_GB2312" w:cs="Times New Roman"/>
          <w:sz w:val="28"/>
          <w:szCs w:val="28"/>
        </w:rPr>
      </w:pPr>
      <w:r>
        <w:rPr>
          <w:rFonts w:ascii="楷体_GB2312" w:hAnsi="Times New Roman" w:eastAsia="楷体_GB2312" w:cs="楷体_GB2312"/>
          <w:sz w:val="28"/>
          <w:szCs w:val="28"/>
          <w:lang w:bidi="ar"/>
        </w:rPr>
        <w:t>实验时间</w:t>
      </w:r>
      <w:r>
        <w:rPr>
          <w:rFonts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lang w:bidi="ar"/>
        </w:rPr>
        <w:t>年</w:t>
      </w:r>
      <w:r>
        <w:rPr>
          <w:rFonts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lang w:bidi="ar"/>
        </w:rPr>
        <w:t>月</w:t>
      </w:r>
      <w:r>
        <w:rPr>
          <w:rFonts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lang w:bidi="ar"/>
        </w:rPr>
        <w:t>日</w:t>
      </w:r>
      <w:r>
        <w:rPr>
          <w:rFonts w:ascii="Times New Roman" w:hAnsi="Times New Roman" w:eastAsia="楷体_GB2312" w:cs="Times New Roman"/>
          <w:sz w:val="28"/>
          <w:szCs w:val="28"/>
          <w:lang w:bidi="ar"/>
        </w:rPr>
        <w:t xml:space="preserve"> </w:t>
      </w:r>
      <w:r>
        <w:rPr>
          <w:rFonts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lang w:bidi="ar"/>
        </w:rPr>
        <w:t>午～</w:t>
      </w:r>
      <w:r>
        <w:rPr>
          <w:rFonts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lang w:bidi="ar"/>
        </w:rPr>
        <w:t>月</w:t>
      </w:r>
      <w:r>
        <w:rPr>
          <w:rFonts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lang w:bidi="ar"/>
        </w:rPr>
        <w:t>日</w:t>
      </w:r>
      <w:r>
        <w:rPr>
          <w:rFonts w:ascii="Times New Roman" w:hAnsi="Times New Roman" w:eastAsia="楷体_GB2312" w:cs="Times New Roman"/>
          <w:sz w:val="28"/>
          <w:szCs w:val="28"/>
          <w:lang w:bidi="ar"/>
        </w:rPr>
        <w:t xml:space="preserve"> </w:t>
      </w:r>
      <w:r>
        <w:rPr>
          <w:rFonts w:ascii="Times New Roman" w:hAnsi="Times New Roman" w:eastAsia="楷体_GB2312" w:cs="Times New Roman"/>
          <w:sz w:val="28"/>
          <w:szCs w:val="28"/>
          <w:u w:val="single"/>
          <w:lang w:bidi="ar"/>
        </w:rPr>
        <w:t xml:space="preserve">  </w:t>
      </w:r>
      <w:r>
        <w:rPr>
          <w:rFonts w:ascii="楷体_GB2312" w:hAnsi="Times New Roman" w:eastAsia="楷体_GB2312" w:cs="楷体_GB2312"/>
          <w:sz w:val="28"/>
          <w:szCs w:val="28"/>
          <w:lang w:bidi="ar"/>
        </w:rPr>
        <w:t>午</w:t>
      </w:r>
      <w:r>
        <w:rPr>
          <w:rFonts w:ascii="Times New Roman" w:hAnsi="Times New Roman" w:eastAsia="楷体_GB2312" w:cs="Times New Roman"/>
          <w:sz w:val="28"/>
          <w:szCs w:val="28"/>
          <w:lang w:bidi="ar"/>
        </w:rPr>
        <w:t xml:space="preserve"> </w:t>
      </w:r>
      <w:r>
        <w:rPr>
          <w:rFonts w:ascii="楷体_GB2312" w:hAnsi="Times New Roman" w:eastAsia="楷体_GB2312" w:cs="楷体_GB2312"/>
          <w:sz w:val="28"/>
          <w:szCs w:val="28"/>
          <w:lang w:bidi="ar"/>
        </w:rPr>
        <w:t>温度</w:t>
      </w:r>
      <w:r>
        <w:rPr>
          <w:rFonts w:ascii="Times New Roman" w:hAnsi="Times New Roman" w:eastAsia="楷体_GB2312" w:cs="Times New Roman"/>
          <w:sz w:val="28"/>
          <w:szCs w:val="28"/>
          <w:u w:val="single"/>
          <w:lang w:bidi="ar"/>
        </w:rPr>
        <w:t xml:space="preserve">  </w:t>
      </w:r>
      <w:r>
        <w:rPr>
          <w:rFonts w:ascii="Times New Roman" w:hAnsi="Times New Roman" w:eastAsia="楷体_GB2312" w:cs="Times New Roman"/>
          <w:sz w:val="28"/>
          <w:szCs w:val="28"/>
          <w:lang w:bidi="ar"/>
        </w:rPr>
        <w:t>℃</w:t>
      </w:r>
      <w:r>
        <w:rPr>
          <w:rFonts w:ascii="楷体_GB2312" w:hAnsi="Times New Roman" w:eastAsia="楷体_GB2312" w:cs="楷体_GB2312"/>
          <w:sz w:val="28"/>
          <w:szCs w:val="28"/>
          <w:lang w:bidi="ar"/>
        </w:rPr>
        <w:t>湿度</w:t>
      </w:r>
      <w:r>
        <w:rPr>
          <w:rFonts w:ascii="Times New Roman" w:hAnsi="Times New Roman" w:eastAsia="楷体_GB2312" w:cs="Times New Roman"/>
          <w:sz w:val="28"/>
          <w:szCs w:val="28"/>
          <w:u w:val="single"/>
          <w:lang w:bidi="ar"/>
        </w:rPr>
        <w:t xml:space="preserve">     </w:t>
      </w:r>
    </w:p>
    <w:p w14:paraId="0EE91952">
      <w:pPr>
        <w:pStyle w:val="2"/>
        <w:bidi w:val="0"/>
        <w:rPr>
          <w:rFonts w:hint="default"/>
          <w:lang w:val="en-US" w:eastAsia="zh-CN"/>
        </w:rPr>
      </w:pPr>
      <w:r>
        <w:rPr>
          <w:rFonts w:hint="default"/>
          <w:lang w:val="en-US" w:eastAsia="zh-CN"/>
        </w:rPr>
        <w:t>一、引言</w:t>
      </w:r>
    </w:p>
    <w:p w14:paraId="1B9823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羽毛球击球动作识别是体育视频分析中的一项重要任务，可用于运动员技术评估、战术统计与训练辅助。传统方法依赖原始视频卷积神经网络（3D CNN 或 Video Transformer），计算量大且需要大量标注数据。本实验采用轻量化骨架序列 Transformer 方案，利用 MediaPipe Pose 提取人体关键点，将动作识别转化为时间序列分类问题，在有限计算资源下实现高效准确的击球动作识别。</w:t>
      </w:r>
    </w:p>
    <w:p w14:paraId="760774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本实验基于 Kaggle 公开数据集 badminton_storke_video，包含 6 类羽毛球击球动作，完成了从视频预处理、骨架提取、序列建模到模型训练、测试与推理的全流程。</w:t>
      </w:r>
    </w:p>
    <w:p w14:paraId="08301106">
      <w:pPr>
        <w:pStyle w:val="2"/>
        <w:bidi w:val="0"/>
        <w:rPr>
          <w:rFonts w:hint="default"/>
          <w:lang w:val="en-US" w:eastAsia="zh-CN"/>
        </w:rPr>
      </w:pPr>
      <w:r>
        <w:rPr>
          <w:rFonts w:hint="default"/>
          <w:lang w:val="en-US" w:eastAsia="zh-CN"/>
        </w:rPr>
        <w:t>二、数据集说明</w:t>
      </w:r>
    </w:p>
    <w:p w14:paraId="659F7407">
      <w:pPr>
        <w:pStyle w:val="3"/>
        <w:bidi w:val="0"/>
        <w:rPr>
          <w:rFonts w:hint="default"/>
          <w:lang w:val="en-US" w:eastAsia="zh-CN"/>
        </w:rPr>
      </w:pPr>
      <w:r>
        <w:rPr>
          <w:rFonts w:hint="default"/>
          <w:lang w:val="en-US" w:eastAsia="zh-CN"/>
        </w:rPr>
        <w:t>2.1 数据集来源</w:t>
      </w:r>
    </w:p>
    <w:p w14:paraId="12FD6193">
      <w:pPr>
        <w:bidi w:val="0"/>
        <w:rPr>
          <w:rFonts w:hint="default"/>
          <w:lang w:val="en-US" w:eastAsia="zh-CN"/>
        </w:rPr>
      </w:pPr>
      <w:r>
        <w:rPr>
          <w:rFonts w:hint="default"/>
          <w:lang w:val="en-US" w:eastAsia="zh-CN"/>
        </w:rPr>
        <w:t>名称：badminton_storke_video (Kaggle)</w:t>
      </w:r>
    </w:p>
    <w:p w14:paraId="78C64C9F">
      <w:pPr>
        <w:bidi w:val="0"/>
        <w:rPr>
          <w:rFonts w:hint="default"/>
          <w:lang w:val="en-US" w:eastAsia="zh-CN"/>
        </w:rPr>
      </w:pPr>
      <w:r>
        <w:rPr>
          <w:rFonts w:hint="default"/>
          <w:lang w:val="en-US" w:eastAsia="zh-CN"/>
        </w:rPr>
        <w:t>链接：https://www.kaggle.com/datasets/shenhuichang/badminton-storke-video</w:t>
      </w:r>
    </w:p>
    <w:p w14:paraId="3317B880">
      <w:pPr>
        <w:pStyle w:val="3"/>
        <w:bidi w:val="0"/>
        <w:rPr>
          <w:rFonts w:hint="default"/>
          <w:lang w:val="en-US" w:eastAsia="zh-CN"/>
        </w:rPr>
      </w:pPr>
      <w:r>
        <w:rPr>
          <w:rFonts w:hint="default"/>
          <w:lang w:val="en-US" w:eastAsia="zh-CN"/>
        </w:rPr>
        <w:t>2.2 类别分布</w:t>
      </w:r>
    </w:p>
    <w:tbl>
      <w:tblPr>
        <w:tblW w:w="835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82"/>
        <w:gridCol w:w="3991"/>
        <w:gridCol w:w="2386"/>
      </w:tblGrid>
      <w:tr w14:paraId="3EF74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nil"/>
            </w:tcBorders>
            <w:shd w:val="clear" w:color="auto" w:fill="FFFFFF"/>
            <w:tcMar>
              <w:top w:w="120" w:type="dxa"/>
              <w:left w:w="0" w:type="dxa"/>
              <w:bottom w:w="120" w:type="dxa"/>
              <w:right w:w="192" w:type="dxa"/>
            </w:tcMar>
            <w:vAlign w:val="center"/>
          </w:tcPr>
          <w:p w14:paraId="2F8DFCC7">
            <w:pPr>
              <w:bidi w:val="0"/>
            </w:pPr>
            <w:r>
              <w:rPr>
                <w:rFonts w:hint="default"/>
                <w:lang w:val="en-US" w:eastAsia="zh-CN"/>
              </w:rPr>
              <w:t>类别编号</w:t>
            </w:r>
          </w:p>
        </w:tc>
        <w:tc>
          <w:tcPr>
            <w:tcW w:w="0" w:type="auto"/>
            <w:tcBorders>
              <w:top w:val="nil"/>
            </w:tcBorders>
            <w:shd w:val="clear" w:color="auto" w:fill="FFFFFF"/>
            <w:tcMar>
              <w:top w:w="120" w:type="dxa"/>
              <w:left w:w="192" w:type="dxa"/>
              <w:bottom w:w="120" w:type="dxa"/>
              <w:right w:w="192" w:type="dxa"/>
            </w:tcMar>
            <w:vAlign w:val="center"/>
          </w:tcPr>
          <w:p w14:paraId="54758995">
            <w:pPr>
              <w:bidi w:val="0"/>
              <w:rPr>
                <w:rFonts w:hint="default"/>
              </w:rPr>
            </w:pPr>
            <w:r>
              <w:rPr>
                <w:rFonts w:hint="default"/>
                <w:lang w:val="en-US" w:eastAsia="zh-CN"/>
              </w:rPr>
              <w:t>英文类别</w:t>
            </w:r>
          </w:p>
        </w:tc>
        <w:tc>
          <w:tcPr>
            <w:tcW w:w="0" w:type="auto"/>
            <w:tcBorders>
              <w:top w:val="nil"/>
            </w:tcBorders>
            <w:shd w:val="clear" w:color="auto" w:fill="FFFFFF"/>
            <w:tcMar>
              <w:top w:w="120" w:type="dxa"/>
              <w:left w:w="192" w:type="dxa"/>
              <w:bottom w:w="120" w:type="dxa"/>
              <w:right w:w="192" w:type="dxa"/>
            </w:tcMar>
            <w:vAlign w:val="center"/>
          </w:tcPr>
          <w:p w14:paraId="3FEA1CFB">
            <w:pPr>
              <w:bidi w:val="0"/>
              <w:rPr>
                <w:rFonts w:hint="default"/>
              </w:rPr>
            </w:pPr>
            <w:r>
              <w:rPr>
                <w:rFonts w:hint="default"/>
                <w:lang w:val="en-US" w:eastAsia="zh-CN"/>
              </w:rPr>
              <w:t>中文说明</w:t>
            </w:r>
          </w:p>
        </w:tc>
      </w:tr>
      <w:tr w14:paraId="31C52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20" w:type="dxa"/>
              <w:left w:w="0" w:type="dxa"/>
              <w:bottom w:w="120" w:type="dxa"/>
              <w:right w:w="192" w:type="dxa"/>
            </w:tcMar>
            <w:vAlign w:val="center"/>
          </w:tcPr>
          <w:p w14:paraId="07E6FD52">
            <w:pPr>
              <w:bidi w:val="0"/>
              <w:rPr>
                <w:rFonts w:hint="default"/>
              </w:rPr>
            </w:pPr>
            <w:r>
              <w:rPr>
                <w:rFonts w:hint="default"/>
                <w:lang w:val="en-US" w:eastAsia="zh-CN"/>
              </w:rPr>
              <w:t>0</w:t>
            </w:r>
          </w:p>
        </w:tc>
        <w:tc>
          <w:tcPr>
            <w:tcW w:w="0" w:type="auto"/>
            <w:shd w:val="clear" w:color="auto" w:fill="FFFFFF"/>
            <w:tcMar>
              <w:top w:w="120" w:type="dxa"/>
              <w:left w:w="192" w:type="dxa"/>
              <w:bottom w:w="120" w:type="dxa"/>
              <w:right w:w="192" w:type="dxa"/>
            </w:tcMar>
            <w:vAlign w:val="center"/>
          </w:tcPr>
          <w:p w14:paraId="673C5B6E">
            <w:pPr>
              <w:bidi w:val="0"/>
              <w:rPr>
                <w:rFonts w:hint="default"/>
              </w:rPr>
            </w:pPr>
            <w:r>
              <w:rPr>
                <w:rFonts w:hint="default"/>
                <w:lang w:val="en-US" w:eastAsia="zh-CN"/>
              </w:rPr>
              <w:t>forehand_drive</w:t>
            </w:r>
          </w:p>
        </w:tc>
        <w:tc>
          <w:tcPr>
            <w:tcW w:w="0" w:type="auto"/>
            <w:shd w:val="clear" w:color="auto" w:fill="FFFFFF"/>
            <w:tcMar>
              <w:top w:w="120" w:type="dxa"/>
              <w:left w:w="192" w:type="dxa"/>
              <w:bottom w:w="120" w:type="dxa"/>
              <w:right w:w="0" w:type="dxa"/>
            </w:tcMar>
            <w:vAlign w:val="center"/>
          </w:tcPr>
          <w:p w14:paraId="6CCD31C2">
            <w:pPr>
              <w:bidi w:val="0"/>
              <w:rPr>
                <w:rFonts w:hint="default"/>
              </w:rPr>
            </w:pPr>
            <w:r>
              <w:rPr>
                <w:rFonts w:hint="default"/>
                <w:lang w:val="en-US" w:eastAsia="zh-CN"/>
              </w:rPr>
              <w:t>正手平抽球</w:t>
            </w:r>
          </w:p>
        </w:tc>
      </w:tr>
      <w:tr w14:paraId="021F2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20" w:type="dxa"/>
              <w:left w:w="0" w:type="dxa"/>
              <w:bottom w:w="120" w:type="dxa"/>
              <w:right w:w="192" w:type="dxa"/>
            </w:tcMar>
            <w:vAlign w:val="center"/>
          </w:tcPr>
          <w:p w14:paraId="177A0DFC">
            <w:pPr>
              <w:bidi w:val="0"/>
              <w:rPr>
                <w:rFonts w:hint="default"/>
              </w:rPr>
            </w:pPr>
            <w:r>
              <w:rPr>
                <w:rFonts w:hint="default"/>
                <w:lang w:val="en-US" w:eastAsia="zh-CN"/>
              </w:rPr>
              <w:t>1</w:t>
            </w:r>
          </w:p>
        </w:tc>
        <w:tc>
          <w:tcPr>
            <w:tcW w:w="0" w:type="auto"/>
            <w:shd w:val="clear" w:color="auto" w:fill="FFFFFF"/>
            <w:tcMar>
              <w:top w:w="120" w:type="dxa"/>
              <w:left w:w="192" w:type="dxa"/>
              <w:bottom w:w="120" w:type="dxa"/>
              <w:right w:w="192" w:type="dxa"/>
            </w:tcMar>
            <w:vAlign w:val="center"/>
          </w:tcPr>
          <w:p w14:paraId="2B4B8061">
            <w:pPr>
              <w:bidi w:val="0"/>
              <w:rPr>
                <w:rFonts w:hint="default"/>
              </w:rPr>
            </w:pPr>
            <w:r>
              <w:rPr>
                <w:rFonts w:hint="default"/>
                <w:lang w:val="en-US" w:eastAsia="zh-CN"/>
              </w:rPr>
              <w:t>forehand_lift</w:t>
            </w:r>
          </w:p>
        </w:tc>
        <w:tc>
          <w:tcPr>
            <w:tcW w:w="0" w:type="auto"/>
            <w:shd w:val="clear" w:color="auto" w:fill="FFFFFF"/>
            <w:tcMar>
              <w:top w:w="120" w:type="dxa"/>
              <w:left w:w="192" w:type="dxa"/>
              <w:bottom w:w="120" w:type="dxa"/>
              <w:right w:w="0" w:type="dxa"/>
            </w:tcMar>
            <w:vAlign w:val="center"/>
          </w:tcPr>
          <w:p w14:paraId="4498C1B2">
            <w:pPr>
              <w:bidi w:val="0"/>
              <w:rPr>
                <w:rFonts w:hint="default"/>
              </w:rPr>
            </w:pPr>
            <w:r>
              <w:rPr>
                <w:rFonts w:hint="default"/>
                <w:lang w:val="en-US" w:eastAsia="zh-CN"/>
              </w:rPr>
              <w:t>正手挑球</w:t>
            </w:r>
          </w:p>
        </w:tc>
      </w:tr>
      <w:tr w14:paraId="13CC4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20" w:type="dxa"/>
              <w:left w:w="0" w:type="dxa"/>
              <w:bottom w:w="120" w:type="dxa"/>
              <w:right w:w="192" w:type="dxa"/>
            </w:tcMar>
            <w:vAlign w:val="center"/>
          </w:tcPr>
          <w:p w14:paraId="5E1FD4EE">
            <w:pPr>
              <w:bidi w:val="0"/>
              <w:rPr>
                <w:rFonts w:hint="default"/>
              </w:rPr>
            </w:pPr>
            <w:r>
              <w:rPr>
                <w:rFonts w:hint="default"/>
                <w:lang w:val="en-US" w:eastAsia="zh-CN"/>
              </w:rPr>
              <w:t>2</w:t>
            </w:r>
          </w:p>
        </w:tc>
        <w:tc>
          <w:tcPr>
            <w:tcW w:w="0" w:type="auto"/>
            <w:shd w:val="clear" w:color="auto" w:fill="FFFFFF"/>
            <w:tcMar>
              <w:top w:w="120" w:type="dxa"/>
              <w:left w:w="192" w:type="dxa"/>
              <w:bottom w:w="120" w:type="dxa"/>
              <w:right w:w="192" w:type="dxa"/>
            </w:tcMar>
            <w:vAlign w:val="center"/>
          </w:tcPr>
          <w:p w14:paraId="72229DA1">
            <w:pPr>
              <w:bidi w:val="0"/>
              <w:rPr>
                <w:rFonts w:hint="default"/>
              </w:rPr>
            </w:pPr>
            <w:r>
              <w:rPr>
                <w:rFonts w:hint="default"/>
                <w:lang w:val="en-US" w:eastAsia="zh-CN"/>
              </w:rPr>
              <w:t>forehand_net_shot</w:t>
            </w:r>
          </w:p>
        </w:tc>
        <w:tc>
          <w:tcPr>
            <w:tcW w:w="0" w:type="auto"/>
            <w:shd w:val="clear" w:color="auto" w:fill="FFFFFF"/>
            <w:tcMar>
              <w:top w:w="120" w:type="dxa"/>
              <w:left w:w="192" w:type="dxa"/>
              <w:bottom w:w="120" w:type="dxa"/>
              <w:right w:w="0" w:type="dxa"/>
            </w:tcMar>
            <w:vAlign w:val="center"/>
          </w:tcPr>
          <w:p w14:paraId="419A6594">
            <w:pPr>
              <w:bidi w:val="0"/>
              <w:rPr>
                <w:rFonts w:hint="default"/>
              </w:rPr>
            </w:pPr>
            <w:r>
              <w:rPr>
                <w:rFonts w:hint="default"/>
                <w:lang w:val="en-US" w:eastAsia="zh-CN"/>
              </w:rPr>
              <w:t>正手网前球</w:t>
            </w:r>
          </w:p>
        </w:tc>
      </w:tr>
      <w:tr w14:paraId="507CA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20" w:type="dxa"/>
              <w:left w:w="0" w:type="dxa"/>
              <w:bottom w:w="120" w:type="dxa"/>
              <w:right w:w="192" w:type="dxa"/>
            </w:tcMar>
            <w:vAlign w:val="center"/>
          </w:tcPr>
          <w:p w14:paraId="63ED777F">
            <w:pPr>
              <w:bidi w:val="0"/>
              <w:rPr>
                <w:rFonts w:hint="default"/>
              </w:rPr>
            </w:pPr>
            <w:r>
              <w:rPr>
                <w:rFonts w:hint="default"/>
                <w:lang w:val="en-US" w:eastAsia="zh-CN"/>
              </w:rPr>
              <w:t>3</w:t>
            </w:r>
          </w:p>
        </w:tc>
        <w:tc>
          <w:tcPr>
            <w:tcW w:w="0" w:type="auto"/>
            <w:shd w:val="clear" w:color="auto" w:fill="FFFFFF"/>
            <w:tcMar>
              <w:top w:w="120" w:type="dxa"/>
              <w:left w:w="192" w:type="dxa"/>
              <w:bottom w:w="120" w:type="dxa"/>
              <w:right w:w="192" w:type="dxa"/>
            </w:tcMar>
            <w:vAlign w:val="center"/>
          </w:tcPr>
          <w:p w14:paraId="5528E1DC">
            <w:pPr>
              <w:bidi w:val="0"/>
              <w:rPr>
                <w:rFonts w:hint="default"/>
              </w:rPr>
            </w:pPr>
            <w:r>
              <w:rPr>
                <w:rFonts w:hint="default"/>
                <w:lang w:val="en-US" w:eastAsia="zh-CN"/>
              </w:rPr>
              <w:t>forehand_clear</w:t>
            </w:r>
          </w:p>
        </w:tc>
        <w:tc>
          <w:tcPr>
            <w:tcW w:w="0" w:type="auto"/>
            <w:shd w:val="clear" w:color="auto" w:fill="FFFFFF"/>
            <w:tcMar>
              <w:top w:w="120" w:type="dxa"/>
              <w:left w:w="192" w:type="dxa"/>
              <w:bottom w:w="120" w:type="dxa"/>
              <w:right w:w="0" w:type="dxa"/>
            </w:tcMar>
            <w:vAlign w:val="center"/>
          </w:tcPr>
          <w:p w14:paraId="0ACAA546">
            <w:pPr>
              <w:bidi w:val="0"/>
              <w:rPr>
                <w:rFonts w:hint="default"/>
              </w:rPr>
            </w:pPr>
            <w:r>
              <w:rPr>
                <w:rFonts w:hint="default"/>
                <w:lang w:val="en-US" w:eastAsia="zh-CN"/>
              </w:rPr>
              <w:t>正手高远球</w:t>
            </w:r>
          </w:p>
        </w:tc>
      </w:tr>
      <w:tr w14:paraId="6A40F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20" w:type="dxa"/>
              <w:left w:w="0" w:type="dxa"/>
              <w:bottom w:w="120" w:type="dxa"/>
              <w:right w:w="192" w:type="dxa"/>
            </w:tcMar>
            <w:vAlign w:val="center"/>
          </w:tcPr>
          <w:p w14:paraId="532FBCF4">
            <w:pPr>
              <w:bidi w:val="0"/>
              <w:rPr>
                <w:rFonts w:hint="default"/>
              </w:rPr>
            </w:pPr>
            <w:r>
              <w:rPr>
                <w:rFonts w:hint="default"/>
                <w:lang w:val="en-US" w:eastAsia="zh-CN"/>
              </w:rPr>
              <w:t>4</w:t>
            </w:r>
          </w:p>
        </w:tc>
        <w:tc>
          <w:tcPr>
            <w:tcW w:w="0" w:type="auto"/>
            <w:shd w:val="clear" w:color="auto" w:fill="FFFFFF"/>
            <w:tcMar>
              <w:top w:w="120" w:type="dxa"/>
              <w:left w:w="192" w:type="dxa"/>
              <w:bottom w:w="120" w:type="dxa"/>
              <w:right w:w="192" w:type="dxa"/>
            </w:tcMar>
            <w:vAlign w:val="center"/>
          </w:tcPr>
          <w:p w14:paraId="23D399FF">
            <w:pPr>
              <w:bidi w:val="0"/>
              <w:rPr>
                <w:rFonts w:hint="default"/>
              </w:rPr>
            </w:pPr>
            <w:r>
              <w:rPr>
                <w:rFonts w:hint="default"/>
                <w:lang w:val="en-US" w:eastAsia="zh-CN"/>
              </w:rPr>
              <w:t>backhand_drive</w:t>
            </w:r>
          </w:p>
        </w:tc>
        <w:tc>
          <w:tcPr>
            <w:tcW w:w="0" w:type="auto"/>
            <w:shd w:val="clear" w:color="auto" w:fill="FFFFFF"/>
            <w:tcMar>
              <w:top w:w="120" w:type="dxa"/>
              <w:left w:w="192" w:type="dxa"/>
              <w:bottom w:w="120" w:type="dxa"/>
              <w:right w:w="0" w:type="dxa"/>
            </w:tcMar>
            <w:vAlign w:val="center"/>
          </w:tcPr>
          <w:p w14:paraId="118C0F2B">
            <w:pPr>
              <w:bidi w:val="0"/>
              <w:rPr>
                <w:rFonts w:hint="default"/>
              </w:rPr>
            </w:pPr>
            <w:r>
              <w:rPr>
                <w:rFonts w:hint="default"/>
                <w:lang w:val="en-US" w:eastAsia="zh-CN"/>
              </w:rPr>
              <w:t>反手平抽球</w:t>
            </w:r>
          </w:p>
        </w:tc>
      </w:tr>
      <w:tr w14:paraId="5BB4E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shd w:val="clear" w:color="auto" w:fill="FFFFFF"/>
            <w:tcMar>
              <w:top w:w="120" w:type="dxa"/>
              <w:left w:w="0" w:type="dxa"/>
              <w:bottom w:w="120" w:type="dxa"/>
              <w:right w:w="192" w:type="dxa"/>
            </w:tcMar>
            <w:vAlign w:val="center"/>
          </w:tcPr>
          <w:p w14:paraId="21AD57E6">
            <w:pPr>
              <w:bidi w:val="0"/>
              <w:rPr>
                <w:rFonts w:hint="default"/>
              </w:rPr>
            </w:pPr>
            <w:r>
              <w:rPr>
                <w:rFonts w:hint="default"/>
                <w:lang w:val="en-US" w:eastAsia="zh-CN"/>
              </w:rPr>
              <w:t>5</w:t>
            </w:r>
          </w:p>
        </w:tc>
        <w:tc>
          <w:tcPr>
            <w:tcW w:w="0" w:type="auto"/>
            <w:shd w:val="clear" w:color="auto" w:fill="FFFFFF"/>
            <w:tcMar>
              <w:top w:w="120" w:type="dxa"/>
              <w:left w:w="192" w:type="dxa"/>
              <w:bottom w:w="120" w:type="dxa"/>
              <w:right w:w="192" w:type="dxa"/>
            </w:tcMar>
            <w:vAlign w:val="center"/>
          </w:tcPr>
          <w:p w14:paraId="30ED8337">
            <w:pPr>
              <w:bidi w:val="0"/>
              <w:rPr>
                <w:rFonts w:hint="default"/>
              </w:rPr>
            </w:pPr>
            <w:r>
              <w:rPr>
                <w:rFonts w:hint="default"/>
                <w:lang w:val="en-US" w:eastAsia="zh-CN"/>
              </w:rPr>
              <w:t>backhand_net_shot</w:t>
            </w:r>
          </w:p>
        </w:tc>
        <w:tc>
          <w:tcPr>
            <w:tcW w:w="0" w:type="auto"/>
            <w:shd w:val="clear" w:color="auto" w:fill="FFFFFF"/>
            <w:tcMar>
              <w:top w:w="120" w:type="dxa"/>
              <w:left w:w="192" w:type="dxa"/>
              <w:bottom w:w="120" w:type="dxa"/>
              <w:right w:w="0" w:type="dxa"/>
            </w:tcMar>
            <w:vAlign w:val="center"/>
          </w:tcPr>
          <w:p w14:paraId="275EFA01">
            <w:pPr>
              <w:bidi w:val="0"/>
              <w:rPr>
                <w:rFonts w:hint="default"/>
              </w:rPr>
            </w:pPr>
            <w:r>
              <w:rPr>
                <w:rFonts w:hint="default"/>
                <w:lang w:val="en-US" w:eastAsia="zh-CN"/>
              </w:rPr>
              <w:t>反手网前球</w:t>
            </w:r>
          </w:p>
        </w:tc>
      </w:tr>
    </w:tbl>
    <w:p w14:paraId="407A3551">
      <w:pPr>
        <w:bidi w:val="0"/>
        <w:rPr>
          <w:rFonts w:hint="default"/>
          <w:lang w:val="en-US" w:eastAsia="zh-CN"/>
        </w:rPr>
      </w:pPr>
    </w:p>
    <w:p w14:paraId="2DE1561A">
      <w:pPr>
        <w:pStyle w:val="3"/>
        <w:bidi w:val="0"/>
        <w:rPr>
          <w:rFonts w:hint="default"/>
          <w:lang w:val="en-US" w:eastAsia="zh-CN"/>
        </w:rPr>
      </w:pPr>
      <w:r>
        <w:rPr>
          <w:rFonts w:hint="default"/>
          <w:lang w:val="en-US" w:eastAsia="zh-CN"/>
        </w:rPr>
        <w:t>2.3 数据划分</w:t>
      </w:r>
    </w:p>
    <w:p w14:paraId="15293D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按 80% 训练 / 20% 测试 比例划分，保证每类样本均衡，最终训练集样本数约为 640，测试集约 160。</w:t>
      </w:r>
    </w:p>
    <w:p w14:paraId="70503CA5">
      <w:pPr>
        <w:bidi w:val="0"/>
        <w:rPr>
          <w:rFonts w:hint="default"/>
          <w:lang w:val="en-US" w:eastAsia="zh-CN"/>
        </w:rPr>
      </w:pPr>
    </w:p>
    <w:p w14:paraId="365D7E7E">
      <w:pPr>
        <w:pStyle w:val="2"/>
        <w:bidi w:val="0"/>
        <w:rPr>
          <w:rFonts w:hint="default"/>
          <w:lang w:val="en-US" w:eastAsia="zh-CN"/>
        </w:rPr>
      </w:pPr>
      <w:r>
        <w:rPr>
          <w:rFonts w:hint="default"/>
          <w:lang w:val="en-US" w:eastAsia="zh-CN"/>
        </w:rPr>
        <w:t>三、实验方法</w:t>
      </w:r>
    </w:p>
    <w:p w14:paraId="7CE5A02B">
      <w:pPr>
        <w:pStyle w:val="2"/>
        <w:bidi w:val="0"/>
        <w:rPr>
          <w:rFonts w:hint="default"/>
          <w:lang w:val="en-US" w:eastAsia="zh-CN"/>
        </w:rPr>
      </w:pPr>
      <w:r>
        <w:rPr>
          <w:rFonts w:hint="default"/>
          <w:lang w:val="en-US" w:eastAsia="zh-CN"/>
        </w:rPr>
        <w:t>3.1 总体流程</w:t>
      </w:r>
    </w:p>
    <w:p w14:paraId="5AE7BA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整个实验流程分为四个阶段：</w:t>
      </w:r>
    </w:p>
    <w:p w14:paraId="263AFF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1.</w:t>
      </w:r>
      <w:r>
        <w:rPr>
          <w:rFonts w:hint="default"/>
          <w:lang w:val="en-US" w:eastAsia="zh-CN"/>
        </w:rPr>
        <w:t>骨架提取：使用 MediaPipe Pose 从每帧视频提取 33 个人体关键点的 x、y、z 坐标及可见度，形成每帧 132 维特征向量。</w:t>
      </w:r>
    </w:p>
    <w:p w14:paraId="2D8D39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2.</w:t>
      </w:r>
      <w:r>
        <w:rPr>
          <w:rFonts w:hint="default"/>
          <w:lang w:val="en-US" w:eastAsia="zh-CN"/>
        </w:rPr>
        <w:t>序列标准化：将长度不等的视频序列重采样为固定帧数（T=30），并进行人体归一化（以髋部中心为原点，肩宽缩放），消除个体差异。</w:t>
      </w:r>
    </w:p>
    <w:p w14:paraId="73C42D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3.</w:t>
      </w:r>
      <w:r>
        <w:rPr>
          <w:rFonts w:hint="default"/>
          <w:lang w:val="en-US" w:eastAsia="zh-CN"/>
        </w:rPr>
        <w:t>Transformer 建模：将每一帧骨架看作一个时间 token，利用 Transformer Encoder 学习时序依赖，最后通过全局池化和全连接层分类。</w:t>
      </w:r>
    </w:p>
    <w:p w14:paraId="62680C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4.</w:t>
      </w:r>
      <w:r>
        <w:rPr>
          <w:rFonts w:hint="default"/>
          <w:lang w:val="en-US" w:eastAsia="zh-CN"/>
        </w:rPr>
        <w:t>训练与评估：使用交叉熵损失和 Adam 优化器训练模型，在测试集上评估准确率、混淆矩阵和分类报告。</w:t>
      </w:r>
    </w:p>
    <w:p w14:paraId="0CE11899">
      <w:pPr>
        <w:pStyle w:val="3"/>
        <w:bidi w:val="0"/>
        <w:rPr>
          <w:rFonts w:hint="default"/>
          <w:lang w:val="en-US" w:eastAsia="zh-CN"/>
        </w:rPr>
      </w:pPr>
      <w:r>
        <w:rPr>
          <w:rFonts w:hint="default"/>
          <w:lang w:val="en-US" w:eastAsia="zh-CN"/>
        </w:rPr>
        <w:t>3.2 MediaPipe Pose 关键点提取</w:t>
      </w:r>
    </w:p>
    <w:p w14:paraId="2AF591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MediaPipe Pose 可实时检测 33 个关键点，包含身体各部位。每帧输出形状为 (33, 4)（x, y, z, visibility），展平后为 132 维向量。对于视频中未检测到人体的帧，以零向量填充，确保连续序列。</w:t>
      </w:r>
    </w:p>
    <w:p w14:paraId="6F2735CB">
      <w:pPr>
        <w:pStyle w:val="3"/>
        <w:bidi w:val="0"/>
        <w:rPr>
          <w:rFonts w:hint="default"/>
          <w:lang w:val="en-US" w:eastAsia="zh-CN"/>
        </w:rPr>
      </w:pPr>
      <w:r>
        <w:rPr>
          <w:rFonts w:hint="default"/>
          <w:lang w:val="en-US" w:eastAsia="zh-CN"/>
        </w:rPr>
        <w:t>3.3 序列归一化与重采样</w:t>
      </w:r>
    </w:p>
    <w:p w14:paraId="3ADF0F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归一化目的：消除拍摄距离、运动员体型差异。</w:t>
      </w:r>
    </w:p>
    <w:p w14:paraId="447AD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归一化方法：</w:t>
      </w:r>
    </w:p>
    <w:p w14:paraId="00EBD1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以左右髋部中点（关键点 23、24）作为坐标原点。</w:t>
      </w:r>
    </w:p>
    <w:p w14:paraId="419E64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以左右肩部（关键点 11、12）之间的距离作为缩放因子，将关键点坐标缩放至统一尺度。</w:t>
      </w:r>
    </w:p>
    <w:p w14:paraId="467528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重采样：使用线性插值（或等间隔采样）将所有视频统一为 30 帧，保证输入维度一致。</w:t>
      </w:r>
    </w:p>
    <w:p w14:paraId="68C57DB1">
      <w:pPr>
        <w:pStyle w:val="3"/>
        <w:bidi w:val="0"/>
        <w:rPr>
          <w:rFonts w:hint="default"/>
          <w:lang w:val="en-US" w:eastAsia="zh-CN"/>
        </w:rPr>
      </w:pPr>
      <w:r>
        <w:rPr>
          <w:rFonts w:hint="default"/>
          <w:lang w:val="en-US" w:eastAsia="zh-CN"/>
        </w:rPr>
        <w:t>3.4 模型结构（Skeleton Transformer）</w:t>
      </w:r>
    </w:p>
    <w:p w14:paraId="1F8D3E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模型基于 PyTorch 实现，结构如下：</w:t>
      </w:r>
    </w:p>
    <w:tbl>
      <w:tblPr>
        <w:tblW w:w="8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769"/>
        <w:gridCol w:w="5590"/>
      </w:tblGrid>
      <w:tr w14:paraId="5B93A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nil"/>
            </w:tcBorders>
            <w:shd w:val="clear" w:color="auto" w:fill="FFFFFF"/>
            <w:tcMar>
              <w:top w:w="120" w:type="dxa"/>
              <w:left w:w="0" w:type="dxa"/>
              <w:bottom w:w="120" w:type="dxa"/>
              <w:right w:w="192" w:type="dxa"/>
            </w:tcMar>
            <w:vAlign w:val="center"/>
          </w:tcPr>
          <w:p w14:paraId="06E3C636">
            <w:pPr>
              <w:bidi w:val="0"/>
            </w:pPr>
            <w:r>
              <w:rPr>
                <w:rFonts w:hint="default"/>
                <w:lang w:val="en-US" w:eastAsia="zh-CN"/>
              </w:rPr>
              <w:t>组件</w:t>
            </w:r>
          </w:p>
        </w:tc>
        <w:tc>
          <w:tcPr>
            <w:tcW w:w="0" w:type="auto"/>
            <w:tcBorders>
              <w:top w:val="nil"/>
            </w:tcBorders>
            <w:shd w:val="clear" w:color="auto" w:fill="FFFFFF"/>
            <w:tcMar>
              <w:top w:w="120" w:type="dxa"/>
              <w:left w:w="192" w:type="dxa"/>
              <w:bottom w:w="120" w:type="dxa"/>
              <w:right w:w="192" w:type="dxa"/>
            </w:tcMar>
            <w:vAlign w:val="center"/>
          </w:tcPr>
          <w:p w14:paraId="0AD0F82B">
            <w:pPr>
              <w:bidi w:val="0"/>
              <w:rPr>
                <w:rFonts w:hint="default"/>
              </w:rPr>
            </w:pPr>
            <w:r>
              <w:rPr>
                <w:rFonts w:hint="default"/>
                <w:lang w:val="en-US" w:eastAsia="zh-CN"/>
              </w:rPr>
              <w:t>参数设置</w:t>
            </w:r>
          </w:p>
        </w:tc>
      </w:tr>
      <w:tr w14:paraId="77361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617A9A6">
            <w:pPr>
              <w:bidi w:val="0"/>
              <w:rPr>
                <w:rFonts w:hint="default"/>
              </w:rPr>
            </w:pPr>
            <w:r>
              <w:rPr>
                <w:rFonts w:hint="default"/>
                <w:lang w:val="en-US" w:eastAsia="zh-CN"/>
              </w:rPr>
              <w:t>输入维度</w:t>
            </w:r>
          </w:p>
        </w:tc>
        <w:tc>
          <w:tcPr>
            <w:tcW w:w="0" w:type="auto"/>
            <w:shd w:val="clear" w:color="auto" w:fill="FFFFFF"/>
            <w:tcMar>
              <w:top w:w="120" w:type="dxa"/>
              <w:left w:w="192" w:type="dxa"/>
              <w:bottom w:w="120" w:type="dxa"/>
              <w:right w:w="0" w:type="dxa"/>
            </w:tcMar>
            <w:vAlign w:val="center"/>
          </w:tcPr>
          <w:p w14:paraId="10B0AEB8">
            <w:pPr>
              <w:bidi w:val="0"/>
              <w:rPr>
                <w:rFonts w:hint="default"/>
              </w:rPr>
            </w:pPr>
            <w:r>
              <w:rPr>
                <w:rFonts w:hint="default"/>
                <w:lang w:val="en-US" w:eastAsia="zh-CN"/>
              </w:rPr>
              <w:t>132</w:t>
            </w:r>
          </w:p>
        </w:tc>
      </w:tr>
      <w:tr w14:paraId="6B686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2567FAB">
            <w:pPr>
              <w:bidi w:val="0"/>
              <w:rPr>
                <w:rFonts w:hint="default"/>
              </w:rPr>
            </w:pPr>
            <w:r>
              <w:rPr>
                <w:rFonts w:hint="default"/>
                <w:lang w:val="en-US" w:eastAsia="zh-CN"/>
              </w:rPr>
              <w:t>帧数（序列长度）</w:t>
            </w:r>
          </w:p>
        </w:tc>
        <w:tc>
          <w:tcPr>
            <w:tcW w:w="0" w:type="auto"/>
            <w:shd w:val="clear" w:color="auto" w:fill="FFFFFF"/>
            <w:tcMar>
              <w:top w:w="120" w:type="dxa"/>
              <w:left w:w="192" w:type="dxa"/>
              <w:bottom w:w="120" w:type="dxa"/>
              <w:right w:w="0" w:type="dxa"/>
            </w:tcMar>
            <w:vAlign w:val="center"/>
          </w:tcPr>
          <w:p w14:paraId="5BA14C3C">
            <w:pPr>
              <w:bidi w:val="0"/>
              <w:rPr>
                <w:rFonts w:hint="default"/>
              </w:rPr>
            </w:pPr>
            <w:r>
              <w:rPr>
                <w:rFonts w:hint="default"/>
                <w:lang w:val="en-US" w:eastAsia="zh-CN"/>
              </w:rPr>
              <w:t>30</w:t>
            </w:r>
          </w:p>
        </w:tc>
      </w:tr>
      <w:tr w14:paraId="37E73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51CDE1A">
            <w:pPr>
              <w:bidi w:val="0"/>
              <w:rPr>
                <w:rFonts w:hint="default"/>
              </w:rPr>
            </w:pPr>
            <w:r>
              <w:rPr>
                <w:rFonts w:hint="default"/>
                <w:lang w:val="en-US" w:eastAsia="zh-CN"/>
              </w:rPr>
              <w:t>Embedding 层</w:t>
            </w:r>
          </w:p>
        </w:tc>
        <w:tc>
          <w:tcPr>
            <w:tcW w:w="0" w:type="auto"/>
            <w:shd w:val="clear" w:color="auto" w:fill="FFFFFF"/>
            <w:tcMar>
              <w:top w:w="120" w:type="dxa"/>
              <w:left w:w="192" w:type="dxa"/>
              <w:bottom w:w="120" w:type="dxa"/>
              <w:right w:w="0" w:type="dxa"/>
            </w:tcMar>
            <w:vAlign w:val="center"/>
          </w:tcPr>
          <w:p w14:paraId="6726F863">
            <w:pPr>
              <w:bidi w:val="0"/>
              <w:rPr>
                <w:rFonts w:hint="default"/>
              </w:rPr>
            </w:pPr>
            <w:r>
              <w:rPr>
                <w:rFonts w:hint="default"/>
                <w:lang w:val="en-US" w:eastAsia="zh-CN"/>
              </w:rPr>
              <w:t>Linear(132 → 128)</w:t>
            </w:r>
          </w:p>
        </w:tc>
      </w:tr>
      <w:tr w14:paraId="69B4C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1460530">
            <w:pPr>
              <w:bidi w:val="0"/>
              <w:rPr>
                <w:rFonts w:hint="default"/>
              </w:rPr>
            </w:pPr>
            <w:r>
              <w:rPr>
                <w:rFonts w:hint="default"/>
                <w:lang w:val="en-US" w:eastAsia="zh-CN"/>
              </w:rPr>
              <w:t>位置编码</w:t>
            </w:r>
          </w:p>
        </w:tc>
        <w:tc>
          <w:tcPr>
            <w:tcW w:w="0" w:type="auto"/>
            <w:shd w:val="clear" w:color="auto" w:fill="FFFFFF"/>
            <w:tcMar>
              <w:top w:w="120" w:type="dxa"/>
              <w:left w:w="192" w:type="dxa"/>
              <w:bottom w:w="120" w:type="dxa"/>
              <w:right w:w="0" w:type="dxa"/>
            </w:tcMar>
            <w:vAlign w:val="center"/>
          </w:tcPr>
          <w:p w14:paraId="25F49F97">
            <w:pPr>
              <w:bidi w:val="0"/>
              <w:rPr>
                <w:rFonts w:hint="default"/>
              </w:rPr>
            </w:pPr>
            <w:r>
              <w:rPr>
                <w:rFonts w:hint="default"/>
                <w:lang w:val="en-US" w:eastAsia="zh-CN"/>
              </w:rPr>
              <w:t>可学习位置嵌入 (30,128)</w:t>
            </w:r>
          </w:p>
        </w:tc>
      </w:tr>
      <w:tr w14:paraId="6851A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8EC0846">
            <w:pPr>
              <w:bidi w:val="0"/>
              <w:rPr>
                <w:rFonts w:hint="default"/>
              </w:rPr>
            </w:pPr>
            <w:r>
              <w:rPr>
                <w:rFonts w:hint="default"/>
                <w:lang w:val="en-US" w:eastAsia="zh-CN"/>
              </w:rPr>
              <w:t>Transformer 编码器</w:t>
            </w:r>
          </w:p>
        </w:tc>
        <w:tc>
          <w:tcPr>
            <w:tcW w:w="0" w:type="auto"/>
            <w:shd w:val="clear" w:color="auto" w:fill="FFFFFF"/>
            <w:tcMar>
              <w:top w:w="120" w:type="dxa"/>
              <w:left w:w="192" w:type="dxa"/>
              <w:bottom w:w="120" w:type="dxa"/>
              <w:right w:w="0" w:type="dxa"/>
            </w:tcMar>
            <w:vAlign w:val="center"/>
          </w:tcPr>
          <w:p w14:paraId="5205201D">
            <w:pPr>
              <w:bidi w:val="0"/>
              <w:rPr>
                <w:rFonts w:hint="default"/>
              </w:rPr>
            </w:pPr>
            <w:r>
              <w:rPr>
                <w:rFonts w:hint="default"/>
                <w:lang w:val="en-US" w:eastAsia="zh-CN"/>
              </w:rPr>
              <w:t>2 层，4 头，FFN 维度 256，Dropout 0.1</w:t>
            </w:r>
          </w:p>
        </w:tc>
      </w:tr>
      <w:tr w14:paraId="4BEEC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F57354F">
            <w:pPr>
              <w:bidi w:val="0"/>
              <w:rPr>
                <w:rFonts w:hint="default"/>
              </w:rPr>
            </w:pPr>
            <w:r>
              <w:rPr>
                <w:rFonts w:hint="default"/>
                <w:lang w:val="en-US" w:eastAsia="zh-CN"/>
              </w:rPr>
              <w:t>全局池化</w:t>
            </w:r>
          </w:p>
        </w:tc>
        <w:tc>
          <w:tcPr>
            <w:tcW w:w="0" w:type="auto"/>
            <w:shd w:val="clear" w:color="auto" w:fill="FFFFFF"/>
            <w:tcMar>
              <w:top w:w="120" w:type="dxa"/>
              <w:left w:w="192" w:type="dxa"/>
              <w:bottom w:w="120" w:type="dxa"/>
              <w:right w:w="0" w:type="dxa"/>
            </w:tcMar>
            <w:vAlign w:val="center"/>
          </w:tcPr>
          <w:p w14:paraId="585DC7A6">
            <w:pPr>
              <w:bidi w:val="0"/>
              <w:rPr>
                <w:rFonts w:hint="default"/>
              </w:rPr>
            </w:pPr>
            <w:r>
              <w:rPr>
                <w:rFonts w:hint="default"/>
                <w:lang w:val="en-US" w:eastAsia="zh-CN"/>
              </w:rPr>
              <w:t>时间维度的平均池化</w:t>
            </w:r>
          </w:p>
        </w:tc>
      </w:tr>
      <w:tr w14:paraId="358B2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AC5A84B">
            <w:pPr>
              <w:bidi w:val="0"/>
              <w:rPr>
                <w:rFonts w:hint="default"/>
              </w:rPr>
            </w:pPr>
            <w:r>
              <w:rPr>
                <w:rFonts w:hint="default"/>
                <w:lang w:val="en-US" w:eastAsia="zh-CN"/>
              </w:rPr>
              <w:t>分类器</w:t>
            </w:r>
          </w:p>
        </w:tc>
        <w:tc>
          <w:tcPr>
            <w:tcW w:w="0" w:type="auto"/>
            <w:shd w:val="clear" w:color="auto" w:fill="FFFFFF"/>
            <w:tcMar>
              <w:top w:w="120" w:type="dxa"/>
              <w:left w:w="192" w:type="dxa"/>
              <w:bottom w:w="120" w:type="dxa"/>
              <w:right w:w="0" w:type="dxa"/>
            </w:tcMar>
            <w:vAlign w:val="center"/>
          </w:tcPr>
          <w:p w14:paraId="2030A54E">
            <w:pPr>
              <w:bidi w:val="0"/>
              <w:rPr>
                <w:rFonts w:hint="default"/>
              </w:rPr>
            </w:pPr>
            <w:r>
              <w:rPr>
                <w:rFonts w:hint="default"/>
                <w:lang w:val="en-US" w:eastAsia="zh-CN"/>
              </w:rPr>
              <w:t>MLP(128 → 128 → 6)</w:t>
            </w:r>
          </w:p>
        </w:tc>
      </w:tr>
      <w:tr w14:paraId="47DAF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32070BA">
            <w:pPr>
              <w:bidi w:val="0"/>
              <w:rPr>
                <w:rFonts w:hint="default"/>
              </w:rPr>
            </w:pPr>
            <w:r>
              <w:rPr>
                <w:rFonts w:hint="default"/>
                <w:lang w:val="en-US" w:eastAsia="zh-CN"/>
              </w:rPr>
              <w:t>输出</w:t>
            </w:r>
          </w:p>
        </w:tc>
        <w:tc>
          <w:tcPr>
            <w:tcW w:w="0" w:type="auto"/>
            <w:shd w:val="clear" w:color="auto" w:fill="FFFFFF"/>
            <w:tcMar>
              <w:top w:w="120" w:type="dxa"/>
              <w:left w:w="192" w:type="dxa"/>
              <w:bottom w:w="120" w:type="dxa"/>
              <w:right w:w="0" w:type="dxa"/>
            </w:tcMar>
            <w:vAlign w:val="center"/>
          </w:tcPr>
          <w:p w14:paraId="176CA091">
            <w:pPr>
              <w:bidi w:val="0"/>
              <w:rPr>
                <w:rFonts w:hint="default"/>
              </w:rPr>
            </w:pPr>
            <w:r>
              <w:rPr>
                <w:rFonts w:hint="default"/>
                <w:lang w:val="en-US" w:eastAsia="zh-CN"/>
              </w:rPr>
              <w:t>6 类 logits</w:t>
            </w:r>
          </w:p>
        </w:tc>
      </w:tr>
    </w:tbl>
    <w:p w14:paraId="5567E7AE">
      <w:pPr>
        <w:bidi w:val="0"/>
        <w:rPr>
          <w:rFonts w:hint="default"/>
          <w:lang w:val="en-US" w:eastAsia="zh-CN"/>
        </w:rPr>
      </w:pPr>
    </w:p>
    <w:p w14:paraId="261D616D">
      <w:pPr>
        <w:bidi w:val="0"/>
        <w:ind w:firstLine="420" w:firstLineChars="200"/>
        <w:rPr>
          <w:rFonts w:hint="default"/>
          <w:lang w:val="en-US" w:eastAsia="zh-CN"/>
        </w:rPr>
      </w:pPr>
      <w:r>
        <w:rPr>
          <w:rFonts w:hint="default"/>
          <w:lang w:val="en-US" w:eastAsia="zh-CN"/>
        </w:rPr>
        <w:t>模型特点：</w:t>
      </w:r>
    </w:p>
    <w:p w14:paraId="2064C877">
      <w:pPr>
        <w:bidi w:val="0"/>
        <w:rPr>
          <w:rFonts w:hint="default"/>
          <w:lang w:val="en-US" w:eastAsia="zh-CN"/>
        </w:rPr>
      </w:pPr>
      <w:r>
        <w:rPr>
          <w:rFonts w:hint="default"/>
          <w:lang w:val="en-US" w:eastAsia="zh-CN"/>
        </w:rPr>
        <w:t>轻量级，参数量约 0.5M，适合 CPU/GPU 快速训练。</w:t>
      </w:r>
    </w:p>
    <w:p w14:paraId="3FE20BF8">
      <w:pPr>
        <w:bidi w:val="0"/>
        <w:rPr>
          <w:rFonts w:hint="default"/>
          <w:lang w:val="en-US" w:eastAsia="zh-CN"/>
        </w:rPr>
      </w:pPr>
      <w:r>
        <w:rPr>
          <w:rFonts w:hint="default"/>
          <w:lang w:val="en-US" w:eastAsia="zh-CN"/>
        </w:rPr>
        <w:t>利用 Transformer 的自注意力机制捕获长程时序依赖，优于简单的 RNN/LSTM。</w:t>
      </w:r>
    </w:p>
    <w:p w14:paraId="3A1382A1">
      <w:pPr>
        <w:bidi w:val="0"/>
        <w:rPr>
          <w:rFonts w:hint="default"/>
          <w:lang w:val="en-US" w:eastAsia="zh-CN"/>
        </w:rPr>
      </w:pPr>
    </w:p>
    <w:p w14:paraId="313CFD29">
      <w:pPr>
        <w:pStyle w:val="2"/>
        <w:bidi w:val="0"/>
        <w:rPr>
          <w:rFonts w:hint="default"/>
          <w:lang w:val="en-US" w:eastAsia="zh-CN"/>
        </w:rPr>
      </w:pPr>
      <w:r>
        <w:rPr>
          <w:rFonts w:hint="default"/>
          <w:lang w:val="en-US" w:eastAsia="zh-CN"/>
        </w:rPr>
        <w:t>四、实验配置</w:t>
      </w:r>
    </w:p>
    <w:p w14:paraId="7D2E689B">
      <w:pPr>
        <w:pStyle w:val="3"/>
        <w:bidi w:val="0"/>
        <w:rPr>
          <w:rFonts w:hint="default"/>
          <w:lang w:val="en-US" w:eastAsia="zh-CN"/>
        </w:rPr>
      </w:pPr>
      <w:r>
        <w:rPr>
          <w:rFonts w:hint="default"/>
          <w:lang w:val="en-US" w:eastAsia="zh-CN"/>
        </w:rPr>
        <w:t>4.</w:t>
      </w:r>
      <w:r>
        <w:rPr>
          <w:rFonts w:hint="eastAsia"/>
          <w:lang w:val="en-US" w:eastAsia="zh-CN"/>
        </w:rPr>
        <w:t>1</w:t>
      </w:r>
      <w:r>
        <w:rPr>
          <w:rFonts w:hint="default"/>
          <w:lang w:val="en-US" w:eastAsia="zh-CN"/>
        </w:rPr>
        <w:t xml:space="preserve"> 超参数</w:t>
      </w:r>
    </w:p>
    <w:tbl>
      <w:tblPr>
        <w:tblW w:w="8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182"/>
        <w:gridCol w:w="5177"/>
      </w:tblGrid>
      <w:tr w14:paraId="1181B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20" w:type="dxa"/>
              <w:left w:w="0" w:type="dxa"/>
              <w:bottom w:w="120" w:type="dxa"/>
              <w:right w:w="192" w:type="dxa"/>
            </w:tcMar>
            <w:vAlign w:val="center"/>
          </w:tcPr>
          <w:p w14:paraId="20148CE1">
            <w:pPr>
              <w:bidi w:val="0"/>
            </w:pPr>
            <w:r>
              <w:rPr>
                <w:rFonts w:hint="default"/>
                <w:lang w:val="en-US" w:eastAsia="zh-CN"/>
              </w:rPr>
              <w:t>参数</w:t>
            </w:r>
          </w:p>
        </w:tc>
        <w:tc>
          <w:tcPr>
            <w:tcW w:w="0" w:type="auto"/>
            <w:tcBorders>
              <w:top w:val="nil"/>
            </w:tcBorders>
            <w:shd w:val="clear" w:color="auto" w:fill="FFFFFF"/>
            <w:tcMar>
              <w:top w:w="120" w:type="dxa"/>
              <w:left w:w="192" w:type="dxa"/>
              <w:bottom w:w="120" w:type="dxa"/>
              <w:right w:w="192" w:type="dxa"/>
            </w:tcMar>
            <w:vAlign w:val="center"/>
          </w:tcPr>
          <w:p w14:paraId="28D167FC">
            <w:pPr>
              <w:bidi w:val="0"/>
              <w:rPr>
                <w:rFonts w:hint="default"/>
              </w:rPr>
            </w:pPr>
            <w:r>
              <w:rPr>
                <w:rFonts w:hint="default"/>
                <w:lang w:val="en-US" w:eastAsia="zh-CN"/>
              </w:rPr>
              <w:t>取值</w:t>
            </w:r>
          </w:p>
        </w:tc>
      </w:tr>
      <w:tr w14:paraId="40381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9CD9430">
            <w:pPr>
              <w:bidi w:val="0"/>
              <w:rPr>
                <w:rFonts w:hint="default"/>
              </w:rPr>
            </w:pPr>
            <w:r>
              <w:rPr>
                <w:rFonts w:hint="default"/>
                <w:lang w:val="en-US" w:eastAsia="zh-CN"/>
              </w:rPr>
              <w:t>批次大小</w:t>
            </w:r>
          </w:p>
        </w:tc>
        <w:tc>
          <w:tcPr>
            <w:tcW w:w="0" w:type="auto"/>
            <w:shd w:val="clear" w:color="auto" w:fill="FFFFFF"/>
            <w:tcMar>
              <w:top w:w="120" w:type="dxa"/>
              <w:left w:w="192" w:type="dxa"/>
              <w:bottom w:w="120" w:type="dxa"/>
              <w:right w:w="0" w:type="dxa"/>
            </w:tcMar>
            <w:vAlign w:val="center"/>
          </w:tcPr>
          <w:p w14:paraId="6EC45A25">
            <w:pPr>
              <w:bidi w:val="0"/>
              <w:rPr>
                <w:rFonts w:hint="default"/>
              </w:rPr>
            </w:pPr>
            <w:r>
              <w:rPr>
                <w:rFonts w:hint="default"/>
                <w:lang w:val="en-US" w:eastAsia="zh-CN"/>
              </w:rPr>
              <w:t>16</w:t>
            </w:r>
          </w:p>
        </w:tc>
      </w:tr>
      <w:tr w14:paraId="28767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5C338D00">
            <w:pPr>
              <w:bidi w:val="0"/>
              <w:rPr>
                <w:rFonts w:hint="default"/>
              </w:rPr>
            </w:pPr>
            <w:r>
              <w:rPr>
                <w:rFonts w:hint="default"/>
                <w:lang w:val="en-US" w:eastAsia="zh-CN"/>
              </w:rPr>
              <w:t>学习率</w:t>
            </w:r>
          </w:p>
        </w:tc>
        <w:tc>
          <w:tcPr>
            <w:tcW w:w="0" w:type="auto"/>
            <w:shd w:val="clear" w:color="auto" w:fill="FFFFFF"/>
            <w:tcMar>
              <w:top w:w="120" w:type="dxa"/>
              <w:left w:w="192" w:type="dxa"/>
              <w:bottom w:w="120" w:type="dxa"/>
              <w:right w:w="0" w:type="dxa"/>
            </w:tcMar>
            <w:vAlign w:val="center"/>
          </w:tcPr>
          <w:p w14:paraId="2A210CE5">
            <w:pPr>
              <w:bidi w:val="0"/>
              <w:rPr>
                <w:rFonts w:hint="default"/>
              </w:rPr>
            </w:pPr>
            <w:r>
              <w:rPr>
                <w:rFonts w:hint="default"/>
                <w:lang w:val="en-US" w:eastAsia="zh-CN"/>
              </w:rPr>
              <w:t>1e-3</w:t>
            </w:r>
          </w:p>
        </w:tc>
      </w:tr>
      <w:tr w14:paraId="47DD5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B9F7842">
            <w:pPr>
              <w:bidi w:val="0"/>
              <w:rPr>
                <w:rFonts w:hint="default"/>
              </w:rPr>
            </w:pPr>
            <w:r>
              <w:rPr>
                <w:rFonts w:hint="default"/>
                <w:lang w:val="en-US" w:eastAsia="zh-CN"/>
              </w:rPr>
              <w:t>优化器</w:t>
            </w:r>
          </w:p>
        </w:tc>
        <w:tc>
          <w:tcPr>
            <w:tcW w:w="0" w:type="auto"/>
            <w:shd w:val="clear" w:color="auto" w:fill="FFFFFF"/>
            <w:tcMar>
              <w:top w:w="120" w:type="dxa"/>
              <w:left w:w="192" w:type="dxa"/>
              <w:bottom w:w="120" w:type="dxa"/>
              <w:right w:w="0" w:type="dxa"/>
            </w:tcMar>
            <w:vAlign w:val="center"/>
          </w:tcPr>
          <w:p w14:paraId="3353AF28">
            <w:pPr>
              <w:bidi w:val="0"/>
              <w:rPr>
                <w:rFonts w:hint="default"/>
              </w:rPr>
            </w:pPr>
            <w:r>
              <w:rPr>
                <w:rFonts w:hint="default"/>
                <w:lang w:val="en-US" w:eastAsia="zh-CN"/>
              </w:rPr>
              <w:t>Adam</w:t>
            </w:r>
          </w:p>
        </w:tc>
      </w:tr>
      <w:tr w14:paraId="6BE1F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8E92C7E">
            <w:pPr>
              <w:bidi w:val="0"/>
              <w:rPr>
                <w:rFonts w:hint="default"/>
              </w:rPr>
            </w:pPr>
            <w:r>
              <w:rPr>
                <w:rFonts w:hint="default"/>
                <w:lang w:val="en-US" w:eastAsia="zh-CN"/>
              </w:rPr>
              <w:t>损失函数</w:t>
            </w:r>
          </w:p>
        </w:tc>
        <w:tc>
          <w:tcPr>
            <w:tcW w:w="0" w:type="auto"/>
            <w:shd w:val="clear" w:color="auto" w:fill="FFFFFF"/>
            <w:tcMar>
              <w:top w:w="120" w:type="dxa"/>
              <w:left w:w="192" w:type="dxa"/>
              <w:bottom w:w="120" w:type="dxa"/>
              <w:right w:w="0" w:type="dxa"/>
            </w:tcMar>
            <w:vAlign w:val="center"/>
          </w:tcPr>
          <w:p w14:paraId="29289B99">
            <w:pPr>
              <w:bidi w:val="0"/>
              <w:rPr>
                <w:rFonts w:hint="default"/>
              </w:rPr>
            </w:pPr>
            <w:r>
              <w:rPr>
                <w:rFonts w:hint="default"/>
                <w:lang w:val="en-US" w:eastAsia="zh-CN"/>
              </w:rPr>
              <w:t>CrossEntropyLoss</w:t>
            </w:r>
          </w:p>
        </w:tc>
      </w:tr>
      <w:tr w14:paraId="7E27D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68FD287">
            <w:pPr>
              <w:bidi w:val="0"/>
              <w:rPr>
                <w:rFonts w:hint="default"/>
              </w:rPr>
            </w:pPr>
            <w:r>
              <w:rPr>
                <w:rFonts w:hint="default"/>
                <w:lang w:val="en-US" w:eastAsia="zh-CN"/>
              </w:rPr>
              <w:t>训练轮数</w:t>
            </w:r>
          </w:p>
        </w:tc>
        <w:tc>
          <w:tcPr>
            <w:tcW w:w="0" w:type="auto"/>
            <w:shd w:val="clear" w:color="auto" w:fill="FFFFFF"/>
            <w:tcMar>
              <w:top w:w="120" w:type="dxa"/>
              <w:left w:w="192" w:type="dxa"/>
              <w:bottom w:w="120" w:type="dxa"/>
              <w:right w:w="0" w:type="dxa"/>
            </w:tcMar>
            <w:vAlign w:val="center"/>
          </w:tcPr>
          <w:p w14:paraId="0FF9290B">
            <w:pPr>
              <w:bidi w:val="0"/>
              <w:rPr>
                <w:rFonts w:hint="default"/>
              </w:rPr>
            </w:pPr>
            <w:r>
              <w:rPr>
                <w:rFonts w:hint="default"/>
                <w:lang w:val="en-US" w:eastAsia="zh-CN"/>
              </w:rPr>
              <w:t>20</w:t>
            </w:r>
          </w:p>
        </w:tc>
      </w:tr>
      <w:tr w14:paraId="6F77B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87C3E4E">
            <w:pPr>
              <w:bidi w:val="0"/>
              <w:rPr>
                <w:rFonts w:hint="default"/>
              </w:rPr>
            </w:pPr>
            <w:r>
              <w:rPr>
                <w:rFonts w:hint="default"/>
                <w:lang w:val="en-US" w:eastAsia="zh-CN"/>
              </w:rPr>
              <w:t>Dropout</w:t>
            </w:r>
          </w:p>
        </w:tc>
        <w:tc>
          <w:tcPr>
            <w:tcW w:w="0" w:type="auto"/>
            <w:shd w:val="clear" w:color="auto" w:fill="FFFFFF"/>
            <w:tcMar>
              <w:top w:w="120" w:type="dxa"/>
              <w:left w:w="192" w:type="dxa"/>
              <w:bottom w:w="120" w:type="dxa"/>
              <w:right w:w="0" w:type="dxa"/>
            </w:tcMar>
            <w:vAlign w:val="center"/>
          </w:tcPr>
          <w:p w14:paraId="3AFD8F36">
            <w:pPr>
              <w:bidi w:val="0"/>
              <w:rPr>
                <w:rFonts w:hint="default"/>
              </w:rPr>
            </w:pPr>
            <w:r>
              <w:rPr>
                <w:rFonts w:hint="default"/>
                <w:lang w:val="en-US" w:eastAsia="zh-CN"/>
              </w:rPr>
              <w:t>0.1</w:t>
            </w:r>
          </w:p>
        </w:tc>
      </w:tr>
    </w:tbl>
    <w:p w14:paraId="64E4E8C2">
      <w:pPr>
        <w:pStyle w:val="3"/>
        <w:bidi w:val="0"/>
        <w:rPr>
          <w:rFonts w:hint="default"/>
          <w:lang w:val="en-US" w:eastAsia="zh-CN"/>
        </w:rPr>
      </w:pPr>
      <w:r>
        <w:rPr>
          <w:rFonts w:hint="default"/>
          <w:lang w:val="en-US" w:eastAsia="zh-CN"/>
        </w:rPr>
        <w:t>4.</w:t>
      </w:r>
      <w:r>
        <w:rPr>
          <w:rFonts w:hint="eastAsia"/>
          <w:lang w:val="en-US" w:eastAsia="zh-CN"/>
        </w:rPr>
        <w:t>2</w:t>
      </w:r>
      <w:r>
        <w:rPr>
          <w:rFonts w:hint="default"/>
          <w:lang w:val="en-US" w:eastAsia="zh-CN"/>
        </w:rPr>
        <w:t xml:space="preserve"> 训练策略</w:t>
      </w:r>
    </w:p>
    <w:p w14:paraId="53DE7FC2">
      <w:pPr>
        <w:bidi w:val="0"/>
        <w:rPr>
          <w:rFonts w:hint="default"/>
          <w:lang w:val="en-US" w:eastAsia="zh-CN"/>
        </w:rPr>
      </w:pPr>
      <w:r>
        <w:rPr>
          <w:rFonts w:hint="default"/>
          <w:lang w:val="en-US" w:eastAsia="zh-CN"/>
        </w:rPr>
        <w:t>使用 早停 观察验证损失（本实验因数据规模较小，固定轮次）。</w:t>
      </w:r>
    </w:p>
    <w:p w14:paraId="45C8CCF1">
      <w:pPr>
        <w:bidi w:val="0"/>
        <w:rPr>
          <w:rFonts w:hint="default"/>
          <w:lang w:val="en-US" w:eastAsia="zh-CN"/>
        </w:rPr>
      </w:pPr>
      <w:r>
        <w:rPr>
          <w:rFonts w:hint="default"/>
          <w:lang w:val="en-US" w:eastAsia="zh-CN"/>
        </w:rPr>
        <w:t>每个 epoch 后计算训练损失和测试准确率，并保存最佳模型。</w:t>
      </w:r>
    </w:p>
    <w:p w14:paraId="25486665">
      <w:pPr>
        <w:pStyle w:val="2"/>
        <w:bidi w:val="0"/>
        <w:rPr>
          <w:rFonts w:hint="default"/>
          <w:lang w:val="en-US" w:eastAsia="zh-CN"/>
        </w:rPr>
      </w:pPr>
      <w:r>
        <w:rPr>
          <w:rFonts w:hint="default"/>
          <w:lang w:val="en-US" w:eastAsia="zh-CN"/>
        </w:rPr>
        <w:t>五、实验结果与分析</w:t>
      </w:r>
    </w:p>
    <w:p w14:paraId="049DD959">
      <w:pPr>
        <w:pStyle w:val="3"/>
        <w:bidi w:val="0"/>
        <w:rPr>
          <w:rFonts w:hint="default"/>
          <w:lang w:val="en-US" w:eastAsia="zh-CN"/>
        </w:rPr>
      </w:pPr>
      <w:r>
        <w:rPr>
          <w:rFonts w:hint="default"/>
          <w:lang w:val="en-US" w:eastAsia="zh-CN"/>
        </w:rPr>
        <w:t>5.1 训练过程</w:t>
      </w:r>
    </w:p>
    <w:p w14:paraId="102D5692">
      <w:pPr>
        <w:bidi w:val="0"/>
        <w:rPr>
          <w:rFonts w:hint="default"/>
          <w:lang w:val="en-US" w:eastAsia="zh-CN"/>
        </w:rPr>
      </w:pPr>
      <w:r>
        <w:rPr>
          <w:rFonts w:hint="default"/>
          <w:lang w:val="en-US" w:eastAsia="zh-CN"/>
        </w:rPr>
        <w:t>经过 20 轮训练，训练损失从 1.79 降至 0.23，训练准确率从 25% 升至 94%；测试损失从 1.82 降至 0.41，测试准确率稳定在 82%~86%。</w:t>
      </w:r>
    </w:p>
    <w:p w14:paraId="71139C88">
      <w:pPr>
        <w:pStyle w:val="3"/>
        <w:bidi w:val="0"/>
        <w:rPr>
          <w:rFonts w:hint="default"/>
          <w:lang w:val="en-US" w:eastAsia="zh-CN"/>
        </w:rPr>
      </w:pPr>
      <w:r>
        <w:rPr>
          <w:rFonts w:hint="default"/>
          <w:lang w:val="en-US" w:eastAsia="zh-CN"/>
        </w:rPr>
        <w:t>5.2 测试集评估</w:t>
      </w:r>
    </w:p>
    <w:p w14:paraId="3CE288A1">
      <w:pPr>
        <w:bidi w:val="0"/>
        <w:rPr>
          <w:rFonts w:hint="default"/>
          <w:lang w:val="en-US" w:eastAsia="zh-CN"/>
        </w:rPr>
      </w:pPr>
      <w:r>
        <w:rPr>
          <w:rFonts w:hint="default"/>
          <w:lang w:val="en-US" w:eastAsia="zh-CN"/>
        </w:rPr>
        <w:t>最终测试集准确率：84.3%</w:t>
      </w:r>
    </w:p>
    <w:p w14:paraId="1CB9BC6E">
      <w:pPr>
        <w:bidi w:val="0"/>
        <w:rPr>
          <w:rFonts w:hint="default"/>
          <w:lang w:val="en-US" w:eastAsia="zh-CN"/>
        </w:rPr>
      </w:pPr>
      <w:r>
        <w:rPr>
          <w:rFonts w:hint="default"/>
          <w:lang w:val="en-US" w:eastAsia="zh-CN"/>
        </w:rPr>
        <w:t>混淆矩阵（归一化）：</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32"/>
        <w:gridCol w:w="1224"/>
        <w:gridCol w:w="1224"/>
        <w:gridCol w:w="1224"/>
        <w:gridCol w:w="1224"/>
        <w:gridCol w:w="1224"/>
        <w:gridCol w:w="1224"/>
      </w:tblGrid>
      <w:tr w14:paraId="41E8F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20" w:type="dxa"/>
              <w:left w:w="192" w:type="dxa"/>
              <w:bottom w:w="120" w:type="dxa"/>
              <w:right w:w="192" w:type="dxa"/>
            </w:tcMar>
            <w:vAlign w:val="center"/>
          </w:tcPr>
          <w:p w14:paraId="1A25CF1F">
            <w:pPr>
              <w:bidi w:val="0"/>
              <w:rPr>
                <w:rFonts w:hint="default"/>
                <w:lang w:val="en-US" w:eastAsia="zh-CN"/>
              </w:rPr>
            </w:pPr>
          </w:p>
        </w:tc>
        <w:tc>
          <w:tcPr>
            <w:tcW w:w="0" w:type="auto"/>
            <w:tcBorders>
              <w:top w:val="nil"/>
            </w:tcBorders>
            <w:shd w:val="clear" w:color="auto" w:fill="FFFFFF"/>
            <w:tcMar>
              <w:top w:w="120" w:type="dxa"/>
              <w:left w:w="192" w:type="dxa"/>
              <w:bottom w:w="120" w:type="dxa"/>
              <w:right w:w="192" w:type="dxa"/>
            </w:tcMar>
            <w:vAlign w:val="center"/>
          </w:tcPr>
          <w:p w14:paraId="60047C38">
            <w:pPr>
              <w:bidi w:val="0"/>
            </w:pPr>
            <w:r>
              <w:rPr>
                <w:rFonts w:hint="default"/>
                <w:lang w:val="en-US" w:eastAsia="zh-CN"/>
              </w:rPr>
              <w:br w:type="textWrapping"/>
            </w:r>
            <w:r>
              <w:rPr>
                <w:rFonts w:hint="default"/>
                <w:lang w:val="en-US" w:eastAsia="zh-CN"/>
              </w:rPr>
              <w:t>正手平抽</w:t>
            </w:r>
          </w:p>
        </w:tc>
        <w:tc>
          <w:tcPr>
            <w:tcW w:w="0" w:type="auto"/>
            <w:tcBorders>
              <w:top w:val="nil"/>
            </w:tcBorders>
            <w:shd w:val="clear" w:color="auto" w:fill="FFFFFF"/>
            <w:tcMar>
              <w:top w:w="120" w:type="dxa"/>
              <w:left w:w="192" w:type="dxa"/>
              <w:bottom w:w="120" w:type="dxa"/>
              <w:right w:w="192" w:type="dxa"/>
            </w:tcMar>
            <w:vAlign w:val="center"/>
          </w:tcPr>
          <w:p w14:paraId="1B73512A">
            <w:pPr>
              <w:bidi w:val="0"/>
              <w:rPr>
                <w:rFonts w:hint="default"/>
              </w:rPr>
            </w:pPr>
            <w:r>
              <w:rPr>
                <w:rFonts w:hint="default"/>
                <w:lang w:val="en-US" w:eastAsia="zh-CN"/>
              </w:rPr>
              <w:t>正手挑球</w:t>
            </w:r>
          </w:p>
        </w:tc>
        <w:tc>
          <w:tcPr>
            <w:tcW w:w="0" w:type="auto"/>
            <w:tcBorders>
              <w:top w:val="nil"/>
            </w:tcBorders>
            <w:shd w:val="clear" w:color="auto" w:fill="FFFFFF"/>
            <w:tcMar>
              <w:top w:w="120" w:type="dxa"/>
              <w:left w:w="192" w:type="dxa"/>
              <w:bottom w:w="120" w:type="dxa"/>
              <w:right w:w="192" w:type="dxa"/>
            </w:tcMar>
            <w:vAlign w:val="center"/>
          </w:tcPr>
          <w:p w14:paraId="2EEA21FE">
            <w:pPr>
              <w:bidi w:val="0"/>
              <w:rPr>
                <w:rFonts w:hint="default"/>
              </w:rPr>
            </w:pPr>
            <w:r>
              <w:rPr>
                <w:rFonts w:hint="default"/>
                <w:lang w:val="en-US" w:eastAsia="zh-CN"/>
              </w:rPr>
              <w:t>正手网前</w:t>
            </w:r>
          </w:p>
        </w:tc>
        <w:tc>
          <w:tcPr>
            <w:tcW w:w="0" w:type="auto"/>
            <w:tcBorders>
              <w:top w:val="nil"/>
            </w:tcBorders>
            <w:shd w:val="clear" w:color="auto" w:fill="FFFFFF"/>
            <w:tcMar>
              <w:top w:w="120" w:type="dxa"/>
              <w:left w:w="192" w:type="dxa"/>
              <w:bottom w:w="120" w:type="dxa"/>
              <w:right w:w="192" w:type="dxa"/>
            </w:tcMar>
            <w:vAlign w:val="center"/>
          </w:tcPr>
          <w:p w14:paraId="10880436">
            <w:pPr>
              <w:bidi w:val="0"/>
              <w:rPr>
                <w:rFonts w:hint="default"/>
              </w:rPr>
            </w:pPr>
            <w:r>
              <w:rPr>
                <w:rFonts w:hint="default"/>
                <w:lang w:val="en-US" w:eastAsia="zh-CN"/>
              </w:rPr>
              <w:t>正手高远</w:t>
            </w:r>
          </w:p>
        </w:tc>
        <w:tc>
          <w:tcPr>
            <w:tcW w:w="0" w:type="auto"/>
            <w:tcBorders>
              <w:top w:val="nil"/>
            </w:tcBorders>
            <w:shd w:val="clear" w:color="auto" w:fill="FFFFFF"/>
            <w:tcMar>
              <w:top w:w="120" w:type="dxa"/>
              <w:left w:w="192" w:type="dxa"/>
              <w:bottom w:w="120" w:type="dxa"/>
              <w:right w:w="192" w:type="dxa"/>
            </w:tcMar>
            <w:vAlign w:val="center"/>
          </w:tcPr>
          <w:p w14:paraId="1BB3959F">
            <w:pPr>
              <w:bidi w:val="0"/>
              <w:rPr>
                <w:rFonts w:hint="default"/>
              </w:rPr>
            </w:pPr>
            <w:r>
              <w:rPr>
                <w:rFonts w:hint="default"/>
                <w:lang w:val="en-US" w:eastAsia="zh-CN"/>
              </w:rPr>
              <w:t>反手平抽</w:t>
            </w:r>
          </w:p>
        </w:tc>
        <w:tc>
          <w:tcPr>
            <w:tcW w:w="0" w:type="auto"/>
            <w:tcBorders>
              <w:top w:val="nil"/>
            </w:tcBorders>
            <w:shd w:val="clear" w:color="auto" w:fill="FFFFFF"/>
            <w:tcMar>
              <w:top w:w="120" w:type="dxa"/>
              <w:left w:w="192" w:type="dxa"/>
              <w:bottom w:w="120" w:type="dxa"/>
              <w:right w:w="192" w:type="dxa"/>
            </w:tcMar>
            <w:vAlign w:val="center"/>
          </w:tcPr>
          <w:p w14:paraId="59B48734">
            <w:pPr>
              <w:bidi w:val="0"/>
              <w:rPr>
                <w:rFonts w:hint="default"/>
              </w:rPr>
            </w:pPr>
            <w:r>
              <w:rPr>
                <w:rFonts w:hint="default"/>
                <w:lang w:val="en-US" w:eastAsia="zh-CN"/>
              </w:rPr>
              <w:t>反手网前</w:t>
            </w:r>
          </w:p>
        </w:tc>
      </w:tr>
      <w:tr w14:paraId="514C5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8B2DC0F">
            <w:pPr>
              <w:bidi w:val="0"/>
              <w:rPr>
                <w:rFonts w:hint="default"/>
              </w:rPr>
            </w:pPr>
            <w:r>
              <w:rPr>
                <w:rFonts w:hint="default"/>
                <w:lang w:val="en-US" w:eastAsia="zh-CN"/>
              </w:rPr>
              <w:t>正手平抽</w:t>
            </w:r>
          </w:p>
        </w:tc>
        <w:tc>
          <w:tcPr>
            <w:tcW w:w="0" w:type="auto"/>
            <w:shd w:val="clear" w:color="auto" w:fill="FFFFFF"/>
            <w:tcMar>
              <w:top w:w="120" w:type="dxa"/>
              <w:left w:w="192" w:type="dxa"/>
              <w:bottom w:w="120" w:type="dxa"/>
              <w:right w:w="192" w:type="dxa"/>
            </w:tcMar>
            <w:vAlign w:val="center"/>
          </w:tcPr>
          <w:p w14:paraId="15634F2D">
            <w:pPr>
              <w:bidi w:val="0"/>
              <w:rPr>
                <w:rFonts w:hint="default"/>
              </w:rPr>
            </w:pPr>
            <w:r>
              <w:rPr>
                <w:rFonts w:hint="default"/>
                <w:lang w:val="en-US" w:eastAsia="zh-CN"/>
              </w:rPr>
              <w:t>0.85</w:t>
            </w:r>
          </w:p>
        </w:tc>
        <w:tc>
          <w:tcPr>
            <w:tcW w:w="0" w:type="auto"/>
            <w:shd w:val="clear" w:color="auto" w:fill="FFFFFF"/>
            <w:tcMar>
              <w:top w:w="120" w:type="dxa"/>
              <w:left w:w="192" w:type="dxa"/>
              <w:bottom w:w="120" w:type="dxa"/>
              <w:right w:w="192" w:type="dxa"/>
            </w:tcMar>
            <w:vAlign w:val="center"/>
          </w:tcPr>
          <w:p w14:paraId="10B8FE41">
            <w:pPr>
              <w:bidi w:val="0"/>
              <w:rPr>
                <w:rFonts w:hint="default"/>
              </w:rPr>
            </w:pPr>
            <w:r>
              <w:rPr>
                <w:rFonts w:hint="default"/>
                <w:lang w:val="en-US" w:eastAsia="zh-CN"/>
              </w:rPr>
              <w:t>0.05</w:t>
            </w:r>
          </w:p>
        </w:tc>
        <w:tc>
          <w:tcPr>
            <w:tcW w:w="0" w:type="auto"/>
            <w:shd w:val="clear" w:color="auto" w:fill="FFFFFF"/>
            <w:tcMar>
              <w:top w:w="120" w:type="dxa"/>
              <w:left w:w="192" w:type="dxa"/>
              <w:bottom w:w="120" w:type="dxa"/>
              <w:right w:w="192" w:type="dxa"/>
            </w:tcMar>
            <w:vAlign w:val="center"/>
          </w:tcPr>
          <w:p w14:paraId="2286925B">
            <w:pPr>
              <w:bidi w:val="0"/>
              <w:rPr>
                <w:rFonts w:hint="default"/>
              </w:rPr>
            </w:pPr>
            <w:r>
              <w:rPr>
                <w:rFonts w:hint="default"/>
                <w:lang w:val="en-US" w:eastAsia="zh-CN"/>
              </w:rPr>
              <w:t>0.02</w:t>
            </w:r>
          </w:p>
        </w:tc>
        <w:tc>
          <w:tcPr>
            <w:tcW w:w="0" w:type="auto"/>
            <w:shd w:val="clear" w:color="auto" w:fill="FFFFFF"/>
            <w:tcMar>
              <w:top w:w="120" w:type="dxa"/>
              <w:left w:w="192" w:type="dxa"/>
              <w:bottom w:w="120" w:type="dxa"/>
              <w:right w:w="192" w:type="dxa"/>
            </w:tcMar>
            <w:vAlign w:val="center"/>
          </w:tcPr>
          <w:p w14:paraId="2FCB2300">
            <w:pPr>
              <w:bidi w:val="0"/>
              <w:rPr>
                <w:rFonts w:hint="default"/>
              </w:rPr>
            </w:pPr>
            <w:r>
              <w:rPr>
                <w:rFonts w:hint="default"/>
                <w:lang w:val="en-US" w:eastAsia="zh-CN"/>
              </w:rPr>
              <w:t>0.03</w:t>
            </w:r>
          </w:p>
        </w:tc>
        <w:tc>
          <w:tcPr>
            <w:tcW w:w="0" w:type="auto"/>
            <w:shd w:val="clear" w:color="auto" w:fill="FFFFFF"/>
            <w:tcMar>
              <w:top w:w="120" w:type="dxa"/>
              <w:left w:w="192" w:type="dxa"/>
              <w:bottom w:w="120" w:type="dxa"/>
              <w:right w:w="192" w:type="dxa"/>
            </w:tcMar>
            <w:vAlign w:val="center"/>
          </w:tcPr>
          <w:p w14:paraId="66E01362">
            <w:pPr>
              <w:bidi w:val="0"/>
              <w:rPr>
                <w:rFonts w:hint="default"/>
              </w:rPr>
            </w:pPr>
            <w:r>
              <w:rPr>
                <w:rFonts w:hint="default"/>
                <w:lang w:val="en-US" w:eastAsia="zh-CN"/>
              </w:rPr>
              <w:t>0.03</w:t>
            </w:r>
          </w:p>
        </w:tc>
        <w:tc>
          <w:tcPr>
            <w:tcW w:w="0" w:type="auto"/>
            <w:shd w:val="clear" w:color="auto" w:fill="FFFFFF"/>
            <w:tcMar>
              <w:top w:w="120" w:type="dxa"/>
              <w:left w:w="192" w:type="dxa"/>
              <w:bottom w:w="120" w:type="dxa"/>
              <w:right w:w="0" w:type="dxa"/>
            </w:tcMar>
            <w:vAlign w:val="center"/>
          </w:tcPr>
          <w:p w14:paraId="7E045A60">
            <w:pPr>
              <w:bidi w:val="0"/>
              <w:rPr>
                <w:rFonts w:hint="default"/>
              </w:rPr>
            </w:pPr>
            <w:r>
              <w:rPr>
                <w:rFonts w:hint="default"/>
                <w:lang w:val="en-US" w:eastAsia="zh-CN"/>
              </w:rPr>
              <w:t>0.02</w:t>
            </w:r>
          </w:p>
        </w:tc>
      </w:tr>
      <w:tr w14:paraId="6091C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DD0D9C4">
            <w:pPr>
              <w:bidi w:val="0"/>
              <w:rPr>
                <w:rFonts w:hint="default"/>
              </w:rPr>
            </w:pPr>
            <w:r>
              <w:rPr>
                <w:rFonts w:hint="default"/>
                <w:lang w:val="en-US" w:eastAsia="zh-CN"/>
              </w:rPr>
              <w:t>正手挑球</w:t>
            </w:r>
          </w:p>
        </w:tc>
        <w:tc>
          <w:tcPr>
            <w:tcW w:w="0" w:type="auto"/>
            <w:shd w:val="clear" w:color="auto" w:fill="FFFFFF"/>
            <w:tcMar>
              <w:top w:w="120" w:type="dxa"/>
              <w:left w:w="192" w:type="dxa"/>
              <w:bottom w:w="120" w:type="dxa"/>
              <w:right w:w="192" w:type="dxa"/>
            </w:tcMar>
            <w:vAlign w:val="center"/>
          </w:tcPr>
          <w:p w14:paraId="09B44267">
            <w:pPr>
              <w:bidi w:val="0"/>
              <w:rPr>
                <w:rFonts w:hint="default"/>
              </w:rPr>
            </w:pPr>
            <w:r>
              <w:rPr>
                <w:rFonts w:hint="default"/>
                <w:lang w:val="en-US" w:eastAsia="zh-CN"/>
              </w:rPr>
              <w:t>0.04</w:t>
            </w:r>
          </w:p>
        </w:tc>
        <w:tc>
          <w:tcPr>
            <w:tcW w:w="0" w:type="auto"/>
            <w:shd w:val="clear" w:color="auto" w:fill="FFFFFF"/>
            <w:tcMar>
              <w:top w:w="120" w:type="dxa"/>
              <w:left w:w="192" w:type="dxa"/>
              <w:bottom w:w="120" w:type="dxa"/>
              <w:right w:w="192" w:type="dxa"/>
            </w:tcMar>
            <w:vAlign w:val="center"/>
          </w:tcPr>
          <w:p w14:paraId="33A7F933">
            <w:pPr>
              <w:bidi w:val="0"/>
              <w:rPr>
                <w:rFonts w:hint="default"/>
              </w:rPr>
            </w:pPr>
            <w:r>
              <w:rPr>
                <w:rFonts w:hint="default"/>
                <w:lang w:val="en-US" w:eastAsia="zh-CN"/>
              </w:rPr>
              <w:t>0.88</w:t>
            </w:r>
          </w:p>
        </w:tc>
        <w:tc>
          <w:tcPr>
            <w:tcW w:w="0" w:type="auto"/>
            <w:shd w:val="clear" w:color="auto" w:fill="FFFFFF"/>
            <w:tcMar>
              <w:top w:w="120" w:type="dxa"/>
              <w:left w:w="192" w:type="dxa"/>
              <w:bottom w:w="120" w:type="dxa"/>
              <w:right w:w="192" w:type="dxa"/>
            </w:tcMar>
            <w:vAlign w:val="center"/>
          </w:tcPr>
          <w:p w14:paraId="668273A7">
            <w:pPr>
              <w:bidi w:val="0"/>
              <w:rPr>
                <w:rFonts w:hint="default"/>
              </w:rPr>
            </w:pPr>
            <w:r>
              <w:rPr>
                <w:rFonts w:hint="default"/>
                <w:lang w:val="en-US" w:eastAsia="zh-CN"/>
              </w:rPr>
              <w:t>0.02</w:t>
            </w:r>
          </w:p>
        </w:tc>
        <w:tc>
          <w:tcPr>
            <w:tcW w:w="0" w:type="auto"/>
            <w:shd w:val="clear" w:color="auto" w:fill="FFFFFF"/>
            <w:tcMar>
              <w:top w:w="120" w:type="dxa"/>
              <w:left w:w="192" w:type="dxa"/>
              <w:bottom w:w="120" w:type="dxa"/>
              <w:right w:w="192" w:type="dxa"/>
            </w:tcMar>
            <w:vAlign w:val="center"/>
          </w:tcPr>
          <w:p w14:paraId="28C8CB1B">
            <w:pPr>
              <w:bidi w:val="0"/>
              <w:rPr>
                <w:rFonts w:hint="default"/>
              </w:rPr>
            </w:pPr>
            <w:r>
              <w:rPr>
                <w:rFonts w:hint="default"/>
                <w:lang w:val="en-US" w:eastAsia="zh-CN"/>
              </w:rPr>
              <w:t>0.02</w:t>
            </w:r>
          </w:p>
        </w:tc>
        <w:tc>
          <w:tcPr>
            <w:tcW w:w="0" w:type="auto"/>
            <w:shd w:val="clear" w:color="auto" w:fill="FFFFFF"/>
            <w:tcMar>
              <w:top w:w="120" w:type="dxa"/>
              <w:left w:w="192" w:type="dxa"/>
              <w:bottom w:w="120" w:type="dxa"/>
              <w:right w:w="192" w:type="dxa"/>
            </w:tcMar>
            <w:vAlign w:val="center"/>
          </w:tcPr>
          <w:p w14:paraId="1D97493B">
            <w:pPr>
              <w:bidi w:val="0"/>
              <w:rPr>
                <w:rFonts w:hint="default"/>
              </w:rPr>
            </w:pPr>
            <w:r>
              <w:rPr>
                <w:rFonts w:hint="default"/>
                <w:lang w:val="en-US" w:eastAsia="zh-CN"/>
              </w:rPr>
              <w:t>0.02</w:t>
            </w:r>
          </w:p>
        </w:tc>
        <w:tc>
          <w:tcPr>
            <w:tcW w:w="0" w:type="auto"/>
            <w:shd w:val="clear" w:color="auto" w:fill="FFFFFF"/>
            <w:tcMar>
              <w:top w:w="120" w:type="dxa"/>
              <w:left w:w="192" w:type="dxa"/>
              <w:bottom w:w="120" w:type="dxa"/>
              <w:right w:w="0" w:type="dxa"/>
            </w:tcMar>
            <w:vAlign w:val="center"/>
          </w:tcPr>
          <w:p w14:paraId="400BD83E">
            <w:pPr>
              <w:bidi w:val="0"/>
              <w:rPr>
                <w:rFonts w:hint="default"/>
              </w:rPr>
            </w:pPr>
            <w:r>
              <w:rPr>
                <w:rFonts w:hint="default"/>
                <w:lang w:val="en-US" w:eastAsia="zh-CN"/>
              </w:rPr>
              <w:t>0.02</w:t>
            </w:r>
          </w:p>
        </w:tc>
      </w:tr>
      <w:tr w14:paraId="43522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E7794B0">
            <w:pPr>
              <w:bidi w:val="0"/>
              <w:rPr>
                <w:rFonts w:hint="default"/>
              </w:rPr>
            </w:pPr>
            <w:r>
              <w:rPr>
                <w:rFonts w:hint="default"/>
                <w:lang w:val="en-US" w:eastAsia="zh-CN"/>
              </w:rPr>
              <w:t>正手网前</w:t>
            </w:r>
          </w:p>
        </w:tc>
        <w:tc>
          <w:tcPr>
            <w:tcW w:w="0" w:type="auto"/>
            <w:shd w:val="clear" w:color="auto" w:fill="FFFFFF"/>
            <w:tcMar>
              <w:top w:w="120" w:type="dxa"/>
              <w:left w:w="192" w:type="dxa"/>
              <w:bottom w:w="120" w:type="dxa"/>
              <w:right w:w="192" w:type="dxa"/>
            </w:tcMar>
            <w:vAlign w:val="center"/>
          </w:tcPr>
          <w:p w14:paraId="2ECABB3F">
            <w:pPr>
              <w:bidi w:val="0"/>
              <w:rPr>
                <w:rFonts w:hint="default"/>
              </w:rPr>
            </w:pPr>
            <w:r>
              <w:rPr>
                <w:rFonts w:hint="default"/>
                <w:lang w:val="en-US" w:eastAsia="zh-CN"/>
              </w:rPr>
              <w:t>0.03</w:t>
            </w:r>
          </w:p>
        </w:tc>
        <w:tc>
          <w:tcPr>
            <w:tcW w:w="0" w:type="auto"/>
            <w:shd w:val="clear" w:color="auto" w:fill="FFFFFF"/>
            <w:tcMar>
              <w:top w:w="120" w:type="dxa"/>
              <w:left w:w="192" w:type="dxa"/>
              <w:bottom w:w="120" w:type="dxa"/>
              <w:right w:w="192" w:type="dxa"/>
            </w:tcMar>
            <w:vAlign w:val="center"/>
          </w:tcPr>
          <w:p w14:paraId="1DD4BC01">
            <w:pPr>
              <w:bidi w:val="0"/>
              <w:rPr>
                <w:rFonts w:hint="default"/>
              </w:rPr>
            </w:pPr>
            <w:r>
              <w:rPr>
                <w:rFonts w:hint="default"/>
                <w:lang w:val="en-US" w:eastAsia="zh-CN"/>
              </w:rPr>
              <w:t>0.04</w:t>
            </w:r>
          </w:p>
        </w:tc>
        <w:tc>
          <w:tcPr>
            <w:tcW w:w="0" w:type="auto"/>
            <w:shd w:val="clear" w:color="auto" w:fill="FFFFFF"/>
            <w:tcMar>
              <w:top w:w="120" w:type="dxa"/>
              <w:left w:w="192" w:type="dxa"/>
              <w:bottom w:w="120" w:type="dxa"/>
              <w:right w:w="192" w:type="dxa"/>
            </w:tcMar>
            <w:vAlign w:val="center"/>
          </w:tcPr>
          <w:p w14:paraId="1F7A5044">
            <w:pPr>
              <w:bidi w:val="0"/>
              <w:rPr>
                <w:rFonts w:hint="default"/>
              </w:rPr>
            </w:pPr>
            <w:r>
              <w:rPr>
                <w:rFonts w:hint="default"/>
                <w:lang w:val="en-US" w:eastAsia="zh-CN"/>
              </w:rPr>
              <w:t>0.82</w:t>
            </w:r>
          </w:p>
        </w:tc>
        <w:tc>
          <w:tcPr>
            <w:tcW w:w="0" w:type="auto"/>
            <w:shd w:val="clear" w:color="auto" w:fill="FFFFFF"/>
            <w:tcMar>
              <w:top w:w="120" w:type="dxa"/>
              <w:left w:w="192" w:type="dxa"/>
              <w:bottom w:w="120" w:type="dxa"/>
              <w:right w:w="192" w:type="dxa"/>
            </w:tcMar>
            <w:vAlign w:val="center"/>
          </w:tcPr>
          <w:p w14:paraId="3B4D8E3F">
            <w:pPr>
              <w:bidi w:val="0"/>
              <w:rPr>
                <w:rFonts w:hint="default"/>
              </w:rPr>
            </w:pPr>
            <w:r>
              <w:rPr>
                <w:rFonts w:hint="default"/>
                <w:lang w:val="en-US" w:eastAsia="zh-CN"/>
              </w:rPr>
              <w:t>0.03</w:t>
            </w:r>
          </w:p>
        </w:tc>
        <w:tc>
          <w:tcPr>
            <w:tcW w:w="0" w:type="auto"/>
            <w:shd w:val="clear" w:color="auto" w:fill="FFFFFF"/>
            <w:tcMar>
              <w:top w:w="120" w:type="dxa"/>
              <w:left w:w="192" w:type="dxa"/>
              <w:bottom w:w="120" w:type="dxa"/>
              <w:right w:w="192" w:type="dxa"/>
            </w:tcMar>
            <w:vAlign w:val="center"/>
          </w:tcPr>
          <w:p w14:paraId="09A06F98">
            <w:pPr>
              <w:bidi w:val="0"/>
              <w:rPr>
                <w:rFonts w:hint="default"/>
              </w:rPr>
            </w:pPr>
            <w:r>
              <w:rPr>
                <w:rFonts w:hint="default"/>
                <w:lang w:val="en-US" w:eastAsia="zh-CN"/>
              </w:rPr>
              <w:t>0.03</w:t>
            </w:r>
          </w:p>
        </w:tc>
        <w:tc>
          <w:tcPr>
            <w:tcW w:w="0" w:type="auto"/>
            <w:shd w:val="clear" w:color="auto" w:fill="FFFFFF"/>
            <w:tcMar>
              <w:top w:w="120" w:type="dxa"/>
              <w:left w:w="192" w:type="dxa"/>
              <w:bottom w:w="120" w:type="dxa"/>
              <w:right w:w="0" w:type="dxa"/>
            </w:tcMar>
            <w:vAlign w:val="center"/>
          </w:tcPr>
          <w:p w14:paraId="623AE6D8">
            <w:pPr>
              <w:bidi w:val="0"/>
              <w:rPr>
                <w:rFonts w:hint="default"/>
              </w:rPr>
            </w:pPr>
            <w:r>
              <w:rPr>
                <w:rFonts w:hint="default"/>
                <w:lang w:val="en-US" w:eastAsia="zh-CN"/>
              </w:rPr>
              <w:t>0.05</w:t>
            </w:r>
          </w:p>
        </w:tc>
      </w:tr>
      <w:tr w14:paraId="50610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B6CA914">
            <w:pPr>
              <w:bidi w:val="0"/>
              <w:rPr>
                <w:rFonts w:hint="default"/>
              </w:rPr>
            </w:pPr>
            <w:r>
              <w:rPr>
                <w:rFonts w:hint="default"/>
                <w:lang w:val="en-US" w:eastAsia="zh-CN"/>
              </w:rPr>
              <w:t>正手高远</w:t>
            </w:r>
          </w:p>
        </w:tc>
        <w:tc>
          <w:tcPr>
            <w:tcW w:w="0" w:type="auto"/>
            <w:shd w:val="clear" w:color="auto" w:fill="FFFFFF"/>
            <w:tcMar>
              <w:top w:w="120" w:type="dxa"/>
              <w:left w:w="192" w:type="dxa"/>
              <w:bottom w:w="120" w:type="dxa"/>
              <w:right w:w="192" w:type="dxa"/>
            </w:tcMar>
            <w:vAlign w:val="center"/>
          </w:tcPr>
          <w:p w14:paraId="052168AE">
            <w:pPr>
              <w:bidi w:val="0"/>
              <w:rPr>
                <w:rFonts w:hint="default"/>
              </w:rPr>
            </w:pPr>
            <w:r>
              <w:rPr>
                <w:rFonts w:hint="default"/>
                <w:lang w:val="en-US" w:eastAsia="zh-CN"/>
              </w:rPr>
              <w:t>0.06</w:t>
            </w:r>
          </w:p>
        </w:tc>
        <w:tc>
          <w:tcPr>
            <w:tcW w:w="0" w:type="auto"/>
            <w:shd w:val="clear" w:color="auto" w:fill="FFFFFF"/>
            <w:tcMar>
              <w:top w:w="120" w:type="dxa"/>
              <w:left w:w="192" w:type="dxa"/>
              <w:bottom w:w="120" w:type="dxa"/>
              <w:right w:w="192" w:type="dxa"/>
            </w:tcMar>
            <w:vAlign w:val="center"/>
          </w:tcPr>
          <w:p w14:paraId="69C237D0">
            <w:pPr>
              <w:bidi w:val="0"/>
              <w:rPr>
                <w:rFonts w:hint="default"/>
              </w:rPr>
            </w:pPr>
            <w:r>
              <w:rPr>
                <w:rFonts w:hint="default"/>
                <w:lang w:val="en-US" w:eastAsia="zh-CN"/>
              </w:rPr>
              <w:t>0.04</w:t>
            </w:r>
          </w:p>
        </w:tc>
        <w:tc>
          <w:tcPr>
            <w:tcW w:w="0" w:type="auto"/>
            <w:shd w:val="clear" w:color="auto" w:fill="FFFFFF"/>
            <w:tcMar>
              <w:top w:w="120" w:type="dxa"/>
              <w:left w:w="192" w:type="dxa"/>
              <w:bottom w:w="120" w:type="dxa"/>
              <w:right w:w="192" w:type="dxa"/>
            </w:tcMar>
            <w:vAlign w:val="center"/>
          </w:tcPr>
          <w:p w14:paraId="649943EC">
            <w:pPr>
              <w:bidi w:val="0"/>
              <w:rPr>
                <w:rFonts w:hint="default"/>
              </w:rPr>
            </w:pPr>
            <w:r>
              <w:rPr>
                <w:rFonts w:hint="default"/>
                <w:lang w:val="en-US" w:eastAsia="zh-CN"/>
              </w:rPr>
              <w:t>0.02</w:t>
            </w:r>
          </w:p>
        </w:tc>
        <w:tc>
          <w:tcPr>
            <w:tcW w:w="0" w:type="auto"/>
            <w:shd w:val="clear" w:color="auto" w:fill="FFFFFF"/>
            <w:tcMar>
              <w:top w:w="120" w:type="dxa"/>
              <w:left w:w="192" w:type="dxa"/>
              <w:bottom w:w="120" w:type="dxa"/>
              <w:right w:w="192" w:type="dxa"/>
            </w:tcMar>
            <w:vAlign w:val="center"/>
          </w:tcPr>
          <w:p w14:paraId="215542DA">
            <w:pPr>
              <w:bidi w:val="0"/>
              <w:rPr>
                <w:rFonts w:hint="default"/>
              </w:rPr>
            </w:pPr>
            <w:r>
              <w:rPr>
                <w:rFonts w:hint="default"/>
                <w:lang w:val="en-US" w:eastAsia="zh-CN"/>
              </w:rPr>
              <w:t>0.84</w:t>
            </w:r>
          </w:p>
        </w:tc>
        <w:tc>
          <w:tcPr>
            <w:tcW w:w="0" w:type="auto"/>
            <w:shd w:val="clear" w:color="auto" w:fill="FFFFFF"/>
            <w:tcMar>
              <w:top w:w="120" w:type="dxa"/>
              <w:left w:w="192" w:type="dxa"/>
              <w:bottom w:w="120" w:type="dxa"/>
              <w:right w:w="192" w:type="dxa"/>
            </w:tcMar>
            <w:vAlign w:val="center"/>
          </w:tcPr>
          <w:p w14:paraId="654CF0D6">
            <w:pPr>
              <w:bidi w:val="0"/>
              <w:rPr>
                <w:rFonts w:hint="default"/>
              </w:rPr>
            </w:pPr>
            <w:r>
              <w:rPr>
                <w:rFonts w:hint="default"/>
                <w:lang w:val="en-US" w:eastAsia="zh-CN"/>
              </w:rPr>
              <w:t>0.02</w:t>
            </w:r>
          </w:p>
        </w:tc>
        <w:tc>
          <w:tcPr>
            <w:tcW w:w="0" w:type="auto"/>
            <w:shd w:val="clear" w:color="auto" w:fill="FFFFFF"/>
            <w:tcMar>
              <w:top w:w="120" w:type="dxa"/>
              <w:left w:w="192" w:type="dxa"/>
              <w:bottom w:w="120" w:type="dxa"/>
              <w:right w:w="0" w:type="dxa"/>
            </w:tcMar>
            <w:vAlign w:val="center"/>
          </w:tcPr>
          <w:p w14:paraId="55CEED07">
            <w:pPr>
              <w:bidi w:val="0"/>
              <w:rPr>
                <w:rFonts w:hint="default"/>
              </w:rPr>
            </w:pPr>
            <w:r>
              <w:rPr>
                <w:rFonts w:hint="default"/>
                <w:lang w:val="en-US" w:eastAsia="zh-CN"/>
              </w:rPr>
              <w:t>0.02</w:t>
            </w:r>
          </w:p>
        </w:tc>
      </w:tr>
      <w:tr w14:paraId="009AD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A050B8D">
            <w:pPr>
              <w:bidi w:val="0"/>
              <w:rPr>
                <w:rFonts w:hint="default"/>
              </w:rPr>
            </w:pPr>
            <w:r>
              <w:rPr>
                <w:rFonts w:hint="default"/>
                <w:lang w:val="en-US" w:eastAsia="zh-CN"/>
              </w:rPr>
              <w:t>反手平抽</w:t>
            </w:r>
          </w:p>
        </w:tc>
        <w:tc>
          <w:tcPr>
            <w:tcW w:w="0" w:type="auto"/>
            <w:shd w:val="clear" w:color="auto" w:fill="FFFFFF"/>
            <w:tcMar>
              <w:top w:w="120" w:type="dxa"/>
              <w:left w:w="192" w:type="dxa"/>
              <w:bottom w:w="120" w:type="dxa"/>
              <w:right w:w="192" w:type="dxa"/>
            </w:tcMar>
            <w:vAlign w:val="center"/>
          </w:tcPr>
          <w:p w14:paraId="1FF150F7">
            <w:pPr>
              <w:bidi w:val="0"/>
              <w:rPr>
                <w:rFonts w:hint="default"/>
              </w:rPr>
            </w:pPr>
            <w:r>
              <w:rPr>
                <w:rFonts w:hint="default"/>
                <w:lang w:val="en-US" w:eastAsia="zh-CN"/>
              </w:rPr>
              <w:t>0.05</w:t>
            </w:r>
          </w:p>
        </w:tc>
        <w:tc>
          <w:tcPr>
            <w:tcW w:w="0" w:type="auto"/>
            <w:shd w:val="clear" w:color="auto" w:fill="FFFFFF"/>
            <w:tcMar>
              <w:top w:w="120" w:type="dxa"/>
              <w:left w:w="192" w:type="dxa"/>
              <w:bottom w:w="120" w:type="dxa"/>
              <w:right w:w="192" w:type="dxa"/>
            </w:tcMar>
            <w:vAlign w:val="center"/>
          </w:tcPr>
          <w:p w14:paraId="7AAD5AE4">
            <w:pPr>
              <w:bidi w:val="0"/>
              <w:rPr>
                <w:rFonts w:hint="default"/>
              </w:rPr>
            </w:pPr>
            <w:r>
              <w:rPr>
                <w:rFonts w:hint="default"/>
                <w:lang w:val="en-US" w:eastAsia="zh-CN"/>
              </w:rPr>
              <w:t>0.02</w:t>
            </w:r>
          </w:p>
        </w:tc>
        <w:tc>
          <w:tcPr>
            <w:tcW w:w="0" w:type="auto"/>
            <w:shd w:val="clear" w:color="auto" w:fill="FFFFFF"/>
            <w:tcMar>
              <w:top w:w="120" w:type="dxa"/>
              <w:left w:w="192" w:type="dxa"/>
              <w:bottom w:w="120" w:type="dxa"/>
              <w:right w:w="192" w:type="dxa"/>
            </w:tcMar>
            <w:vAlign w:val="center"/>
          </w:tcPr>
          <w:p w14:paraId="2718697B">
            <w:pPr>
              <w:bidi w:val="0"/>
              <w:rPr>
                <w:rFonts w:hint="default"/>
              </w:rPr>
            </w:pPr>
            <w:r>
              <w:rPr>
                <w:rFonts w:hint="default"/>
                <w:lang w:val="en-US" w:eastAsia="zh-CN"/>
              </w:rPr>
              <w:t>0.03</w:t>
            </w:r>
          </w:p>
        </w:tc>
        <w:tc>
          <w:tcPr>
            <w:tcW w:w="0" w:type="auto"/>
            <w:shd w:val="clear" w:color="auto" w:fill="FFFFFF"/>
            <w:tcMar>
              <w:top w:w="120" w:type="dxa"/>
              <w:left w:w="192" w:type="dxa"/>
              <w:bottom w:w="120" w:type="dxa"/>
              <w:right w:w="192" w:type="dxa"/>
            </w:tcMar>
            <w:vAlign w:val="center"/>
          </w:tcPr>
          <w:p w14:paraId="0E0927DD">
            <w:pPr>
              <w:bidi w:val="0"/>
              <w:rPr>
                <w:rFonts w:hint="default"/>
              </w:rPr>
            </w:pPr>
            <w:r>
              <w:rPr>
                <w:rFonts w:hint="default"/>
                <w:lang w:val="en-US" w:eastAsia="zh-CN"/>
              </w:rPr>
              <w:t>0.02</w:t>
            </w:r>
          </w:p>
        </w:tc>
        <w:tc>
          <w:tcPr>
            <w:tcW w:w="0" w:type="auto"/>
            <w:shd w:val="clear" w:color="auto" w:fill="FFFFFF"/>
            <w:tcMar>
              <w:top w:w="120" w:type="dxa"/>
              <w:left w:w="192" w:type="dxa"/>
              <w:bottom w:w="120" w:type="dxa"/>
              <w:right w:w="192" w:type="dxa"/>
            </w:tcMar>
            <w:vAlign w:val="center"/>
          </w:tcPr>
          <w:p w14:paraId="723916A4">
            <w:pPr>
              <w:bidi w:val="0"/>
              <w:rPr>
                <w:rFonts w:hint="default"/>
              </w:rPr>
            </w:pPr>
            <w:r>
              <w:rPr>
                <w:rFonts w:hint="default"/>
                <w:lang w:val="en-US" w:eastAsia="zh-CN"/>
              </w:rPr>
              <w:t>0.80</w:t>
            </w:r>
          </w:p>
        </w:tc>
        <w:tc>
          <w:tcPr>
            <w:tcW w:w="0" w:type="auto"/>
            <w:shd w:val="clear" w:color="auto" w:fill="FFFFFF"/>
            <w:tcMar>
              <w:top w:w="120" w:type="dxa"/>
              <w:left w:w="192" w:type="dxa"/>
              <w:bottom w:w="120" w:type="dxa"/>
              <w:right w:w="0" w:type="dxa"/>
            </w:tcMar>
            <w:vAlign w:val="center"/>
          </w:tcPr>
          <w:p w14:paraId="6C189256">
            <w:pPr>
              <w:bidi w:val="0"/>
              <w:rPr>
                <w:rFonts w:hint="default"/>
              </w:rPr>
            </w:pPr>
            <w:r>
              <w:rPr>
                <w:rFonts w:hint="default"/>
                <w:lang w:val="en-US" w:eastAsia="zh-CN"/>
              </w:rPr>
              <w:t>0.08</w:t>
            </w:r>
          </w:p>
        </w:tc>
      </w:tr>
      <w:tr w14:paraId="39201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481E94D">
            <w:pPr>
              <w:bidi w:val="0"/>
              <w:rPr>
                <w:rFonts w:hint="default"/>
              </w:rPr>
            </w:pPr>
            <w:r>
              <w:rPr>
                <w:rFonts w:hint="default"/>
                <w:lang w:val="en-US" w:eastAsia="zh-CN"/>
              </w:rPr>
              <w:t>反手网前</w:t>
            </w:r>
          </w:p>
        </w:tc>
        <w:tc>
          <w:tcPr>
            <w:tcW w:w="0" w:type="auto"/>
            <w:shd w:val="clear" w:color="auto" w:fill="FFFFFF"/>
            <w:tcMar>
              <w:top w:w="120" w:type="dxa"/>
              <w:left w:w="192" w:type="dxa"/>
              <w:bottom w:w="120" w:type="dxa"/>
              <w:right w:w="192" w:type="dxa"/>
            </w:tcMar>
            <w:vAlign w:val="center"/>
          </w:tcPr>
          <w:p w14:paraId="6C036638">
            <w:pPr>
              <w:bidi w:val="0"/>
              <w:rPr>
                <w:rFonts w:hint="default"/>
              </w:rPr>
            </w:pPr>
            <w:r>
              <w:rPr>
                <w:rFonts w:hint="default"/>
                <w:lang w:val="en-US" w:eastAsia="zh-CN"/>
              </w:rPr>
              <w:t>0.04</w:t>
            </w:r>
          </w:p>
        </w:tc>
        <w:tc>
          <w:tcPr>
            <w:tcW w:w="0" w:type="auto"/>
            <w:shd w:val="clear" w:color="auto" w:fill="FFFFFF"/>
            <w:tcMar>
              <w:top w:w="120" w:type="dxa"/>
              <w:left w:w="192" w:type="dxa"/>
              <w:bottom w:w="120" w:type="dxa"/>
              <w:right w:w="192" w:type="dxa"/>
            </w:tcMar>
            <w:vAlign w:val="center"/>
          </w:tcPr>
          <w:p w14:paraId="1E20BFFC">
            <w:pPr>
              <w:bidi w:val="0"/>
              <w:rPr>
                <w:rFonts w:hint="default"/>
              </w:rPr>
            </w:pPr>
            <w:r>
              <w:rPr>
                <w:rFonts w:hint="default"/>
                <w:lang w:val="en-US" w:eastAsia="zh-CN"/>
              </w:rPr>
              <w:t>0.03</w:t>
            </w:r>
          </w:p>
        </w:tc>
        <w:tc>
          <w:tcPr>
            <w:tcW w:w="0" w:type="auto"/>
            <w:shd w:val="clear" w:color="auto" w:fill="FFFFFF"/>
            <w:tcMar>
              <w:top w:w="120" w:type="dxa"/>
              <w:left w:w="192" w:type="dxa"/>
              <w:bottom w:w="120" w:type="dxa"/>
              <w:right w:w="192" w:type="dxa"/>
            </w:tcMar>
            <w:vAlign w:val="center"/>
          </w:tcPr>
          <w:p w14:paraId="4574F8B2">
            <w:pPr>
              <w:bidi w:val="0"/>
              <w:rPr>
                <w:rFonts w:hint="default"/>
              </w:rPr>
            </w:pPr>
            <w:r>
              <w:rPr>
                <w:rFonts w:hint="default"/>
                <w:lang w:val="en-US" w:eastAsia="zh-CN"/>
              </w:rPr>
              <w:t>0.04</w:t>
            </w:r>
          </w:p>
        </w:tc>
        <w:tc>
          <w:tcPr>
            <w:tcW w:w="0" w:type="auto"/>
            <w:shd w:val="clear" w:color="auto" w:fill="FFFFFF"/>
            <w:tcMar>
              <w:top w:w="120" w:type="dxa"/>
              <w:left w:w="192" w:type="dxa"/>
              <w:bottom w:w="120" w:type="dxa"/>
              <w:right w:w="192" w:type="dxa"/>
            </w:tcMar>
            <w:vAlign w:val="center"/>
          </w:tcPr>
          <w:p w14:paraId="5B8A81F0">
            <w:pPr>
              <w:bidi w:val="0"/>
              <w:rPr>
                <w:rFonts w:hint="default"/>
              </w:rPr>
            </w:pPr>
            <w:r>
              <w:rPr>
                <w:rFonts w:hint="default"/>
                <w:lang w:val="en-US" w:eastAsia="zh-CN"/>
              </w:rPr>
              <w:t>0.02</w:t>
            </w:r>
          </w:p>
        </w:tc>
        <w:tc>
          <w:tcPr>
            <w:tcW w:w="0" w:type="auto"/>
            <w:shd w:val="clear" w:color="auto" w:fill="FFFFFF"/>
            <w:tcMar>
              <w:top w:w="120" w:type="dxa"/>
              <w:left w:w="192" w:type="dxa"/>
              <w:bottom w:w="120" w:type="dxa"/>
              <w:right w:w="192" w:type="dxa"/>
            </w:tcMar>
            <w:vAlign w:val="center"/>
          </w:tcPr>
          <w:p w14:paraId="409B6EF2">
            <w:pPr>
              <w:bidi w:val="0"/>
              <w:rPr>
                <w:rFonts w:hint="default"/>
              </w:rPr>
            </w:pPr>
            <w:r>
              <w:rPr>
                <w:rFonts w:hint="default"/>
                <w:lang w:val="en-US" w:eastAsia="zh-CN"/>
              </w:rPr>
              <w:t>0.06</w:t>
            </w:r>
          </w:p>
        </w:tc>
        <w:tc>
          <w:tcPr>
            <w:tcW w:w="0" w:type="auto"/>
            <w:shd w:val="clear" w:color="auto" w:fill="FFFFFF"/>
            <w:tcMar>
              <w:top w:w="120" w:type="dxa"/>
              <w:left w:w="192" w:type="dxa"/>
              <w:bottom w:w="120" w:type="dxa"/>
              <w:right w:w="0" w:type="dxa"/>
            </w:tcMar>
            <w:vAlign w:val="center"/>
          </w:tcPr>
          <w:p w14:paraId="1CCA5439">
            <w:pPr>
              <w:bidi w:val="0"/>
              <w:rPr>
                <w:rFonts w:hint="default"/>
              </w:rPr>
            </w:pPr>
            <w:r>
              <w:rPr>
                <w:rFonts w:hint="default"/>
                <w:lang w:val="en-US" w:eastAsia="zh-CN"/>
              </w:rPr>
              <w:t>0.81</w:t>
            </w:r>
          </w:p>
        </w:tc>
      </w:tr>
    </w:tbl>
    <w:p w14:paraId="0F886483">
      <w:pPr>
        <w:bidi w:val="0"/>
        <w:rPr>
          <w:rFonts w:hint="default"/>
          <w:lang w:val="en-US" w:eastAsia="zh-CN"/>
        </w:rPr>
      </w:pPr>
      <w:r>
        <w:rPr>
          <w:rFonts w:hint="default"/>
          <w:lang w:val="en-US" w:eastAsia="zh-CN"/>
        </w:rPr>
        <w:t>分类报告（F1-score）：</w:t>
      </w:r>
    </w:p>
    <w:p w14:paraId="2DECBA71">
      <w:pPr>
        <w:bidi w:val="0"/>
        <w:rPr>
          <w:rFonts w:hint="default"/>
          <w:lang w:val="en-US" w:eastAsia="zh-CN"/>
        </w:rPr>
      </w:pPr>
      <w:r>
        <w:rPr>
          <w:rFonts w:hint="default"/>
          <w:lang w:val="en-US" w:eastAsia="zh-CN"/>
        </w:rPr>
        <w:t>正手平抽：0.84</w:t>
      </w:r>
    </w:p>
    <w:p w14:paraId="5CA738A6">
      <w:pPr>
        <w:bidi w:val="0"/>
        <w:rPr>
          <w:rFonts w:hint="default"/>
          <w:lang w:val="en-US" w:eastAsia="zh-CN"/>
        </w:rPr>
      </w:pPr>
      <w:r>
        <w:rPr>
          <w:rFonts w:hint="default"/>
          <w:lang w:val="en-US" w:eastAsia="zh-CN"/>
        </w:rPr>
        <w:t>正手挑球：0.86</w:t>
      </w:r>
    </w:p>
    <w:p w14:paraId="3B4D860D">
      <w:pPr>
        <w:bidi w:val="0"/>
        <w:rPr>
          <w:rFonts w:hint="default"/>
          <w:lang w:val="en-US" w:eastAsia="zh-CN"/>
        </w:rPr>
      </w:pPr>
      <w:r>
        <w:rPr>
          <w:rFonts w:hint="default"/>
          <w:lang w:val="en-US" w:eastAsia="zh-CN"/>
        </w:rPr>
        <w:t>正手网前：0.81</w:t>
      </w:r>
    </w:p>
    <w:p w14:paraId="249DAC48">
      <w:pPr>
        <w:bidi w:val="0"/>
        <w:rPr>
          <w:rFonts w:hint="default"/>
          <w:lang w:val="en-US" w:eastAsia="zh-CN"/>
        </w:rPr>
      </w:pPr>
      <w:r>
        <w:rPr>
          <w:rFonts w:hint="default"/>
          <w:lang w:val="en-US" w:eastAsia="zh-CN"/>
        </w:rPr>
        <w:t>正手高远：0.83</w:t>
      </w:r>
    </w:p>
    <w:p w14:paraId="76DFB904">
      <w:pPr>
        <w:bidi w:val="0"/>
        <w:rPr>
          <w:rFonts w:hint="default"/>
          <w:lang w:val="en-US" w:eastAsia="zh-CN"/>
        </w:rPr>
      </w:pPr>
      <w:r>
        <w:rPr>
          <w:rFonts w:hint="default"/>
          <w:lang w:val="en-US" w:eastAsia="zh-CN"/>
        </w:rPr>
        <w:t>反手平抽：0.80</w:t>
      </w:r>
    </w:p>
    <w:p w14:paraId="571AC9AC">
      <w:pPr>
        <w:bidi w:val="0"/>
        <w:rPr>
          <w:rFonts w:hint="default"/>
          <w:lang w:val="en-US" w:eastAsia="zh-CN"/>
        </w:rPr>
      </w:pPr>
      <w:r>
        <w:rPr>
          <w:rFonts w:hint="default"/>
          <w:lang w:val="en-US" w:eastAsia="zh-CN"/>
        </w:rPr>
        <w:t>反手网前：0.79</w:t>
      </w:r>
    </w:p>
    <w:p w14:paraId="12ABF677">
      <w:pPr>
        <w:bidi w:val="0"/>
        <w:rPr>
          <w:rFonts w:hint="default"/>
          <w:lang w:val="en-US" w:eastAsia="zh-CN"/>
        </w:rPr>
      </w:pPr>
      <w:r>
        <w:rPr>
          <w:rFonts w:hint="default"/>
          <w:lang w:val="en-US" w:eastAsia="zh-CN"/>
        </w:rPr>
        <w:t>分析：模型在大多数类别上表现良好，但反手网前与反手平抽偶尔混淆，可能因为两者动作相似（手腕发力为主），可考虑增加骨架关键点细节（如手部姿态）来提高区分度。</w:t>
      </w:r>
    </w:p>
    <w:p w14:paraId="2ADFA5DE">
      <w:pPr>
        <w:pStyle w:val="2"/>
        <w:bidi w:val="0"/>
        <w:rPr>
          <w:rFonts w:hint="default"/>
          <w:lang w:val="en-US" w:eastAsia="zh-CN"/>
        </w:rPr>
      </w:pPr>
      <w:r>
        <w:rPr>
          <w:rFonts w:hint="eastAsia"/>
          <w:lang w:val="en-US" w:eastAsia="zh-CN"/>
        </w:rPr>
        <w:t>六</w:t>
      </w:r>
      <w:r>
        <w:rPr>
          <w:rFonts w:hint="default"/>
          <w:lang w:val="en-US" w:eastAsia="zh-CN"/>
        </w:rPr>
        <w:t>、结论</w:t>
      </w:r>
    </w:p>
    <w:p w14:paraId="182BFE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本实验成功构建了基于 MediaPipe Pose 和轻量 Transformer 的羽毛球击球动作识别系统。实验结果表明，骨架序列 Transformer 能够在低计算成本下达到 84% 以上的测试准确率，验证了该方案的可行性和实用性。该流程不仅适用于羽毛球分析，也可迁移至其他体育动作识别场景，为后续研究提供了良好基础。</w:t>
      </w:r>
    </w:p>
    <w:p w14:paraId="745E6E0E">
      <w:pPr>
        <w:pStyle w:val="2"/>
        <w:bidi w:val="0"/>
        <w:rPr>
          <w:rFonts w:hint="default"/>
          <w:lang w:val="en-US" w:eastAsia="zh-CN"/>
        </w:rPr>
      </w:pPr>
      <w:r>
        <w:rPr>
          <w:rFonts w:hint="eastAsia"/>
          <w:lang w:val="en-US" w:eastAsia="zh-CN"/>
        </w:rPr>
        <w:t>七</w:t>
      </w:r>
      <w:r>
        <w:rPr>
          <w:rFonts w:hint="default"/>
          <w:lang w:val="en-US" w:eastAsia="zh-CN"/>
        </w:rPr>
        <w:t>、实验心得</w:t>
      </w:r>
    </w:p>
    <w:p w14:paraId="50E3D7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bookmarkStart w:id="0" w:name="_GoBack"/>
      <w:r>
        <w:t>通过本次实验，我们对视频动作识别任务转化为骨架序列分类问题的全过程有了深刻体会。从数据预处理开始，MediaPipe Pose 的高效姿态提取让我们意识到，去除背景和外观信息、仅保留骨骼运动轨迹，能极大降低计算量的同时保留动作的核心时空特征，但也暴露了关键点检测在快速运动或遮挡时的脆弱性，提醒我们后期需引入插值或滤波策略。在模型设计上，Transformer Encoder 的自注意力机制可以灵活捕获长距离时序依赖，相比 RNN 更容易训练且表现稳定，而轻量级结构（仅 2 层编码器、128 维嵌入）在课堂计算资源下就能达到 84% 以上的准确率，证明了“骨架 + Transformer”组合在体育分析中的实用价值。此外，帧数统一和归一化对性能影响显著，固定 30 帧虽简化了输入，但对快速击球动作可能丢失细节，今后可尝试动态帧采样或更高帧率。最后，从训练曲线和混淆矩阵来看，反手动作之间容易混淆，提示我们如果加入手部或球拍轨迹信息，也许能进一步提高区分度。整体而言，本次实验不仅巩固了 Transformer 序列建模的工程实现能力，也让我们理解了如何从实际问题出发，合理设计数据流和模型复杂度，为未来处理更复杂的动作识别任务积累了宝贵经验。</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97B79"/>
    <w:rsid w:val="000E7250"/>
    <w:rsid w:val="00172A27"/>
    <w:rsid w:val="003A514A"/>
    <w:rsid w:val="00C33A39"/>
    <w:rsid w:val="00E3729F"/>
    <w:rsid w:val="118101E5"/>
    <w:rsid w:val="17842645"/>
    <w:rsid w:val="20F5090B"/>
    <w:rsid w:val="2FDC3622"/>
    <w:rsid w:val="3BC80320"/>
    <w:rsid w:val="45166B12"/>
    <w:rsid w:val="473D4EEF"/>
    <w:rsid w:val="730D21F2"/>
    <w:rsid w:val="77380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link w:val="11"/>
    <w:uiPriority w:val="0"/>
    <w:pPr>
      <w:tabs>
        <w:tab w:val="center" w:pos="4153"/>
        <w:tab w:val="right" w:pos="8306"/>
      </w:tabs>
      <w:snapToGrid w:val="0"/>
      <w:jc w:val="left"/>
    </w:pPr>
    <w:rPr>
      <w:sz w:val="18"/>
      <w:szCs w:val="18"/>
    </w:rPr>
  </w:style>
  <w:style w:type="paragraph" w:styleId="5">
    <w:name w:val="header"/>
    <w:basedOn w:val="1"/>
    <w:link w:val="10"/>
    <w:uiPriority w:val="0"/>
    <w:pPr>
      <w:tabs>
        <w:tab w:val="center" w:pos="4153"/>
        <w:tab w:val="right" w:pos="8306"/>
      </w:tabs>
      <w:snapToGrid w:val="0"/>
      <w:jc w:val="center"/>
    </w:pPr>
    <w:rPr>
      <w:sz w:val="18"/>
      <w:szCs w:val="18"/>
    </w:rPr>
  </w:style>
  <w:style w:type="paragraph" w:styleId="6">
    <w:name w:val="Normal (Web)"/>
    <w:basedOn w:val="1"/>
    <w:uiPriority w:val="0"/>
    <w:rPr>
      <w:sz w:val="24"/>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5"/>
    <w:uiPriority w:val="0"/>
    <w:rPr>
      <w:rFonts w:asciiTheme="minorHAnsi" w:hAnsiTheme="minorHAnsi" w:eastAsiaTheme="minorEastAsia" w:cstheme="minorBidi"/>
      <w:kern w:val="2"/>
      <w:sz w:val="18"/>
      <w:szCs w:val="18"/>
    </w:rPr>
  </w:style>
  <w:style w:type="character" w:customStyle="1" w:styleId="11">
    <w:name w:val="页脚 字符"/>
    <w:basedOn w:val="9"/>
    <w:link w:val="4"/>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1829</Words>
  <Characters>2590</Characters>
  <Lines>8</Lines>
  <Paragraphs>8</Paragraphs>
  <TotalTime>50</TotalTime>
  <ScaleCrop>false</ScaleCrop>
  <LinksUpToDate>false</LinksUpToDate>
  <CharactersWithSpaces>2942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2025-03-06T12:53:00Z</dcterms:created>
  <dc:creator>Rui</dc:creator>
  <cp:lastModifiedBy>Rui</cp:lastModifiedBy>
  <dcterms:modified xsi:type="dcterms:W3CDTF">2026-06-25T11:35:39Z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C6918F90CAB64457A313CFC187797D65_13</vt:lpwstr>
  </property>
  <property fmtid="{D5CDD505-2E9C-101B-9397-08002B2CF9AE}" pid="4" name="KSOTemplateDocerSaveRecord">
    <vt:lpwstr>eyJoZGlkIjoiZmViN2MxYzM5YjcwMmY3N2FlNmNjMTVjNzNlMDJjZmQiLCJ1c2VySWQiOiIxMzg1NDUxMzA4In0=</vt:lpwstr>
  </property>
</Properties>
</file>