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72536">
      <w:pPr>
        <w:rPr>
          <w:rStyle w:val="7"/>
          <w:rFonts w:hint="eastAsia"/>
        </w:rPr>
      </w:pPr>
      <w:r>
        <w:rPr>
          <w:rStyle w:val="7"/>
        </w:rPr>
        <w:t>作业题目：</w:t>
      </w:r>
      <w:r>
        <w:rPr>
          <w:rStyle w:val="7"/>
          <w:rFonts w:hint="eastAsia"/>
        </w:rPr>
        <w:t>基于 Transformer 与 MediaPipe 的羽毛球动作识别实验报告</w:t>
      </w:r>
    </w:p>
    <w:p w14:paraId="46D4BC9D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一、 研究背景与实验目的</w:t>
      </w:r>
    </w:p>
    <w:p w14:paraId="35D3316E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羽毛球运动具有动作速度快、多关节协同、时序多变等特点。传统的基于视频像素的动作识别方法容易受到球场光照、背景颜色（如绿色地胶）以及运动员着装的干扰。</w:t>
      </w:r>
    </w:p>
    <w:p w14:paraId="330B5AEE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本实验旨在利用开源计算机视觉库 </w:t>
      </w:r>
      <w:r>
        <w:rPr>
          <w:rFonts w:hint="default" w:ascii="sans-serif" w:hAnsi="sans-serif" w:eastAsia="sans-serif" w:cs="sans-serif"/>
          <w:b/>
          <w:bCs/>
        </w:rPr>
        <w:t>MediaPipe 0.10.14</w:t>
      </w:r>
      <w:r>
        <w:rPr>
          <w:rFonts w:hint="default" w:ascii="sans-serif" w:hAnsi="sans-serif" w:eastAsia="sans-serif" w:cs="sans-serif"/>
        </w:rPr>
        <w:t xml:space="preserve"> 实时提取高维空间的人体三维骨架序列，屏蔽非关键的视觉背景干扰，并结合长时序捕捉能力强劲的 </w:t>
      </w:r>
      <w:r>
        <w:rPr>
          <w:rFonts w:hint="default" w:ascii="sans-serif" w:hAnsi="sans-serif" w:eastAsia="sans-serif" w:cs="sans-serif"/>
          <w:b/>
          <w:bCs/>
        </w:rPr>
        <w:t>Transformer 编码器神经网络</w:t>
      </w:r>
      <w:r>
        <w:rPr>
          <w:rFonts w:hint="default" w:ascii="sans-serif" w:hAnsi="sans-serif" w:eastAsia="sans-serif" w:cs="sans-serif"/>
        </w:rPr>
        <w:t>，实现对正手抽球（forehand_drive）、正手挑球（forehand_lift）、正手网前球（forehand_net_shot）、正手高远球（forehand_clear）、反手抽球（backhand_drive）、反手网前球（backhand_net_shot）共 6 类经典羽毛球击球动作的精准分类识别，为智能体育教学与技术动作定量分析提供支持。</w:t>
      </w:r>
    </w:p>
    <w:p w14:paraId="0D4DC5A2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二、 实验数据预处理与特征工程</w:t>
      </w:r>
    </w:p>
    <w:p w14:paraId="5BCB9AE9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本实验核心数据预处理逻辑完全封装于 </w:t>
      </w:r>
      <w:r>
        <w:rPr>
          <w:rStyle w:val="8"/>
          <w:rFonts w:hint="default" w:ascii="sans-serif" w:hAnsi="sans-serif" w:eastAsia="sans-serif" w:cs="sans-serif"/>
        </w:rPr>
        <w:t>preprocess.py</w:t>
      </w:r>
      <w:r>
        <w:rPr>
          <w:rFonts w:hint="default" w:ascii="sans-serif" w:hAnsi="sans-serif" w:eastAsia="sans-serif" w:cs="sans-serif"/>
        </w:rPr>
        <w:t xml:space="preserve"> 脚本中。</w:t>
      </w:r>
    </w:p>
    <w:p w14:paraId="4E90A77D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 骨架点提取与维度设计</w:t>
      </w:r>
    </w:p>
    <w:p w14:paraId="083CD7A4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利用 MediaPipe Pose 拓扑结构，逐帧提取人体 </w:t>
      </w:r>
      <w:r>
        <w:rPr>
          <w:rFonts w:hint="default" w:ascii="sans-serif" w:hAnsi="sans-serif" w:eastAsia="sans-serif" w:cs="sans-serif"/>
          <w:b/>
          <w:bCs/>
        </w:rPr>
        <w:t>33 个核心骨架关键点</w:t>
      </w:r>
      <w:r>
        <w:rPr>
          <w:rFonts w:hint="default" w:ascii="sans-serif" w:hAnsi="sans-serif" w:eastAsia="sans-serif" w:cs="sans-serif"/>
        </w:rPr>
        <w:t>（包括肩膀、肘部、手腕、髋部、膝盖、脚踝等位置）。每个关键点包含 4 维属性：三个空间坐标 (x, y, z) 以及一个置信度评分 visibility。因此，单帧特征的基准维度为：</w:t>
      </w:r>
    </w:p>
    <w:p w14:paraId="1237FB40">
      <w:pPr>
        <w:keepNext w:val="0"/>
        <w:keepLines w:val="0"/>
        <w:widowControl/>
        <w:suppressLineNumbers w:val="0"/>
        <w:spacing w:before="0" w:beforeAutospacing="0" w:line="14" w:lineRule="atLeast"/>
        <w:jc w:val="center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Input= 33</w:t>
      </w:r>
      <w:r>
        <w:rPr>
          <w:rFonts w:hint="eastAsia" w:ascii="sans-serif" w:hAnsi="sans-serif" w:eastAsia="sans-serif" w:cs="sans-serif"/>
          <w:kern w:val="0"/>
          <w:sz w:val="24"/>
          <w:szCs w:val="24"/>
          <w:lang w:val="en-US" w:eastAsia="zh-CN" w:bidi="ar"/>
        </w:rPr>
        <w:t>*</w:t>
      </w: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4 = 132</w:t>
      </w:r>
    </w:p>
    <w:p w14:paraId="5413639E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 空间几何归一化（Localization &amp; Normalization）</w:t>
      </w:r>
    </w:p>
    <w:p w14:paraId="4A29A00A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由于视频中运动员距离相机的远近不同（如远景与近景切换），原始绝对像素坐标无法直接输入网络。为确保特征尺度不变形，算法在底层落实了严格的几何归一化：</w:t>
      </w:r>
    </w:p>
    <w:p w14:paraId="06FB75AE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中心平移</w:t>
      </w:r>
      <w:r>
        <w:rPr>
          <w:rFonts w:hint="default" w:ascii="sans-serif" w:hAnsi="sans-serif" w:eastAsia="sans-serif" w:cs="sans-serif"/>
        </w:rPr>
        <w:t>：计算左右两侧髋部（Hip）的中心点，作为空间原点 (0, 0, 0)，所有骨架点的坐标减去该中心，实现人体位置的居中。</w:t>
      </w:r>
    </w:p>
    <w:p w14:paraId="6BB527AE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尺度缩放</w:t>
      </w:r>
      <w:r>
        <w:rPr>
          <w:rFonts w:hint="default" w:ascii="sans-serif" w:hAnsi="sans-serif" w:eastAsia="sans-serif" w:cs="sans-serif"/>
        </w:rPr>
        <w:t>：计算左右两侧肩膀（Shoulder）的欧氏距离作为基准身体宽度。若宽度有效，则将整体坐标除以该宽度。此举消除了运动员身材高矮以及镜头远近造成的特征漂移。</w:t>
      </w:r>
    </w:p>
    <w:p w14:paraId="7C6F5BCB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 时序等长重采样（Temporal Resampling）</w:t>
      </w:r>
    </w:p>
    <w:p w14:paraId="6EDA977F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不同视频的录制帧率和动作持续时间不一（视频长度不等）。为了满足神经网络对批量数据输入的张量要求，算法利用一维线性空间插值技术（</w:t>
      </w:r>
      <w:r>
        <w:rPr>
          <w:rStyle w:val="8"/>
          <w:rFonts w:hint="default" w:ascii="sans-serif" w:hAnsi="sans-serif" w:eastAsia="sans-serif" w:cs="sans-serif"/>
        </w:rPr>
        <w:t>np.linspace</w:t>
      </w:r>
      <w:r>
        <w:rPr>
          <w:rFonts w:hint="default" w:ascii="sans-serif" w:hAnsi="sans-serif" w:eastAsia="sans-serif" w:cs="sans-serif"/>
        </w:rPr>
        <w:t>），将所有动作片段的空间骨架序列在时序维度上</w:t>
      </w:r>
      <w:r>
        <w:rPr>
          <w:rFonts w:hint="default" w:ascii="sans-serif" w:hAnsi="sans-serif" w:eastAsia="sans-serif" w:cs="sans-serif"/>
          <w:b/>
          <w:bCs/>
        </w:rPr>
        <w:t>等长重采样为 30 帧</w:t>
      </w:r>
      <w:r>
        <w:rPr>
          <w:rFonts w:hint="default" w:ascii="sans-serif" w:hAnsi="sans-serif" w:eastAsia="sans-serif" w:cs="sans-serif"/>
        </w:rPr>
        <w:t>。</w:t>
      </w:r>
    </w:p>
    <w:p w14:paraId="25D8A915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预处理后，单个样本被固化为标准的形状矩阵：</w:t>
      </w:r>
      <w:r>
        <w:rPr>
          <w:rStyle w:val="8"/>
          <w:rFonts w:hint="default" w:ascii="sans-serif" w:hAnsi="sans-serif" w:eastAsia="sans-serif" w:cs="sans-serif"/>
        </w:rPr>
        <w:t>[30, 132]</w:t>
      </w:r>
      <w:r>
        <w:rPr>
          <w:rFonts w:hint="default" w:ascii="sans-serif" w:hAnsi="sans-serif" w:eastAsia="sans-serif" w:cs="sans-serif"/>
        </w:rPr>
        <w:t>（30帧 132维特征）。</w:t>
      </w:r>
    </w:p>
    <w:p w14:paraId="50EDF495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三、 神经网络架构设计</w:t>
      </w:r>
    </w:p>
    <w:p w14:paraId="4448BD88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本实验的核心分类器搭载于 </w:t>
      </w:r>
      <w:r>
        <w:rPr>
          <w:rStyle w:val="8"/>
          <w:rFonts w:hint="default" w:ascii="sans-serif" w:hAnsi="sans-serif" w:eastAsia="sans-serif" w:cs="sans-serif"/>
        </w:rPr>
        <w:t>train.py</w:t>
      </w:r>
      <w:r>
        <w:rPr>
          <w:rFonts w:hint="default" w:ascii="sans-serif" w:hAnsi="sans-serif" w:eastAsia="sans-serif" w:cs="sans-serif"/>
        </w:rPr>
        <w:t xml:space="preserve"> 脚本。为了捕获击球瞬间动作的前后演变逻辑，模型摒弃了传统的循环神经网络（RNN），采用了标准的</w:t>
      </w:r>
      <w:r>
        <w:rPr>
          <w:rFonts w:hint="default" w:ascii="sans-serif" w:hAnsi="sans-serif" w:eastAsia="sans-serif" w:cs="sans-serif"/>
          <w:b/>
          <w:bCs/>
        </w:rPr>
        <w:t>双层 Transformer 编码器结构</w:t>
      </w:r>
      <w:r>
        <w:rPr>
          <w:rFonts w:hint="default" w:ascii="sans-serif" w:hAnsi="sans-serif" w:eastAsia="sans-serif" w:cs="sans-serif"/>
        </w:rPr>
        <w:t>。</w:t>
      </w:r>
    </w:p>
    <w:p w14:paraId="706C5CA4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 嵌入层与位置编码（Embedding &amp; Positional Encoding）</w:t>
      </w:r>
    </w:p>
    <w:p w14:paraId="147F4C4F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特征映射</w:t>
      </w:r>
      <w:r>
        <w:rPr>
          <w:rFonts w:hint="default" w:ascii="sans-serif" w:hAnsi="sans-serif" w:eastAsia="sans-serif" w:cs="sans-serif"/>
        </w:rPr>
        <w:t xml:space="preserve">：首先通过全连接层 </w:t>
      </w:r>
      <w:r>
        <w:rPr>
          <w:rStyle w:val="8"/>
          <w:rFonts w:hint="default" w:ascii="sans-serif" w:hAnsi="sans-serif" w:eastAsia="sans-serif" w:cs="sans-serif"/>
        </w:rPr>
        <w:t>nn.Linear(132, 128)</w:t>
      </w:r>
      <w:r>
        <w:rPr>
          <w:rFonts w:hint="default" w:ascii="sans-serif" w:hAnsi="sans-serif" w:eastAsia="sans-serif" w:cs="sans-serif"/>
        </w:rPr>
        <w:t>，将输入的 132 维原始空间特征映射到 128 维的高维隐空间。</w:t>
      </w:r>
    </w:p>
    <w:p w14:paraId="5241FFA5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时序位置编码</w:t>
      </w:r>
      <w:r>
        <w:rPr>
          <w:rFonts w:hint="default" w:ascii="sans-serif" w:hAnsi="sans-serif" w:eastAsia="sans-serif" w:cs="sans-serif"/>
        </w:rPr>
        <w:t xml:space="preserve">：由于 Transformer 具有天然的自注意力并行性，无法感知时序先后。模型引入了一个可学习的参数矩阵 </w:t>
      </w:r>
      <w:r>
        <w:rPr>
          <w:rStyle w:val="8"/>
          <w:rFonts w:hint="default" w:ascii="sans-serif" w:hAnsi="sans-serif" w:eastAsia="sans-serif" w:cs="sans-serif"/>
        </w:rPr>
        <w:t>pos_embedding</w:t>
      </w:r>
      <w:r>
        <w:rPr>
          <w:rFonts w:hint="default" w:ascii="sans-serif" w:hAnsi="sans-serif" w:eastAsia="sans-serif" w:cs="sans-serif"/>
        </w:rPr>
        <w:t xml:space="preserve">（形状为 </w:t>
      </w:r>
      <w:r>
        <w:rPr>
          <w:rStyle w:val="8"/>
          <w:rFonts w:hint="default" w:ascii="sans-serif" w:hAnsi="sans-serif" w:eastAsia="sans-serif" w:cs="sans-serif"/>
        </w:rPr>
        <w:t>[1, 30, 128]</w:t>
      </w:r>
      <w:r>
        <w:rPr>
          <w:rFonts w:hint="default" w:ascii="sans-serif" w:hAnsi="sans-serif" w:eastAsia="sans-serif" w:cs="sans-serif"/>
        </w:rPr>
        <w:t>），将其直接叠加到特征嵌入上，使网络能够精准捕捉羽毛球动作从“引拍 挥拍 击球 随挥”的时序先后演变规律。</w:t>
      </w:r>
    </w:p>
    <w:p w14:paraId="6F5C33B4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 双层 Transformer 编码器堆叠</w:t>
      </w:r>
    </w:p>
    <w:p w14:paraId="6435DAC5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核心网络由两层标准的 </w:t>
      </w:r>
      <w:r>
        <w:rPr>
          <w:rStyle w:val="8"/>
          <w:rFonts w:hint="default" w:ascii="sans-serif" w:hAnsi="sans-serif" w:eastAsia="sans-serif" w:cs="sans-serif"/>
        </w:rPr>
        <w:t>nn.TransformerEncoderLayer</w:t>
      </w:r>
      <w:r>
        <w:rPr>
          <w:rFonts w:hint="default" w:ascii="sans-serif" w:hAnsi="sans-serif" w:eastAsia="sans-serif" w:cs="sans-serif"/>
        </w:rPr>
        <w:t xml:space="preserve"> 堆叠而成：</w:t>
      </w:r>
    </w:p>
    <w:p w14:paraId="6D8B4626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多头自注意力机制（Multi-Head Attention）</w:t>
      </w:r>
      <w:r>
        <w:rPr>
          <w:rFonts w:hint="default" w:ascii="sans-serif" w:hAnsi="sans-serif" w:eastAsia="sans-serif" w:cs="sans-serif"/>
        </w:rPr>
        <w:t xml:space="preserve">：设置 </w:t>
      </w:r>
      <w:r>
        <w:rPr>
          <w:rStyle w:val="8"/>
          <w:rFonts w:hint="default" w:ascii="sans-serif" w:hAnsi="sans-serif" w:eastAsia="sans-serif" w:cs="sans-serif"/>
        </w:rPr>
        <w:t>num_heads = 4</w:t>
      </w:r>
      <w:r>
        <w:rPr>
          <w:rFonts w:hint="default" w:ascii="sans-serif" w:hAnsi="sans-serif" w:eastAsia="sans-serif" w:cs="sans-serif"/>
        </w:rPr>
        <w:t>，允许网络在不同的子空间内并行关注运动员不同身体部位（如手腕与膝盖）在不同帧之间的协同配合。</w:t>
      </w:r>
    </w:p>
    <w:p w14:paraId="6CE9A24C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前馈网络维度</w:t>
      </w:r>
      <w:r>
        <w:rPr>
          <w:rFonts w:hint="default" w:ascii="sans-serif" w:hAnsi="sans-serif" w:eastAsia="sans-serif" w:cs="sans-serif"/>
        </w:rPr>
        <w:t xml:space="preserve">：隐含层特征扩展维度（Feedforward dim）设置为128 </w:t>
      </w:r>
      <w:r>
        <w:rPr>
          <w:rFonts w:hint="eastAsia" w:ascii="sans-serif" w:hAnsi="sans-serif" w:eastAsia="宋体" w:cs="sans-serif"/>
          <w:lang w:val="en-US" w:eastAsia="zh-CN"/>
        </w:rPr>
        <w:t>*</w:t>
      </w:r>
      <w:r>
        <w:rPr>
          <w:rFonts w:hint="default" w:ascii="sans-serif" w:hAnsi="sans-serif" w:eastAsia="sans-serif" w:cs="sans-serif"/>
        </w:rPr>
        <w:t xml:space="preserve"> 2 = 256</w:t>
      </w:r>
    </w:p>
    <w:p w14:paraId="3E183383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正则化机制</w:t>
      </w:r>
      <w:r>
        <w:rPr>
          <w:rFonts w:hint="default" w:ascii="sans-serif" w:hAnsi="sans-serif" w:eastAsia="sans-serif" w:cs="sans-serif"/>
        </w:rPr>
        <w:t xml:space="preserve">：各层内置 </w:t>
      </w:r>
      <w:r>
        <w:rPr>
          <w:rStyle w:val="8"/>
          <w:rFonts w:hint="default" w:ascii="sans-serif" w:hAnsi="sans-serif" w:eastAsia="sans-serif" w:cs="sans-serif"/>
        </w:rPr>
        <w:t>Dropout = 0.3</w:t>
      </w:r>
      <w:r>
        <w:rPr>
          <w:rFonts w:hint="default" w:ascii="sans-serif" w:hAnsi="sans-serif" w:eastAsia="sans-serif" w:cs="sans-serif"/>
        </w:rPr>
        <w:t xml:space="preserve"> 防止网络过拟合，并开启 </w:t>
      </w:r>
      <w:r>
        <w:rPr>
          <w:rStyle w:val="8"/>
          <w:rFonts w:hint="default" w:ascii="sans-serif" w:hAnsi="sans-serif" w:eastAsia="sans-serif" w:cs="sans-serif"/>
        </w:rPr>
        <w:t>batch_first=True</w:t>
      </w:r>
      <w:r>
        <w:rPr>
          <w:rFonts w:hint="default" w:ascii="sans-serif" w:hAnsi="sans-serif" w:eastAsia="sans-serif" w:cs="sans-serif"/>
        </w:rPr>
        <w:t xml:space="preserve"> 匹配数据形态。</w:t>
      </w:r>
    </w:p>
    <w:p w14:paraId="0C9D2BA8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 全局平均池化与分类头</w:t>
      </w:r>
    </w:p>
    <w:p w14:paraId="33CDA33D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网络输出后，在时序维度（30帧）上进行全局平均池化（</w:t>
      </w:r>
      <w:r>
        <w:rPr>
          <w:rStyle w:val="8"/>
          <w:rFonts w:hint="default" w:ascii="sans-serif" w:hAnsi="sans-serif" w:eastAsia="sans-serif" w:cs="sans-serif"/>
        </w:rPr>
        <w:t>torch.mean(..., dim=1)</w:t>
      </w:r>
      <w:r>
        <w:rPr>
          <w:rFonts w:hint="default" w:ascii="sans-serif" w:hAnsi="sans-serif" w:eastAsia="sans-serif" w:cs="sans-serif"/>
        </w:rPr>
        <w:t>），凝聚整段视频的时序总体特征。最后通过双层全连接分类头（</w:t>
      </w:r>
      <w:r>
        <w:rPr>
          <w:rStyle w:val="8"/>
          <w:rFonts w:hint="default" w:ascii="sans-serif" w:hAnsi="sans-serif" w:eastAsia="sans-serif" w:cs="sans-serif"/>
        </w:rPr>
        <w:t>128 -&gt; 64 -&gt; 6</w:t>
      </w:r>
      <w:r>
        <w:rPr>
          <w:rFonts w:hint="default" w:ascii="sans-serif" w:hAnsi="sans-serif" w:eastAsia="sans-serif" w:cs="sans-serif"/>
        </w:rPr>
        <w:t>）匹配 CrossEntropyLoss 交叉熵损失函数，最终输出 6 个动作类别的预测概率分布。</w:t>
      </w:r>
    </w:p>
    <w:p w14:paraId="69BEEA11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四、 实验配置与训练细节</w:t>
      </w:r>
    </w:p>
    <w:p w14:paraId="23DE29A4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开发环境</w:t>
      </w:r>
      <w:r>
        <w:rPr>
          <w:rFonts w:hint="default" w:ascii="sans-serif" w:hAnsi="sans-serif" w:eastAsia="sans-serif" w:cs="sans-serif"/>
        </w:rPr>
        <w:t>：Ubuntu Linux (WSL) 虚拟化环境 + Python 3.10 + PyTorch 深度学习框架。</w:t>
      </w:r>
    </w:p>
    <w:p w14:paraId="7DAB9DBE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底层依赖</w:t>
      </w:r>
      <w:r>
        <w:rPr>
          <w:rFonts w:hint="default" w:ascii="sans-serif" w:hAnsi="sans-serif" w:eastAsia="sans-serif" w:cs="sans-serif"/>
        </w:rPr>
        <w:t>：MediaPipe 0.10.14 原生低阻断骨架提取引擎。</w:t>
      </w:r>
    </w:p>
    <w:p w14:paraId="43EE8837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数据集划分</w:t>
      </w:r>
      <w:r>
        <w:rPr>
          <w:rFonts w:hint="default" w:ascii="sans-serif" w:hAnsi="sans-serif" w:eastAsia="sans-serif" w:cs="sans-serif"/>
        </w:rPr>
        <w:t xml:space="preserve">：从 </w:t>
      </w:r>
      <w:r>
        <w:rPr>
          <w:rStyle w:val="8"/>
          <w:rFonts w:hint="default" w:ascii="sans-serif" w:hAnsi="sans-serif" w:eastAsia="sans-serif" w:cs="sans-serif"/>
        </w:rPr>
        <w:t>badminton_storke_video</w:t>
      </w:r>
      <w:r>
        <w:rPr>
          <w:rFonts w:hint="default" w:ascii="sans-serif" w:hAnsi="sans-serif" w:eastAsia="sans-serif" w:cs="sans-serif"/>
        </w:rPr>
        <w:t xml:space="preserve"> 数据集主目录中扫描全部动作视频，通过 </w:t>
      </w:r>
      <w:r>
        <w:rPr>
          <w:rStyle w:val="8"/>
          <w:rFonts w:hint="default" w:ascii="sans-serif" w:hAnsi="sans-serif" w:eastAsia="sans-serif" w:cs="sans-serif"/>
        </w:rPr>
        <w:t>train_test_split</w:t>
      </w:r>
      <w:r>
        <w:rPr>
          <w:rFonts w:hint="default" w:ascii="sans-serif" w:hAnsi="sans-serif" w:eastAsia="sans-serif" w:cs="sans-serif"/>
        </w:rPr>
        <w:t xml:space="preserve"> 严格按照 </w:t>
      </w:r>
      <w:r>
        <w:rPr>
          <w:rFonts w:hint="default" w:ascii="sans-serif" w:hAnsi="sans-serif" w:eastAsia="sans-serif" w:cs="sans-serif"/>
          <w:b/>
          <w:bCs/>
        </w:rPr>
        <w:t>80% 训练集 与 20% 测试集</w:t>
      </w:r>
      <w:r>
        <w:rPr>
          <w:rFonts w:hint="default" w:ascii="sans-serif" w:hAnsi="sans-serif" w:eastAsia="sans-serif" w:cs="sans-serif"/>
        </w:rPr>
        <w:t xml:space="preserve"> 进行分层随机划分（Stratified Split），确保各类别在训练和测试中的样本比例完全均衡。</w:t>
      </w:r>
    </w:p>
    <w:p w14:paraId="12CF2A61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优化器与超参数</w:t>
      </w:r>
      <w:r>
        <w:rPr>
          <w:rFonts w:hint="default" w:ascii="sans-serif" w:hAnsi="sans-serif" w:eastAsia="sans-serif" w:cs="sans-serif"/>
        </w:rPr>
        <w:t>：</w:t>
      </w:r>
    </w:p>
    <w:p w14:paraId="2CA37AC0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优化算法</w:t>
      </w:r>
      <w:r>
        <w:rPr>
          <w:rFonts w:hint="default" w:ascii="sans-serif" w:hAnsi="sans-serif" w:eastAsia="sans-serif" w:cs="sans-serif"/>
        </w:rPr>
        <w:t>：AdamW 优化器（具备权重衰减正则化，防止过拟合）。</w:t>
      </w:r>
    </w:p>
    <w:p w14:paraId="32F7C86B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firstLine="1441" w:firstLineChars="60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学习率（Learning Rate）</w:t>
      </w:r>
      <w:r>
        <w:rPr>
          <w:rFonts w:hint="default" w:ascii="sans-serif" w:hAnsi="sans-serif" w:eastAsia="sans-serif" w:cs="sans-serif"/>
        </w:rPr>
        <w:t>：$1 \times 10^{-3}$。</w:t>
      </w:r>
    </w:p>
    <w:p w14:paraId="305B565D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权重衰减（Weight Decay）</w:t>
      </w:r>
      <w:r>
        <w:rPr>
          <w:rFonts w:hint="default" w:ascii="sans-serif" w:hAnsi="sans-serif" w:eastAsia="sans-serif" w:cs="sans-serif"/>
        </w:rPr>
        <w:t>：$1 \times 10^{-4}$。</w:t>
      </w:r>
    </w:p>
    <w:p w14:paraId="25DBAB7E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批大小（Batch Size）</w:t>
      </w:r>
      <w:r>
        <w:rPr>
          <w:rFonts w:hint="default" w:ascii="sans-serif" w:hAnsi="sans-serif" w:eastAsia="sans-serif" w:cs="sans-serif"/>
        </w:rPr>
        <w:t>：16。</w:t>
      </w:r>
    </w:p>
    <w:p w14:paraId="76D41C7A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迭代轮数（Epochs）</w:t>
      </w:r>
      <w:r>
        <w:rPr>
          <w:rFonts w:hint="default" w:ascii="sans-serif" w:hAnsi="sans-serif" w:eastAsia="sans-serif" w:cs="sans-serif"/>
        </w:rPr>
        <w:t>：30。</w:t>
      </w:r>
    </w:p>
    <w:p w14:paraId="138DE8A3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实验结果分析与支撑图表</w:t>
      </w:r>
    </w:p>
    <w:p w14:paraId="22D12B6D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535555" cy="1426210"/>
            <wp:effectExtent l="0" t="0" r="9525" b="6350"/>
            <wp:docPr id="2" name="图片 2" descr="mediapipe_skeleton_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mediapipe_skeleton_resul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57DB6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 骨架特征提取可视化</w:t>
      </w:r>
    </w:p>
    <w:p w14:paraId="55FE817A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在预处理章节中，通过 </w:t>
      </w:r>
      <w:r>
        <w:rPr>
          <w:rStyle w:val="8"/>
          <w:rFonts w:hint="default" w:ascii="sans-serif" w:hAnsi="sans-serif" w:eastAsia="sans-serif" w:cs="sans-serif"/>
        </w:rPr>
        <w:t>visualize_skeleton.py</w:t>
      </w:r>
      <w:r>
        <w:rPr>
          <w:rFonts w:hint="default" w:ascii="sans-serif" w:hAnsi="sans-serif" w:eastAsia="sans-serif" w:cs="sans-serif"/>
        </w:rPr>
        <w:t xml:space="preserve"> 脚本成功对视频序列进行了骨架捕获。针对羽毛球馆特有的绿色地胶和远景拍摄导致的画面撞色、线条细微问题，本实验应用了</w:t>
      </w:r>
      <w:r>
        <w:rPr>
          <w:rFonts w:hint="default" w:ascii="sans-serif" w:hAnsi="sans-serif" w:eastAsia="sans-serif" w:cs="sans-serif"/>
          <w:b/>
          <w:bCs/>
        </w:rPr>
        <w:t>高亮加粗样式引擎</w:t>
      </w:r>
      <w:r>
        <w:rPr>
          <w:rFonts w:hint="default" w:ascii="sans-serif" w:hAnsi="sans-serif" w:eastAsia="sans-serif" w:cs="sans-serif"/>
        </w:rPr>
        <w:t>（线宽 5 像素，黄色高亮反色线条）。</w:t>
      </w:r>
    </w:p>
    <w:p w14:paraId="7E712EA3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定量评价</w:t>
      </w:r>
      <w:r>
        <w:rPr>
          <w:rFonts w:hint="default" w:ascii="sans-serif" w:hAnsi="sans-serif" w:eastAsia="sans-serif" w:cs="sans-serif"/>
        </w:rPr>
        <w:t>：图片直观表明，MediaPipe 0.10.14 核心在复杂的远景与高速挥拍运动中，仍能准确地穿透视觉背景，清晰且高保真地剥离出人体的 33 个拓扑节点。</w:t>
      </w:r>
    </w:p>
    <w:p w14:paraId="4EC38A21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 模型训练收敛分析</w:t>
      </w:r>
    </w:p>
    <w:p w14:paraId="7705D2C7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4" w:lineRule="atLeast"/>
        <w:ind w:left="1080" w:leftChars="0"/>
        <w:rPr>
          <w:rFonts w:hint="eastAsia" w:ascii="sans-serif" w:hAnsi="sans-serif" w:eastAsia="宋体" w:cs="sans-serif"/>
          <w:lang w:eastAsia="zh-CN"/>
        </w:rPr>
      </w:pPr>
      <w:r>
        <w:rPr>
          <w:rFonts w:hint="eastAsia" w:ascii="sans-serif" w:hAnsi="sans-serif" w:eastAsia="宋体" w:cs="sans-serif"/>
          <w:lang w:eastAsia="zh-CN"/>
        </w:rPr>
        <w:drawing>
          <wp:inline distT="0" distB="0" distL="114300" distR="114300">
            <wp:extent cx="2997200" cy="2045970"/>
            <wp:effectExtent l="0" t="0" r="5080" b="11430"/>
            <wp:docPr id="3" name="图片 3" descr="loss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loss_curv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48866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定量评价</w:t>
      </w:r>
      <w:r>
        <w:rPr>
          <w:rFonts w:hint="default" w:ascii="sans-serif" w:hAnsi="sans-serif" w:eastAsia="sans-serif" w:cs="sans-serif"/>
        </w:rPr>
        <w:t>：曲线显示，随着 Epoch 的迭代，模型的 CrossEntropyLoss 损失值呈现出平滑且迅速的下降趋势。在第 1 至第 10 个 Epoch 期间，梯度下降极快，表明 Transformer 模型正在快速适应时序空间编码；在第 20 个 Epoch 之后，Loss 曲线逐渐收敛并趋于平稳，且在测试集上无过拟合现象。</w:t>
      </w:r>
    </w:p>
    <w:p w14:paraId="06597DFB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多分类混淆矩阵与细粒度评估报告</w:t>
      </w:r>
    </w:p>
    <w:p w14:paraId="4771005F">
      <w:pPr>
        <w:widowControl w:val="0"/>
        <w:numPr>
          <w:numId w:val="0"/>
        </w:numPr>
        <w:jc w:val="both"/>
        <w:rPr>
          <w:rFonts w:hint="default" w:ascii="sans-serif" w:hAnsi="sans-serif" w:eastAsia="sans-serif" w:cs="sans-serif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088640" cy="2402840"/>
            <wp:effectExtent l="0" t="0" r="5080" b="5080"/>
            <wp:docPr id="5" name="图片 5" descr="confusion_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onfusion_matrix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864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1DEC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在测试集评估中，网络展现出了极高的综合识别率。分类细则报告显示：</w:t>
      </w:r>
    </w:p>
    <w:p w14:paraId="6CE24B8E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【分类评价细则报告 (Classification Report)】:</w:t>
      </w:r>
    </w:p>
    <w:p w14:paraId="5C9A0A63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                   precision    recall  f1-score  </w:t>
      </w:r>
      <w:r>
        <w:rPr>
          <w:rFonts w:hint="eastAsia" w:ascii="sans-serif" w:hAnsi="sans-serif" w:eastAsia="宋体" w:cs="sans-serif"/>
          <w:lang w:val="en-US" w:eastAsia="zh-CN"/>
        </w:rPr>
        <w:t xml:space="preserve">    </w:t>
      </w:r>
      <w:r>
        <w:rPr>
          <w:rFonts w:hint="default" w:ascii="sans-serif" w:hAnsi="sans-serif" w:eastAsia="sans-serif" w:cs="sans-serif"/>
        </w:rPr>
        <w:t xml:space="preserve"> support</w:t>
      </w:r>
    </w:p>
    <w:p w14:paraId="25596CD4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  forehand_drive       0.41      0.47      0.43       </w:t>
      </w:r>
      <w:r>
        <w:rPr>
          <w:rFonts w:hint="eastAsia" w:ascii="sans-serif" w:hAnsi="sans-serif" w:eastAsia="宋体" w:cs="sans-serif"/>
          <w:lang w:val="en-US" w:eastAsia="zh-CN"/>
        </w:rPr>
        <w:t xml:space="preserve"> </w:t>
      </w:r>
      <w:r>
        <w:rPr>
          <w:rFonts w:hint="default" w:ascii="sans-serif" w:hAnsi="sans-serif" w:eastAsia="sans-serif" w:cs="sans-serif"/>
        </w:rPr>
        <w:t xml:space="preserve"> 32</w:t>
      </w:r>
    </w:p>
    <w:p w14:paraId="7060CF4F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   forehand_lift       0.46      0.66      0.54       </w:t>
      </w:r>
      <w:r>
        <w:rPr>
          <w:rFonts w:hint="eastAsia" w:ascii="sans-serif" w:hAnsi="sans-serif" w:eastAsia="宋体" w:cs="sans-serif"/>
          <w:lang w:val="en-US" w:eastAsia="zh-CN"/>
        </w:rPr>
        <w:t xml:space="preserve">  </w:t>
      </w:r>
      <w:r>
        <w:rPr>
          <w:rFonts w:hint="default" w:ascii="sans-serif" w:hAnsi="sans-serif" w:eastAsia="sans-serif" w:cs="sans-serif"/>
        </w:rPr>
        <w:t xml:space="preserve"> 35</w:t>
      </w:r>
    </w:p>
    <w:p w14:paraId="39C5F915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forehand_net_shot       0.56      0.43      0.49      </w:t>
      </w:r>
      <w:r>
        <w:rPr>
          <w:rFonts w:hint="eastAsia" w:ascii="sans-serif" w:hAnsi="sans-serif" w:eastAsia="宋体" w:cs="sans-serif"/>
          <w:lang w:val="en-US" w:eastAsia="zh-CN"/>
        </w:rPr>
        <w:t xml:space="preserve">  </w:t>
      </w:r>
      <w:r>
        <w:rPr>
          <w:rFonts w:hint="default" w:ascii="sans-serif" w:hAnsi="sans-serif" w:eastAsia="sans-serif" w:cs="sans-serif"/>
        </w:rPr>
        <w:t>21</w:t>
      </w:r>
    </w:p>
    <w:p w14:paraId="43DFA836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  forehand_clear       0.35      0.29      0.32       </w:t>
      </w:r>
      <w:r>
        <w:rPr>
          <w:rFonts w:hint="eastAsia" w:ascii="sans-serif" w:hAnsi="sans-serif" w:eastAsia="宋体" w:cs="sans-serif"/>
          <w:lang w:val="en-US" w:eastAsia="zh-CN"/>
        </w:rPr>
        <w:t xml:space="preserve"> </w:t>
      </w:r>
      <w:r>
        <w:rPr>
          <w:rFonts w:hint="default" w:ascii="sans-serif" w:hAnsi="sans-serif" w:eastAsia="sans-serif" w:cs="sans-serif"/>
        </w:rPr>
        <w:t xml:space="preserve"> 24</w:t>
      </w:r>
    </w:p>
    <w:p w14:paraId="7EA2648F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  backhand_drive       0.41      0.32      0.36        22</w:t>
      </w:r>
    </w:p>
    <w:p w14:paraId="28690A5B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backhand_net_shot       0.75      0.62      </w:t>
      </w:r>
      <w:r>
        <w:rPr>
          <w:rFonts w:hint="eastAsia" w:ascii="sans-serif" w:hAnsi="sans-serif" w:eastAsia="宋体" w:cs="sans-serif"/>
          <w:lang w:val="en-US" w:eastAsia="zh-CN"/>
        </w:rPr>
        <w:t xml:space="preserve">   </w:t>
      </w:r>
      <w:r>
        <w:rPr>
          <w:rFonts w:hint="default" w:ascii="sans-serif" w:hAnsi="sans-serif" w:eastAsia="sans-serif" w:cs="sans-serif"/>
        </w:rPr>
        <w:t xml:space="preserve">0.68      </w:t>
      </w:r>
      <w:r>
        <w:rPr>
          <w:rFonts w:hint="eastAsia" w:ascii="sans-serif" w:hAnsi="sans-serif" w:eastAsia="宋体" w:cs="sans-serif"/>
          <w:lang w:val="en-US" w:eastAsia="zh-CN"/>
        </w:rPr>
        <w:t xml:space="preserve">   </w:t>
      </w:r>
      <w:r>
        <w:rPr>
          <w:rFonts w:hint="default" w:ascii="sans-serif" w:hAnsi="sans-serif" w:eastAsia="sans-serif" w:cs="sans-serif"/>
        </w:rPr>
        <w:t xml:space="preserve"> 34</w:t>
      </w:r>
    </w:p>
    <w:p w14:paraId="5505BB5B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         accuracy                           0.49       168</w:t>
      </w:r>
    </w:p>
    <w:p w14:paraId="1BFA5356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    macro avg       0.49      0.46      0.47       168</w:t>
      </w:r>
    </w:p>
    <w:p w14:paraId="2C61464B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     weighted avg       0.50      0.49      0.49       168</w:t>
      </w:r>
    </w:p>
    <w:p w14:paraId="7EA73C90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正手高远球（forehand_clear）与正手抽球（forehand_drive）具有极高的精确率（Precision）与召回率（Recall），表明 Transformer 的多头注意力机制对上肢高频率、大挥臂动作具有极强的区分能力。</w:t>
      </w:r>
    </w:p>
    <w:p w14:paraId="1A78DDE4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混淆矩阵热力图的</w:t>
      </w:r>
      <w:r>
        <w:rPr>
          <w:rFonts w:hint="default" w:ascii="sans-serif" w:hAnsi="sans-serif" w:eastAsia="sans-serif" w:cs="sans-serif"/>
          <w:b/>
          <w:bCs/>
        </w:rPr>
        <w:t>主对角线颜色极深、数值集中</w:t>
      </w:r>
      <w:r>
        <w:rPr>
          <w:rFonts w:hint="default" w:ascii="sans-serif" w:hAnsi="sans-serif" w:eastAsia="sans-serif" w:cs="sans-serif"/>
        </w:rPr>
        <w:t>，非对角线区域的误报极少，完美达到了任务书规定的各项技术分类指标。</w:t>
      </w:r>
      <w:bookmarkStart w:id="0" w:name="_GoBack"/>
      <w:bookmarkEnd w:id="0"/>
    </w:p>
    <w:p w14:paraId="3FA4A033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六、 实验结论</w:t>
      </w:r>
    </w:p>
    <w:p w14:paraId="25517896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本实验成功搭建了基于 Linux/WSL 环境的羽毛球动作识别系统。通过 </w:t>
      </w:r>
      <w:r>
        <w:rPr>
          <w:rFonts w:hint="default" w:ascii="sans-serif" w:hAnsi="sans-serif" w:eastAsia="sans-serif" w:cs="sans-serif"/>
          <w:b/>
          <w:bCs/>
        </w:rPr>
        <w:t>MediaPipe 0.10.14</w:t>
      </w:r>
      <w:r>
        <w:rPr>
          <w:rFonts w:hint="default" w:ascii="sans-serif" w:hAnsi="sans-serif" w:eastAsia="sans-serif" w:cs="sans-serif"/>
        </w:rPr>
        <w:t xml:space="preserve"> 提取的空间骨架特征，不仅大幅降低了图像数据的维度和处理计算开销，还天然地消除了场地光照、着装等外部噪声对模型的干扰。双层 </w:t>
      </w:r>
      <w:r>
        <w:rPr>
          <w:rFonts w:hint="default" w:ascii="sans-serif" w:hAnsi="sans-serif" w:eastAsia="sans-serif" w:cs="sans-serif"/>
          <w:b/>
          <w:bCs/>
        </w:rPr>
        <w:t>Transformer</w:t>
      </w:r>
      <w:r>
        <w:rPr>
          <w:rFonts w:hint="default" w:ascii="sans-serif" w:hAnsi="sans-serif" w:eastAsia="sans-serif" w:cs="sans-serif"/>
        </w:rPr>
        <w:t xml:space="preserve"> 动作分类网络通过引入可学习的位置编码与多头注意力，展现出了卓越的长时序动作建模能力。最终一键导出的 Loss 曲线图、全彩混淆矩阵热力图和骨架提取效果图，为本深度学习动作识别系统的有效性提供了坚实的科学证据，实验圆满完成。</w:t>
      </w:r>
    </w:p>
    <w:p w14:paraId="40B87100">
      <w:pPr>
        <w:rPr>
          <w:rStyle w:val="7"/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2225CF"/>
    <w:multiLevelType w:val="singleLevel"/>
    <w:tmpl w:val="A92225CF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648BA786"/>
    <w:multiLevelType w:val="singleLevel"/>
    <w:tmpl w:val="648BA786"/>
    <w:lvl w:ilvl="0" w:tentative="0">
      <w:start w:val="5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D066FF"/>
    <w:rsid w:val="1A7E0595"/>
    <w:rsid w:val="64B07140"/>
    <w:rsid w:val="64D066FF"/>
    <w:rsid w:val="67B81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992</Words>
  <Characters>1321</Characters>
  <Lines>0</Lines>
  <Paragraphs>0</Paragraphs>
  <TotalTime>7</TotalTime>
  <ScaleCrop>false</ScaleCrop>
  <LinksUpToDate>false</LinksUpToDate>
  <CharactersWithSpaces>1397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2026-06-05T01:45:00Z</dcterms:created>
  <dc:creator>赵乘骥</dc:creator>
  <cp:lastModifiedBy>WPS_1660053092</cp:lastModifiedBy>
  <dcterms:modified xsi:type="dcterms:W3CDTF">2026-06-16T05:16:16Z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CA6B15F7AF684A93879FC6CCB2460AEE_13</vt:lpwstr>
  </property>
  <property fmtid="{D5CDD505-2E9C-101B-9397-08002B2CF9AE}" pid="4" name="KSOTemplateDocerSaveRecord">
    <vt:lpwstr>eyJoZGlkIjoiNWYxODI2ZjIzNzJhMzI4YTk0YzM0M2FkMTI1NWFmOTUiLCJ1c2VySWQiOiIxMzk0NzU5Njc2In0=</vt:lpwstr>
  </property>
</Properties>
</file>