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C37E8B">
      <w:pPr>
        <w:jc w:val="center"/>
        <w:rPr>
          <w:rFonts w:eastAsia="楷体_GB2312"/>
          <w:b/>
          <w:sz w:val="44"/>
          <w:szCs w:val="44"/>
        </w:rPr>
      </w:pPr>
      <w:r>
        <w:rPr>
          <w:rFonts w:eastAsia="楷体_GB2312"/>
          <w:b/>
          <w:sz w:val="44"/>
          <w:szCs w:val="44"/>
        </w:rPr>
        <w:t>暨南大学本科实验报告专用纸</w:t>
      </w:r>
    </w:p>
    <w:p w14:paraId="38DA9B73">
      <w:pPr>
        <w:rPr>
          <w:rFonts w:eastAsia="楷体_GB2312"/>
          <w:sz w:val="28"/>
          <w:szCs w:val="28"/>
        </w:rPr>
      </w:pPr>
      <w:r>
        <w:rPr>
          <w:rFonts w:hint="eastAsia" w:eastAsia="楷体_GB2312"/>
          <w:sz w:val="28"/>
          <w:szCs w:val="28"/>
        </w:rPr>
        <w:t>课程名称</w:t>
      </w:r>
      <w:r>
        <w:rPr>
          <w:rFonts w:eastAsia="楷体_GB2312"/>
          <w:sz w:val="28"/>
          <w:szCs w:val="28"/>
          <w:u w:val="single"/>
        </w:rPr>
        <w:t xml:space="preserve">    </w:t>
      </w:r>
      <w:r>
        <w:rPr>
          <w:rFonts w:hint="eastAsia" w:eastAsia="楷体_GB2312"/>
          <w:sz w:val="28"/>
          <w:szCs w:val="28"/>
          <w:u w:val="single"/>
        </w:rPr>
        <w:t xml:space="preserve">   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</w:rPr>
        <w:t>计算机视觉实验</w:t>
      </w:r>
      <w:r>
        <w:rPr>
          <w:rFonts w:eastAsia="楷体_GB2312"/>
          <w:sz w:val="28"/>
          <w:szCs w:val="28"/>
          <w:u w:val="single"/>
        </w:rPr>
        <w:t xml:space="preserve">   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  <w:u w:val="single"/>
        </w:rPr>
        <w:t xml:space="preserve">     </w:t>
      </w:r>
      <w:r>
        <w:rPr>
          <w:rFonts w:hint="eastAsia" w:eastAsia="楷体_GB2312"/>
          <w:sz w:val="28"/>
          <w:szCs w:val="28"/>
        </w:rPr>
        <w:t>成绩评定</w:t>
      </w:r>
      <w:r>
        <w:rPr>
          <w:rFonts w:eastAsia="楷体_GB2312"/>
          <w:sz w:val="28"/>
          <w:szCs w:val="28"/>
          <w:u w:val="single"/>
        </w:rPr>
        <w:t xml:space="preserve">            </w:t>
      </w:r>
    </w:p>
    <w:p w14:paraId="335FD148">
      <w:pPr>
        <w:rPr>
          <w:rFonts w:eastAsia="楷体_GB2312"/>
          <w:sz w:val="28"/>
          <w:szCs w:val="28"/>
          <w:u w:val="single"/>
        </w:rPr>
      </w:pPr>
      <w:r>
        <w:rPr>
          <w:rFonts w:hint="eastAsia" w:eastAsia="楷体_GB2312"/>
          <w:sz w:val="28"/>
          <w:szCs w:val="28"/>
        </w:rPr>
        <w:t>实验项目名称</w:t>
      </w:r>
      <w:r>
        <w:rPr>
          <w:rFonts w:hint="eastAsia" w:eastAsia="楷体_GB2312"/>
          <w:sz w:val="28"/>
          <w:szCs w:val="28"/>
          <w:u w:val="single"/>
        </w:rPr>
        <w:t xml:space="preserve">     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 xml:space="preserve">    Transformer中正弦位置编码与旋转位置编码（RoPE）原理实现及性能对比实验                     </w:t>
      </w:r>
      <w:r>
        <w:rPr>
          <w:rFonts w:hint="eastAsia" w:eastAsia="楷体_GB2312"/>
          <w:sz w:val="28"/>
          <w:szCs w:val="28"/>
          <w:u w:val="single"/>
        </w:rPr>
        <w:t xml:space="preserve">    </w:t>
      </w:r>
    </w:p>
    <w:p w14:paraId="16FE2D32">
      <w:pPr>
        <w:rPr>
          <w:rFonts w:eastAsia="楷体_GB2312"/>
          <w:sz w:val="28"/>
          <w:szCs w:val="28"/>
        </w:rPr>
      </w:pPr>
      <w:r>
        <w:rPr>
          <w:rFonts w:hint="eastAsia" w:eastAsia="楷体_GB2312"/>
          <w:sz w:val="28"/>
          <w:szCs w:val="28"/>
        </w:rPr>
        <w:t>指导教师</w:t>
      </w:r>
      <w:r>
        <w:rPr>
          <w:rFonts w:eastAsia="楷体_GB2312"/>
          <w:sz w:val="28"/>
          <w:szCs w:val="28"/>
          <w:u w:val="single"/>
        </w:rPr>
        <w:t xml:space="preserve">    </w:t>
      </w:r>
      <w:r>
        <w:rPr>
          <w:rFonts w:hint="eastAsia" w:eastAsia="楷体_GB2312"/>
          <w:sz w:val="28"/>
          <w:szCs w:val="28"/>
          <w:u w:val="single"/>
        </w:rPr>
        <w:t>赵乘骥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8"/>
          <w:szCs w:val="28"/>
        </w:rPr>
        <w:t>实验项目类型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</w:rPr>
        <w:t>仿真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8"/>
          <w:szCs w:val="28"/>
        </w:rPr>
        <w:t>实验地点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</w:rPr>
        <w:t>教108</w:t>
      </w:r>
      <w:r>
        <w:rPr>
          <w:rFonts w:eastAsia="楷体_GB2312"/>
          <w:sz w:val="28"/>
          <w:szCs w:val="28"/>
          <w:u w:val="single"/>
        </w:rPr>
        <w:t xml:space="preserve">        </w:t>
      </w:r>
    </w:p>
    <w:p w14:paraId="3018A504">
      <w:pPr>
        <w:rPr>
          <w:rFonts w:eastAsia="楷体_GB2312"/>
          <w:sz w:val="28"/>
          <w:szCs w:val="28"/>
          <w:u w:val="single"/>
        </w:rPr>
      </w:pPr>
      <w:r>
        <w:rPr>
          <w:rFonts w:hint="eastAsia" w:eastAsia="楷体_GB2312"/>
          <w:sz w:val="28"/>
          <w:szCs w:val="28"/>
        </w:rPr>
        <w:t>学生姓名</w:t>
      </w:r>
      <w:r>
        <w:rPr>
          <w:rFonts w:eastAsia="楷体_GB2312"/>
          <w:sz w:val="28"/>
          <w:szCs w:val="28"/>
          <w:u w:val="single"/>
        </w:rPr>
        <w:t xml:space="preserve">  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刘崇基</w:t>
      </w:r>
      <w:r>
        <w:rPr>
          <w:rFonts w:eastAsia="楷体_GB2312"/>
          <w:sz w:val="28"/>
          <w:szCs w:val="28"/>
          <w:u w:val="single"/>
        </w:rPr>
        <w:t xml:space="preserve">     </w:t>
      </w:r>
      <w:r>
        <w:rPr>
          <w:rFonts w:hint="eastAsia" w:eastAsia="楷体_GB2312"/>
          <w:sz w:val="28"/>
          <w:szCs w:val="28"/>
        </w:rPr>
        <w:t>学号</w:t>
      </w:r>
      <w:r>
        <w:rPr>
          <w:rFonts w:eastAsia="楷体_GB2312"/>
          <w:sz w:val="28"/>
          <w:szCs w:val="28"/>
          <w:u w:val="single"/>
        </w:rPr>
        <w:t xml:space="preserve">    202310006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8</w:t>
      </w:r>
      <w:r>
        <w:rPr>
          <w:rFonts w:eastAsia="楷体_GB2312"/>
          <w:sz w:val="28"/>
          <w:szCs w:val="28"/>
          <w:u w:val="single"/>
        </w:rPr>
        <w:t xml:space="preserve">      </w:t>
      </w:r>
      <w:r>
        <w:rPr>
          <w:rFonts w:hint="eastAsia" w:eastAsia="楷体_GB2312"/>
          <w:sz w:val="28"/>
          <w:szCs w:val="28"/>
        </w:rPr>
        <w:t>组号</w:t>
      </w:r>
      <w:r>
        <w:rPr>
          <w:rFonts w:eastAsia="楷体_GB2312"/>
          <w:sz w:val="28"/>
          <w:szCs w:val="28"/>
          <w:u w:val="single"/>
        </w:rPr>
        <w:t xml:space="preserve">                  </w:t>
      </w:r>
    </w:p>
    <w:p w14:paraId="3C7F59BA">
      <w:pPr>
        <w:rPr>
          <w:rFonts w:eastAsia="楷体_GB2312"/>
          <w:sz w:val="28"/>
          <w:szCs w:val="28"/>
          <w:u w:val="single"/>
        </w:rPr>
      </w:pPr>
      <w:r>
        <w:rPr>
          <w:rFonts w:hint="eastAsia" w:eastAsia="楷体_GB2312"/>
          <w:sz w:val="28"/>
          <w:szCs w:val="28"/>
        </w:rPr>
        <w:t>学院</w:t>
      </w:r>
      <w:r>
        <w:rPr>
          <w:rFonts w:eastAsia="楷体_GB2312"/>
          <w:sz w:val="28"/>
          <w:szCs w:val="28"/>
          <w:u w:val="single"/>
        </w:rPr>
        <w:t xml:space="preserve">     </w:t>
      </w:r>
      <w:r>
        <w:rPr>
          <w:rFonts w:hint="eastAsia" w:eastAsia="楷体_GB2312"/>
          <w:sz w:val="28"/>
          <w:szCs w:val="28"/>
          <w:u w:val="single"/>
        </w:rPr>
        <w:t>国际能源学院</w:t>
      </w:r>
      <w:r>
        <w:rPr>
          <w:rFonts w:eastAsia="楷体_GB2312"/>
          <w:sz w:val="28"/>
          <w:szCs w:val="28"/>
          <w:u w:val="single"/>
        </w:rPr>
        <w:t xml:space="preserve">          </w:t>
      </w:r>
      <w:r>
        <w:rPr>
          <w:rFonts w:hint="eastAsia" w:eastAsia="楷体_GB2312"/>
          <w:sz w:val="28"/>
          <w:szCs w:val="28"/>
        </w:rPr>
        <w:t>系</w:t>
      </w:r>
      <w:r>
        <w:rPr>
          <w:rFonts w:eastAsia="楷体_GB2312"/>
          <w:sz w:val="28"/>
          <w:szCs w:val="28"/>
          <w:u w:val="single"/>
        </w:rPr>
        <w:t xml:space="preserve">          </w:t>
      </w:r>
      <w:r>
        <w:rPr>
          <w:rFonts w:hint="eastAsia" w:eastAsia="楷体_GB2312"/>
          <w:sz w:val="28"/>
          <w:szCs w:val="28"/>
        </w:rPr>
        <w:t>专业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8"/>
          <w:szCs w:val="28"/>
          <w:u w:val="single"/>
        </w:rPr>
        <w:t>自动化</w:t>
      </w:r>
      <w:r>
        <w:rPr>
          <w:rFonts w:eastAsia="楷体_GB2312"/>
          <w:sz w:val="28"/>
          <w:szCs w:val="28"/>
          <w:u w:val="single"/>
        </w:rPr>
        <w:t xml:space="preserve">                </w:t>
      </w:r>
      <w:r>
        <w:rPr>
          <w:rFonts w:eastAsia="楷体_GB2312"/>
          <w:sz w:val="28"/>
          <w:szCs w:val="28"/>
        </w:rPr>
        <w:t xml:space="preserve">  </w:t>
      </w:r>
    </w:p>
    <w:p w14:paraId="7CA21526">
      <w:pPr>
        <w:rPr>
          <w:rFonts w:eastAsia="楷体_GB2312"/>
          <w:sz w:val="28"/>
          <w:szCs w:val="28"/>
        </w:rPr>
      </w:pPr>
      <w:r>
        <w:rPr>
          <w:rFonts w:hint="eastAsia" w:eastAsia="楷体_GB2312"/>
          <w:sz w:val="28"/>
          <w:szCs w:val="28"/>
        </w:rPr>
        <w:t>实验时间</w:t>
      </w:r>
      <w:r>
        <w:rPr>
          <w:rFonts w:eastAsia="楷体_GB2312"/>
          <w:sz w:val="28"/>
          <w:szCs w:val="28"/>
          <w:u w:val="single"/>
        </w:rPr>
        <w:t>202</w:t>
      </w:r>
      <w:r>
        <w:rPr>
          <w:rFonts w:hint="eastAsia" w:eastAsia="楷体_GB2312"/>
          <w:sz w:val="28"/>
          <w:szCs w:val="28"/>
          <w:u w:val="single"/>
        </w:rPr>
        <w:t>6</w:t>
      </w:r>
      <w:r>
        <w:rPr>
          <w:rFonts w:hint="eastAsia" w:eastAsia="楷体_GB2312"/>
          <w:sz w:val="28"/>
          <w:szCs w:val="28"/>
        </w:rPr>
        <w:t>年</w:t>
      </w:r>
      <w:r>
        <w:rPr>
          <w:rFonts w:hint="eastAsia" w:eastAsia="楷体_GB2312"/>
          <w:sz w:val="28"/>
          <w:szCs w:val="28"/>
          <w:lang w:val="en-US" w:eastAsia="zh-CN"/>
        </w:rPr>
        <w:t>5</w:t>
      </w:r>
      <w:r>
        <w:rPr>
          <w:rFonts w:hint="eastAsia" w:eastAsia="楷体_GB2312"/>
          <w:sz w:val="28"/>
          <w:szCs w:val="28"/>
        </w:rPr>
        <w:t>月</w:t>
      </w:r>
      <w:r>
        <w:rPr>
          <w:rFonts w:hint="eastAsia" w:eastAsia="楷体_GB2312"/>
          <w:sz w:val="28"/>
          <w:szCs w:val="28"/>
          <w:lang w:val="en-US" w:eastAsia="zh-CN"/>
        </w:rPr>
        <w:t>20</w:t>
      </w:r>
      <w:r>
        <w:rPr>
          <w:rFonts w:hint="eastAsia" w:eastAsia="楷体_GB2312"/>
          <w:sz w:val="28"/>
          <w:szCs w:val="28"/>
        </w:rPr>
        <w:t>日</w:t>
      </w:r>
      <w:r>
        <w:rPr>
          <w:rFonts w:hint="eastAsia" w:eastAsia="楷体_GB2312"/>
          <w:sz w:val="28"/>
          <w:szCs w:val="28"/>
          <w:u w:val="single"/>
        </w:rPr>
        <w:t>下</w:t>
      </w:r>
      <w:r>
        <w:rPr>
          <w:rFonts w:hint="eastAsia" w:eastAsia="楷体_GB2312"/>
          <w:sz w:val="28"/>
          <w:szCs w:val="28"/>
        </w:rPr>
        <w:t>午～</w:t>
      </w:r>
      <w:r>
        <w:rPr>
          <w:rFonts w:hint="eastAsia" w:eastAsia="楷体_GB2312"/>
          <w:sz w:val="28"/>
          <w:szCs w:val="28"/>
          <w:lang w:val="en-US" w:eastAsia="zh-CN"/>
        </w:rPr>
        <w:t>5</w:t>
      </w:r>
      <w:r>
        <w:rPr>
          <w:rFonts w:hint="eastAsia" w:eastAsia="楷体_GB2312"/>
          <w:sz w:val="28"/>
          <w:szCs w:val="28"/>
        </w:rPr>
        <w:t>月</w:t>
      </w:r>
      <w:r>
        <w:rPr>
          <w:rFonts w:hint="eastAsia" w:eastAsia="楷体_GB2312"/>
          <w:sz w:val="28"/>
          <w:szCs w:val="28"/>
          <w:lang w:val="en-US" w:eastAsia="zh-CN"/>
        </w:rPr>
        <w:t>20</w:t>
      </w:r>
      <w:r>
        <w:rPr>
          <w:rFonts w:hint="eastAsia" w:eastAsia="楷体_GB2312"/>
          <w:sz w:val="28"/>
          <w:szCs w:val="28"/>
        </w:rPr>
        <w:t>日</w:t>
      </w:r>
      <w:r>
        <w:rPr>
          <w:rFonts w:hint="eastAsia" w:eastAsia="楷体_GB2312"/>
          <w:sz w:val="28"/>
          <w:szCs w:val="28"/>
          <w:u w:val="single"/>
        </w:rPr>
        <w:t>下</w:t>
      </w:r>
      <w:r>
        <w:rPr>
          <w:rFonts w:hint="eastAsia" w:eastAsia="楷体_GB2312"/>
          <w:sz w:val="28"/>
          <w:szCs w:val="28"/>
        </w:rPr>
        <w:t>午温度</w:t>
      </w:r>
      <w:r>
        <w:rPr>
          <w:rFonts w:hint="eastAsia" w:eastAsia="楷体_GB2312"/>
          <w:sz w:val="28"/>
          <w:szCs w:val="28"/>
          <w:lang w:val="en-US" w:eastAsia="zh-CN"/>
        </w:rPr>
        <w:t xml:space="preserve">   </w:t>
      </w:r>
      <w:r>
        <w:rPr>
          <w:rFonts w:hint="eastAsia" w:eastAsia="楷体_GB2312"/>
          <w:sz w:val="28"/>
          <w:szCs w:val="28"/>
        </w:rPr>
        <w:t>湿度</w:t>
      </w:r>
      <w:r>
        <w:rPr>
          <w:rFonts w:eastAsia="楷体_GB2312"/>
          <w:sz w:val="28"/>
          <w:szCs w:val="28"/>
          <w:u w:val="single"/>
        </w:rPr>
        <w:t xml:space="preserve">                    </w:t>
      </w:r>
      <w:r>
        <w:rPr>
          <w:rFonts w:eastAsia="楷体_GB2312"/>
          <w:sz w:val="28"/>
          <w:szCs w:val="28"/>
        </w:rPr>
        <w:t xml:space="preserve">       </w:t>
      </w:r>
      <w:r>
        <w:rPr>
          <w:rFonts w:eastAsia="楷体_GB2312"/>
          <w:sz w:val="28"/>
          <w:szCs w:val="28"/>
          <w:u w:val="single"/>
        </w:rPr>
        <w:t xml:space="preserve">              </w:t>
      </w:r>
      <w:r>
        <w:rPr>
          <w:rFonts w:eastAsia="楷体_GB2312"/>
          <w:sz w:val="28"/>
          <w:szCs w:val="28"/>
        </w:rPr>
        <w:t xml:space="preserve">      </w:t>
      </w:r>
      <w:r>
        <w:rPr>
          <w:rFonts w:eastAsia="楷体_GB2312"/>
          <w:sz w:val="28"/>
          <w:szCs w:val="28"/>
          <w:u w:val="single"/>
        </w:rPr>
        <w:t xml:space="preserve">         </w:t>
      </w:r>
    </w:p>
    <w:p w14:paraId="5B1F3978">
      <w:pPr>
        <w:numPr>
          <w:ilvl w:val="0"/>
          <w:numId w:val="1"/>
        </w:numPr>
        <w:spacing w:line="360" w:lineRule="auto"/>
        <w:ind w:left="720" w:leftChars="0" w:firstLineChars="0"/>
        <w:rPr>
          <w:b/>
          <w:sz w:val="24"/>
        </w:rPr>
      </w:pPr>
      <w:r>
        <w:rPr>
          <w:rFonts w:hint="eastAsia"/>
          <w:b/>
          <w:sz w:val="24"/>
        </w:rPr>
        <w:t>实验目的</w:t>
      </w:r>
    </w:p>
    <w:p w14:paraId="3427CBB1">
      <w:pPr>
        <w:numPr>
          <w:ilvl w:val="0"/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1. 理解Transformer自注意力机制无法感知序列时序信息的核心缺陷，掌握位置编码在大语言模型、Transformer架构中的必要性。</w:t>
      </w:r>
    </w:p>
    <w:p w14:paraId="599B2BFF">
      <w:pPr>
        <w:numPr>
          <w:ilvl w:val="0"/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2. 基于NumPy从零实现原始正弦位置编码、二维基础向量旋转、高维RoPE旋转位置编码，吃透两类位置编码底层数学公式与代码逻辑。</w:t>
      </w:r>
    </w:p>
    <w:p w14:paraId="7E64D4CB">
      <w:pPr>
        <w:numPr>
          <w:ilvl w:val="0"/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3. 对比加法式正弦位置编码（E+pos）与旋转式RoPE编码的信息融合方式，剖析加法编码存在的内容与位置信息耦合问题。</w:t>
      </w:r>
    </w:p>
    <w:p w14:paraId="63715F14">
      <w:pPr>
        <w:numPr>
          <w:ilvl w:val="0"/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4. 通过控制变量实验，验证RoPE仅依赖相对位置、与绝对位置无关的核心特性，明确RoPE相较于传统正弦位置编码的优势。</w:t>
      </w:r>
    </w:p>
    <w:p w14:paraId="1C30291B">
      <w:pPr>
        <w:numPr>
          <w:ilvl w:val="0"/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5. 梳理两类位置编码的适用场景、优缺点，理解当下大模型普遍选用RoPE替代传统正弦位置编码的底层原因。</w:t>
      </w:r>
    </w:p>
    <w:p w14:paraId="0C2315D4">
      <w:pPr>
        <w:numPr>
          <w:ilvl w:val="0"/>
          <w:numId w:val="0"/>
        </w:numPr>
        <w:spacing w:line="360" w:lineRule="auto"/>
        <w:ind w:leftChars="0"/>
        <w:rPr>
          <w:b/>
          <w:sz w:val="24"/>
        </w:rPr>
      </w:pPr>
    </w:p>
    <w:p w14:paraId="23FB1490">
      <w:pPr>
        <w:numPr>
          <w:ilvl w:val="0"/>
          <w:numId w:val="1"/>
        </w:numPr>
        <w:spacing w:line="360" w:lineRule="auto"/>
        <w:ind w:left="720" w:leftChars="0" w:firstLineChars="0"/>
        <w:rPr>
          <w:b/>
          <w:sz w:val="24"/>
        </w:rPr>
      </w:pPr>
      <w:r>
        <w:rPr>
          <w:rFonts w:hint="eastAsia"/>
          <w:b/>
          <w:sz w:val="24"/>
        </w:rPr>
        <w:t>实验原理</w:t>
      </w:r>
    </w:p>
    <w:p w14:paraId="567333ED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3.1 Transformer引入位置编码的底层原理</w:t>
      </w:r>
    </w:p>
    <w:p w14:paraId="137C151A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</w:t>
      </w:r>
    </w:p>
    <w:p w14:paraId="45529D10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Transformer自注意力机制基于矩阵运算实现token之间的关联计算，运算过程具备排列等变性：交换序列中token的位置，注意力计算结果不会发生变化。但自然语言文本、时序数据具备严格的先后语序，模型必须引入外部位置信息，才能区分不同位置的词元，因此位置编码是Transformer处理时序序列的必备模块。</w:t>
      </w:r>
    </w:p>
    <w:p w14:paraId="0EE2F5EB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</w:t>
      </w:r>
    </w:p>
    <w:p w14:paraId="3F644F24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3.2 正弦位置编码（Sinusoidal Position Encoding）原理</w:t>
      </w:r>
    </w:p>
    <w:p w14:paraId="6EA9A9B0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</w:t>
      </w:r>
    </w:p>
    <w:p w14:paraId="0BCA623B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原始Transformer采用固定正弦余弦函数生成位置向量，无需训练参数，属于静态绝对位置编码。针对序列位置pos、向量维度d、维度索引2i，计算公式如下：</w:t>
      </w:r>
    </w:p>
    <w:p w14:paraId="37236E31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</w:t>
      </w:r>
    </w:p>
    <w:p w14:paraId="7489D82C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</w:p>
    <w:p w14:paraId="0142895F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\begin{cases}</w:t>
      </w:r>
    </w:p>
    <w:p w14:paraId="7565FBF2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PE_{(pos,2i)} = \sin(pos/10000^{2i/d})\\</w:t>
      </w:r>
    </w:p>
    <w:p w14:paraId="65F3B62C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PE_{(pos,2i+1)} = \cos(pos/10000^{2i/d})</w:t>
      </w:r>
    </w:p>
    <w:p w14:paraId="31DA3154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\end{cases}</w:t>
      </w:r>
    </w:p>
    <w:p w14:paraId="41C84B7D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</w:p>
    <w:p w14:paraId="6018943D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</w:t>
      </w:r>
    </w:p>
    <w:p w14:paraId="2DD81A10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生成位置编码后，直接将词嵌入向量E与位置编码向量PE逐元素相加，即输入为E+PE，通过加法方式融合语义信息与位置信息，仅能建模绝对位置关系。</w:t>
      </w:r>
    </w:p>
    <w:p w14:paraId="1C677A2A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</w:t>
      </w:r>
    </w:p>
    <w:p w14:paraId="3CA0F3C5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3.3 二维向量旋转原理（RoPE基础）</w:t>
      </w:r>
    </w:p>
    <w:p w14:paraId="2400EFC5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</w:t>
      </w:r>
    </w:p>
    <w:p w14:paraId="0713E799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RoPE核心依托二维旋转变换注入位置信息，标准二维旋转矩阵为：</w:t>
      </w:r>
    </w:p>
    <w:p w14:paraId="4C8F72CD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</w:t>
      </w:r>
    </w:p>
    <w:p w14:paraId="4E19B610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</w:p>
    <w:p w14:paraId="264D250B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R(\theta) = \begin{bmatrix}</w:t>
      </w:r>
    </w:p>
    <w:p w14:paraId="2CA9321C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\cos\theta &amp; -\sin\theta \\</w:t>
      </w:r>
    </w:p>
    <w:p w14:paraId="7ACA4B08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\sin\theta &amp; \cos\theta</w:t>
      </w:r>
    </w:p>
    <w:p w14:paraId="508904A0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\end{bmatrix}</w:t>
      </w:r>
    </w:p>
    <w:p w14:paraId="26982D15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</w:p>
    <w:p w14:paraId="230ED899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</w:t>
      </w:r>
    </w:p>
    <w:p w14:paraId="7309ED28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原始二维向量[x_1,x_2]经过角度\theta旋转后，输出向量：</w:t>
      </w:r>
    </w:p>
    <w:p w14:paraId="3C6046A0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</w:t>
      </w:r>
    </w:p>
    <w:p w14:paraId="00CF5BB9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</w:p>
    <w:p w14:paraId="545647DB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\begin{bmatrix}x_1'\\x_2'\end{bmatrix}= \begin{bmatrix}</w:t>
      </w:r>
    </w:p>
    <w:p w14:paraId="3AC5385F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\cos\theta &amp; -\sin\theta \\</w:t>
      </w:r>
    </w:p>
    <w:p w14:paraId="3548C0D2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\sin\theta &amp; \cos\theta</w:t>
      </w:r>
    </w:p>
    <w:p w14:paraId="75AD7F7F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\end{bmatrix}\begin{bmatrix}x_1\\x_2\end{bmatrix}</w:t>
      </w:r>
    </w:p>
    <w:p w14:paraId="6D576CEB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</w:p>
    <w:p w14:paraId="56830677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</w:t>
      </w:r>
    </w:p>
    <w:p w14:paraId="2EF3BF7D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旋转角度与token绝对位置绑定，位置越靠后，向量旋转角度越大。</w:t>
      </w:r>
    </w:p>
    <w:p w14:paraId="3B9A98EA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</w:t>
      </w:r>
    </w:p>
    <w:p w14:paraId="179FB85B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3.4 高维RoPE编码原理</w:t>
      </w:r>
    </w:p>
    <w:p w14:paraId="7A433F1C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</w:t>
      </w:r>
    </w:p>
    <w:p w14:paraId="5EE2D5A0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高维词向量无法直接整体旋转，因此将高维向量两两分组，每一组二维向量独立执行旋转变换；旋转频率与正弦位置编码保持一致，保证编码频率统一性。RoPE不改变向量幅值，仅改变向量空间方向，位置信息完全蕴含在旋转角度中。</w:t>
      </w:r>
    </w:p>
    <w:p w14:paraId="414CAD5B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</w:t>
      </w:r>
    </w:p>
    <w:p w14:paraId="17D30ED4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3.5 两类编码注意力计算原理差异</w:t>
      </w:r>
    </w:p>
    <w:p w14:paraId="701049E5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</w:t>
      </w:r>
    </w:p>
    <w:p w14:paraId="4EAFDCD0">
      <w:pPr>
        <w:numPr>
          <w:numId w:val="0"/>
        </w:numPr>
        <w:spacing w:line="360" w:lineRule="auto"/>
        <w:ind w:leftChars="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1. 正弦位置编码：词嵌入与位置编码直接加法融合，注意力计算为Attn=(E+PE_q)(E+PE_k)^T，语义信息和位置信息强行耦合，注意力分数同时受绝对位置和语义双重干扰。</w:t>
      </w:r>
    </w:p>
    <w:p w14:paraId="4C114397">
      <w:pPr>
        <w:numPr>
          <w:numId w:val="0"/>
        </w:numPr>
        <w:spacing w:line="360" w:lineRule="auto"/>
        <w:ind w:leftChars="0"/>
        <w:rPr>
          <w:b/>
          <w:sz w:val="24"/>
        </w:rPr>
      </w:pPr>
      <w:r>
        <w:rPr>
          <w:rFonts w:hint="eastAsia"/>
          <w:b/>
          <w:sz w:val="24"/>
        </w:rPr>
        <w:t>2. RoPE编码：不对向量做加法，仅分别对Q、K向量做位置旋转，Value向量保持不变；旋转后Q、K点积计算结果可数学化简，最终点积结果仅和Q、K之间的相对位置偏移量相关，和二者绝对位置无关，天然具备相对位置建模能力</w:t>
      </w:r>
    </w:p>
    <w:p w14:paraId="3B61506D">
      <w:pPr>
        <w:numPr>
          <w:ilvl w:val="0"/>
          <w:numId w:val="1"/>
        </w:numPr>
        <w:spacing w:line="360" w:lineRule="auto"/>
        <w:ind w:left="720" w:leftChars="0" w:firstLineChars="0"/>
        <w:rPr>
          <w:b/>
          <w:sz w:val="24"/>
        </w:rPr>
      </w:pPr>
      <w:r>
        <w:rPr>
          <w:rFonts w:hint="eastAsia"/>
          <w:b/>
          <w:sz w:val="24"/>
        </w:rPr>
        <w:t xml:space="preserve"> 实验步骤</w:t>
      </w:r>
    </w:p>
    <w:p w14:paraId="25B4A60D">
      <w:pPr>
        <w:numPr>
          <w:ilvl w:val="0"/>
          <w:numId w:val="0"/>
        </w:numPr>
        <w:spacing w:line="360" w:lineRule="auto"/>
        <w:ind w:leftChars="0"/>
        <w:rPr>
          <w:rFonts w:hint="eastAsia"/>
          <w:b/>
          <w:sz w:val="24"/>
          <w:lang w:val="en-US" w:eastAsia="zh-CN"/>
        </w:rPr>
      </w:pPr>
      <w:r>
        <w:rPr>
          <w:rFonts w:hint="eastAsia"/>
          <w:b/>
          <w:sz w:val="24"/>
          <w:lang w:val="en-US" w:eastAsia="zh-CN"/>
        </w:rPr>
        <w:t xml:space="preserve"> 1. 基于官方公式，使用NumPy实现标准正弦位置编码函数，生成不同位置、不同维度的位置编码向量。</w:t>
      </w:r>
    </w:p>
    <w:p w14:paraId="3FB5746A">
      <w:pPr>
        <w:numPr>
          <w:ilvl w:val="0"/>
          <w:numId w:val="0"/>
        </w:numPr>
        <w:spacing w:line="360" w:lineRule="auto"/>
        <w:ind w:leftChars="0"/>
        <w:rPr>
          <w:rFonts w:hint="eastAsia"/>
          <w:b/>
          <w:sz w:val="24"/>
          <w:lang w:val="en-US" w:eastAsia="zh-CN"/>
        </w:rPr>
      </w:pPr>
      <w:r>
        <w:rPr>
          <w:rFonts w:hint="eastAsia"/>
          <w:b/>
          <w:sz w:val="24"/>
          <w:lang w:val="en-US" w:eastAsia="zh-CN"/>
        </w:rPr>
        <w:t>2. 实现基础二维向量旋转函数，验证旋转矩阵对二维向量的变换效果。</w:t>
      </w:r>
    </w:p>
    <w:p w14:paraId="15302341">
      <w:pPr>
        <w:numPr>
          <w:ilvl w:val="0"/>
          <w:numId w:val="0"/>
        </w:numPr>
        <w:spacing w:line="360" w:lineRule="auto"/>
        <w:ind w:leftChars="0"/>
        <w:rPr>
          <w:rFonts w:hint="eastAsia"/>
          <w:b/>
          <w:sz w:val="24"/>
          <w:lang w:val="en-US" w:eastAsia="zh-CN"/>
        </w:rPr>
      </w:pPr>
      <w:r>
        <w:rPr>
          <w:rFonts w:hint="eastAsia"/>
          <w:b/>
          <w:sz w:val="24"/>
          <w:lang w:val="en-US" w:eastAsia="zh-CN"/>
        </w:rPr>
        <w:t>3. 基于二维旋转逻辑，实现完整高维RoPE位置编码函数，完成高维向量分组旋转。</w:t>
      </w:r>
    </w:p>
    <w:p w14:paraId="70C718CB">
      <w:pPr>
        <w:numPr>
          <w:ilvl w:val="0"/>
          <w:numId w:val="0"/>
        </w:numPr>
        <w:spacing w:line="360" w:lineRule="auto"/>
        <w:ind w:leftChars="0"/>
        <w:rPr>
          <w:rFonts w:hint="eastAsia"/>
          <w:b/>
          <w:sz w:val="24"/>
          <w:lang w:val="en-US" w:eastAsia="zh-CN"/>
        </w:rPr>
      </w:pPr>
      <w:r>
        <w:rPr>
          <w:rFonts w:hint="eastAsia"/>
          <w:b/>
          <w:sz w:val="24"/>
          <w:lang w:val="en-US" w:eastAsia="zh-CN"/>
        </w:rPr>
        <w:t>4. 对比E+pos加法编码与RoPE旋转编码的输入融合方式，直观展示两种编码的向量处理差异。</w:t>
      </w:r>
    </w:p>
    <w:p w14:paraId="7D0CDF91">
      <w:pPr>
        <w:numPr>
          <w:ilvl w:val="0"/>
          <w:numId w:val="0"/>
        </w:numPr>
        <w:spacing w:line="360" w:lineRule="auto"/>
        <w:ind w:leftChars="0"/>
        <w:rPr>
          <w:rFonts w:hint="eastAsia"/>
          <w:b/>
          <w:sz w:val="24"/>
          <w:lang w:val="en-US" w:eastAsia="zh-CN"/>
        </w:rPr>
      </w:pPr>
      <w:r>
        <w:rPr>
          <w:rFonts w:hint="eastAsia"/>
          <w:b/>
          <w:sz w:val="24"/>
          <w:lang w:val="en-US" w:eastAsia="zh-CN"/>
        </w:rPr>
        <w:t>5. 控制变量实验：设置两组绝对位置不同、相对位置相同的Q/K向量，以及绝对位置相同、相对位置不同的Q/K向量，计算注意力点积分数，验证RoPE相对位置特性。</w:t>
      </w:r>
    </w:p>
    <w:p w14:paraId="129C76BF">
      <w:pPr>
        <w:numPr>
          <w:ilvl w:val="0"/>
          <w:numId w:val="0"/>
        </w:numPr>
        <w:spacing w:line="360" w:lineRule="auto"/>
        <w:ind w:leftChars="0"/>
        <w:rPr>
          <w:rFonts w:hint="eastAsia"/>
          <w:b/>
          <w:sz w:val="24"/>
          <w:lang w:val="en-US" w:eastAsia="zh-CN"/>
        </w:rPr>
      </w:pPr>
    </w:p>
    <w:p w14:paraId="2DEE0215">
      <w:pPr>
        <w:pStyle w:val="11"/>
        <w:numPr>
          <w:ilvl w:val="0"/>
          <w:numId w:val="1"/>
        </w:numPr>
        <w:ind w:left="720" w:leftChars="0" w:firstLineChars="0"/>
        <w:rPr>
          <w:rFonts w:hint="default"/>
          <w:lang w:val="en-US" w:eastAsia="zh-CN"/>
        </w:rPr>
      </w:pPr>
      <w:r>
        <w:rPr>
          <w:rFonts w:hint="eastAsia"/>
          <w:b/>
          <w:sz w:val="24"/>
        </w:rPr>
        <w:t>实验结果</w:t>
      </w:r>
      <w:r>
        <w:rPr>
          <w:rFonts w:hint="eastAsia"/>
          <w:b/>
          <w:sz w:val="24"/>
          <w:lang w:val="en-US" w:eastAsia="zh-CN"/>
        </w:rPr>
        <w:t>与分析</w:t>
      </w:r>
    </w:p>
    <w:p w14:paraId="768920E5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6.1 正弦位置编码运行结果</w:t>
      </w:r>
    </w:p>
    <w:p w14:paraId="2003493B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</w:p>
    <w:p w14:paraId="38180DED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成功生成维度可控、位置可控的正弦位置编码向量，编码向量奇偶维度分别由正弦、余弦函数生成，高频维度变化快、低频维度变化慢，符合原始Transformer位置编码分布规律。</w:t>
      </w:r>
    </w:p>
    <w:p w14:paraId="47AA0E5C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结果分析：正弦编码是固定无参编码，无需训练即可使用，但是采用加法融合方式，词向量语义特征和位置特征直接叠加，两种信息无法解耦。</w:t>
      </w:r>
    </w:p>
    <w:p w14:paraId="48B7D38E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</w:p>
    <w:p w14:paraId="21382643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6.2 二维向量旋转实验结果</w:t>
      </w:r>
    </w:p>
    <w:p w14:paraId="32202377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</w:p>
    <w:p w14:paraId="65BDE5FD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输入任意二维向量与旋转角度，程序可精准输出旋转后的向量，向量模长保持不变，仅空间方向发生偏转，和理论旋转矩阵计算结果完全一致。</w:t>
      </w:r>
    </w:p>
    <w:p w14:paraId="3E7B3FA3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结果分析：RoPE依托几何旋转注入位置信息，属于无损变换，不会破坏原始词向量的语义幅值，仅通过方向变化标记位置，从底层避免了信息混合问题。</w:t>
      </w:r>
    </w:p>
    <w:p w14:paraId="31F6819E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</w:p>
    <w:p w14:paraId="20AC7107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6.3 E+pos与RoPE输入方式对比结果</w:t>
      </w:r>
    </w:p>
    <w:p w14:paraId="06FD9B1A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</w:p>
    <w:p w14:paraId="33434632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加法编码：原始词向量数值发生明显改变，语义向量和位置向量数值直接叠加，向量原始语义特征被位置信息干扰。</w:t>
      </w:r>
    </w:p>
    <w:p w14:paraId="03DC85B9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RoPE编码：词向量模长保持不变，仅向量方向发生改变，原始语义数值无损失，位置信息以几何方向的形式独立存储。</w:t>
      </w:r>
    </w:p>
    <w:p w14:paraId="56E3A2E6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结果分析：加法式编码存在内容-位置信息耦合缺陷，而RoPE实现了语义信息与位置信息的解耦，两种信息互不干扰。</w:t>
      </w:r>
    </w:p>
    <w:p w14:paraId="787C7EA5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</w:p>
    <w:p w14:paraId="07B8DDF4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6.4 RoPE相对位置验证实验结果</w:t>
      </w:r>
    </w:p>
    <w:p w14:paraId="5EB1F675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</w:p>
    <w:p w14:paraId="2ACAD7BF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 两组绝对位置不同、相对位置一致的Q、K向量：注意力点积分数几乎完全相等，数值误差趋近于0；</w:t>
      </w:r>
    </w:p>
    <w:p w14:paraId="1D20B919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 两组绝对位置相同、相对位置不同的Q、K向量：注意力点积分数存在显著差异。</w:t>
      </w:r>
    </w:p>
    <w:p w14:paraId="3140F3FF">
      <w:pPr>
        <w:pStyle w:val="11"/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结果分析：RoPE注意力分数只由token之间的相对距离决定，完全消除了绝对位置带来的影响，天然适配自然语言语序依赖、长序列上下文关联的场景。</w:t>
      </w:r>
    </w:p>
    <w:p w14:paraId="53A1DB95">
      <w:pPr>
        <w:pStyle w:val="11"/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2844800" cy="21336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90B0458">
      <w:pPr>
        <w:pStyle w:val="11"/>
        <w:numPr>
          <w:ilvl w:val="0"/>
          <w:numId w:val="1"/>
        </w:numPr>
        <w:ind w:left="720" w:leftChars="0" w:hanging="720" w:firstLineChars="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实验结论</w:t>
      </w:r>
    </w:p>
    <w:p w14:paraId="56B0C320">
      <w:pPr>
        <w:pStyle w:val="11"/>
        <w:numPr>
          <w:numId w:val="0"/>
        </w:numPr>
        <w:ind w:leftChars="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1. Transformer自注意力本身不具备时序感知能力，必须引入位置编码才能理解序列先后顺序，位置编码是时序Transformer模型不可或缺的核心模块。</w:t>
      </w:r>
    </w:p>
    <w:p w14:paraId="3A478F0C">
      <w:pPr>
        <w:pStyle w:val="11"/>
        <w:numPr>
          <w:numId w:val="0"/>
        </w:numPr>
        <w:ind w:leftChars="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2. 传统正弦位置编码为绝对位置编码，通过加法融合位置与语义信息，存在信息耦合、无法解耦内容和位置、长序列外推能力差的缺陷。</w:t>
      </w:r>
    </w:p>
    <w:p w14:paraId="22A25C63">
      <w:pPr>
        <w:pStyle w:val="11"/>
        <w:numPr>
          <w:numId w:val="0"/>
        </w:numPr>
        <w:ind w:leftChars="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3. RoPE基于二维几何旋转变换实现位置编码，无需向量加法，通过改变向量方向注入位置信息，完整保留原始词向量语义，实现了语义与位置信息的解耦。</w:t>
      </w:r>
    </w:p>
    <w:p w14:paraId="2630CA2F">
      <w:pPr>
        <w:pStyle w:val="11"/>
        <w:numPr>
          <w:numId w:val="0"/>
        </w:numPr>
        <w:ind w:leftChars="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4. RoPE注意力点积天然只和相对位置有关，无需额外增加相对位置偏置，具备原生的相对位置建模能力，更贴合自然语言上下文交互逻辑。</w:t>
      </w:r>
    </w:p>
    <w:p w14:paraId="57A376C6">
      <w:pPr>
        <w:pStyle w:val="11"/>
        <w:numPr>
          <w:numId w:val="0"/>
        </w:numPr>
        <w:ind w:leftChars="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5. 相比于正弦位置编码，RoPE泛化能力更强，长序列建模效果更优、推理无额外参数开销，因此目前主流大语言模型（LLaMA、Qwen等）均全面使用RoPE替代传统正弦位置编码。</w:t>
      </w:r>
    </w:p>
    <w:p w14:paraId="6CFAE6B7">
      <w:pPr>
        <w:pStyle w:val="11"/>
        <w:numPr>
          <w:numId w:val="0"/>
        </w:numPr>
        <w:ind w:leftChars="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6. 两种编码均为无参静态位置编码，训练成本一致，但RoPE在信息解耦、相对位置建模、长序列适配三大维度全面优于原始正弦位置编码。</w:t>
      </w:r>
    </w:p>
    <w:p w14:paraId="37B0BDDC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</w:p>
    <w:p w14:paraId="7C169E79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六</w:t>
      </w:r>
      <w:r>
        <w:rPr>
          <w:rFonts w:hint="default"/>
          <w:b/>
          <w:bCs/>
          <w:sz w:val="24"/>
          <w:szCs w:val="24"/>
          <w:lang w:val="en-US" w:eastAsia="zh-CN"/>
        </w:rPr>
        <w:t>、综合问答（作业简答题）</w:t>
      </w:r>
    </w:p>
    <w:p w14:paraId="523A3D97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433E0F56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结合代码与理论，回答作业全部问题：</w:t>
      </w:r>
    </w:p>
    <w:p w14:paraId="3D733D16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5D22F014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1. Transformer 为什么需要位置编码？</w:t>
      </w:r>
    </w:p>
    <w:p w14:paraId="2FC5AA86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45D0C523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Transformer 基于自注意力，本身是排列等变模型，无法感知序列顺序；自然语言是时序序列，必须显式注入位置信息，模型才能区分不同位置的 token。</w:t>
      </w:r>
    </w:p>
    <w:p w14:paraId="38864BE4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0DB1FD30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2. 传统 sinusoidal position encoding 如何生成？</w:t>
      </w:r>
    </w:p>
    <w:p w14:paraId="5CC11A92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40519060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使用正弦、余弦函数按维度奇偶交替生成位置向量，频率随维度递增衰减，公式见前文实现部分，生成后与词嵌入逐元素相加。</w:t>
      </w:r>
    </w:p>
    <w:p w14:paraId="29F6AC60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1AEEE4B5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3. E + pos 为什么存在“内容和位置混合”问题？</w:t>
      </w:r>
    </w:p>
    <w:p w14:paraId="05A681F2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28129358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词嵌入 \boldsymbol{E} 代表语义内容，位置编码 \boldsymbol{PE} 代表位置信息，直接逐元素相加会让两个信息强行耦合。</w:t>
      </w:r>
    </w:p>
    <w:p w14:paraId="2CAEF3A0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当语义相近、位置不同，或位置相近、语义不同时，向量特征会互相干扰，模型难以解耦内容与位置。</w:t>
      </w:r>
    </w:p>
    <w:p w14:paraId="4859AE4B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1B70C906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4. RoPE 不是加法，而是旋转</w:t>
      </w:r>
    </w:p>
    <w:p w14:paraId="38A17F19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48C41D25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RoPE 不做向量相加，而是将高维向量两两分组，对每组二维向量根据位置执行旋转变换，位置信息编码在旋转角度中，属于几何变换而非数值叠加。</w:t>
      </w:r>
    </w:p>
    <w:p w14:paraId="3270D4CB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628A82CE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5. RoPE 作用在 Q 和 K 上</w:t>
      </w:r>
    </w:p>
    <w:p w14:paraId="0EA50A78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7F0802C8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RoPE 标准用法是分别对 Query 和 Key 做位置旋转，再计算注意力分数；Value 一般不做旋转。这样设计能让注意力分数天然融入位置关系。</w:t>
      </w:r>
    </w:p>
    <w:p w14:paraId="1D0E2A52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61563E48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6. RoPE 的点积天然包含相对位置</w:t>
      </w:r>
    </w:p>
    <w:p w14:paraId="156A19EB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7A9A3847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对位置 m 的 Q、位置 n 的 K 分别旋转后，二者点积展开可化简为仅依赖相对偏移 m-n 的表达式，和绝对位置无关，天然建模相对位置。</w:t>
      </w:r>
    </w:p>
    <w:p w14:paraId="27489C28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1651FD3A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7. Attention score 中相对位置由旋转结构自然出现</w:t>
      </w:r>
    </w:p>
    <w:p w14:paraId="1AEB632A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016AB162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注意力分数 Attention(Q,K) = \text{softmax}(\tilde{Q}\tilde{K}^\top)，\tilde{Q},\tilde{K} 携带位置旋转信息，矩阵内积后，每一对 token 的交互强度由二者相对位置决定，无需额外设计相对位置偏置。</w:t>
      </w:r>
    </w:p>
    <w:p w14:paraId="43C3EEFB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0BE43E4B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8. 为什么 RoPE 比 E+pos 更巧妙？</w:t>
      </w:r>
    </w:p>
    <w:p w14:paraId="3924AA20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 xml:space="preserve"> </w:t>
      </w:r>
    </w:p>
    <w:p w14:paraId="77AE46B1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1. 解耦性更强：不用加法混合内容与位置，通过几何变换注入位置，语义和位置信息互不干扰；</w:t>
      </w:r>
    </w:p>
    <w:p w14:paraId="6DFC4AD5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</w:p>
    <w:p w14:paraId="257E3E00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2. 天然支持相对位置：加法式编码偏向建模绝对位置，RoPE 点积天然依赖相对偏移，更适配长序列、文本语序依赖；</w:t>
      </w:r>
    </w:p>
    <w:p w14:paraId="3FB4E57C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</w:p>
    <w:p w14:paraId="72330A5A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3. 泛化性更好：正弦编码外推长序列效果差，RoPE 在超长序列上位置建模更稳定；</w:t>
      </w:r>
    </w:p>
    <w:p w14:paraId="3534A9E2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</w:p>
    <w:p w14:paraId="50C585BB">
      <w:pPr>
        <w:pStyle w:val="11"/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4. 形式简洁：纯线性旋转变换，无额外参数，推理成本低，易部署。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7D4803"/>
    <w:multiLevelType w:val="multilevel"/>
    <w:tmpl w:val="017D4803"/>
    <w:lvl w:ilvl="0" w:tentative="0">
      <w:start w:val="1"/>
      <w:numFmt w:val="japaneseCounting"/>
      <w:lvlText w:val="%1、"/>
      <w:lvlJc w:val="left"/>
      <w:pPr>
        <w:ind w:left="720" w:hanging="720"/>
      </w:pPr>
      <w:rPr>
        <w:rFonts w:hint="default"/>
        <w:lang w:val="en-US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3626"/>
    <w:rsid w:val="0004752F"/>
    <w:rsid w:val="00093AF5"/>
    <w:rsid w:val="000C26E7"/>
    <w:rsid w:val="000E4E9A"/>
    <w:rsid w:val="001342B5"/>
    <w:rsid w:val="00136560"/>
    <w:rsid w:val="00186AD2"/>
    <w:rsid w:val="00195F17"/>
    <w:rsid w:val="001C618B"/>
    <w:rsid w:val="001E16F4"/>
    <w:rsid w:val="00216EE1"/>
    <w:rsid w:val="0022501A"/>
    <w:rsid w:val="002D1DF7"/>
    <w:rsid w:val="002D5232"/>
    <w:rsid w:val="00326D76"/>
    <w:rsid w:val="00327EEB"/>
    <w:rsid w:val="00337853"/>
    <w:rsid w:val="00346B68"/>
    <w:rsid w:val="003C316D"/>
    <w:rsid w:val="003F6A4C"/>
    <w:rsid w:val="00420652"/>
    <w:rsid w:val="00426CED"/>
    <w:rsid w:val="00435C35"/>
    <w:rsid w:val="00456E4E"/>
    <w:rsid w:val="00475A0E"/>
    <w:rsid w:val="00476052"/>
    <w:rsid w:val="00496FD1"/>
    <w:rsid w:val="004D3E8B"/>
    <w:rsid w:val="004E5EAC"/>
    <w:rsid w:val="005501D5"/>
    <w:rsid w:val="005526C3"/>
    <w:rsid w:val="00566B23"/>
    <w:rsid w:val="00591557"/>
    <w:rsid w:val="005948B6"/>
    <w:rsid w:val="0062596B"/>
    <w:rsid w:val="00634CCF"/>
    <w:rsid w:val="006437A2"/>
    <w:rsid w:val="0068188D"/>
    <w:rsid w:val="006A6875"/>
    <w:rsid w:val="006C09C9"/>
    <w:rsid w:val="006D5DF7"/>
    <w:rsid w:val="006D69FC"/>
    <w:rsid w:val="006E5DBC"/>
    <w:rsid w:val="0070730F"/>
    <w:rsid w:val="0072500C"/>
    <w:rsid w:val="00733091"/>
    <w:rsid w:val="00747045"/>
    <w:rsid w:val="0075413A"/>
    <w:rsid w:val="00755466"/>
    <w:rsid w:val="0076105C"/>
    <w:rsid w:val="00770602"/>
    <w:rsid w:val="00782A8D"/>
    <w:rsid w:val="007E1BAB"/>
    <w:rsid w:val="00841459"/>
    <w:rsid w:val="00851A0E"/>
    <w:rsid w:val="008616EE"/>
    <w:rsid w:val="00872C5E"/>
    <w:rsid w:val="008841FA"/>
    <w:rsid w:val="008A63D6"/>
    <w:rsid w:val="008D3626"/>
    <w:rsid w:val="008D4EE7"/>
    <w:rsid w:val="00913CE9"/>
    <w:rsid w:val="009201B6"/>
    <w:rsid w:val="009305D6"/>
    <w:rsid w:val="00953B5F"/>
    <w:rsid w:val="00955C08"/>
    <w:rsid w:val="0095765D"/>
    <w:rsid w:val="009635F2"/>
    <w:rsid w:val="009D6B4D"/>
    <w:rsid w:val="00A74224"/>
    <w:rsid w:val="00A94527"/>
    <w:rsid w:val="00AF2A73"/>
    <w:rsid w:val="00B35E76"/>
    <w:rsid w:val="00B7455E"/>
    <w:rsid w:val="00B8670F"/>
    <w:rsid w:val="00B9423E"/>
    <w:rsid w:val="00BB59F9"/>
    <w:rsid w:val="00BB7C70"/>
    <w:rsid w:val="00C47892"/>
    <w:rsid w:val="00C5769C"/>
    <w:rsid w:val="00C723A9"/>
    <w:rsid w:val="00CA1860"/>
    <w:rsid w:val="00CD0DD4"/>
    <w:rsid w:val="00D0315D"/>
    <w:rsid w:val="00D16AC0"/>
    <w:rsid w:val="00D33683"/>
    <w:rsid w:val="00D37FE5"/>
    <w:rsid w:val="00D703EC"/>
    <w:rsid w:val="00D738C2"/>
    <w:rsid w:val="00D77038"/>
    <w:rsid w:val="00DD1781"/>
    <w:rsid w:val="00DD2C8A"/>
    <w:rsid w:val="00DE3D29"/>
    <w:rsid w:val="00DE6197"/>
    <w:rsid w:val="00E02E08"/>
    <w:rsid w:val="00E04674"/>
    <w:rsid w:val="00E23BC4"/>
    <w:rsid w:val="00E24465"/>
    <w:rsid w:val="00E40614"/>
    <w:rsid w:val="00E44959"/>
    <w:rsid w:val="00E67575"/>
    <w:rsid w:val="00E72C06"/>
    <w:rsid w:val="00E74F2A"/>
    <w:rsid w:val="00E864BE"/>
    <w:rsid w:val="00EA0F72"/>
    <w:rsid w:val="00EF6E59"/>
    <w:rsid w:val="00F07B2B"/>
    <w:rsid w:val="00F441E4"/>
    <w:rsid w:val="00F60C86"/>
    <w:rsid w:val="00F83C6F"/>
    <w:rsid w:val="00FC524D"/>
    <w:rsid w:val="00FF7320"/>
    <w:rsid w:val="05274D51"/>
    <w:rsid w:val="1C1958C9"/>
    <w:rsid w:val="24212334"/>
    <w:rsid w:val="27B34052"/>
    <w:rsid w:val="36C04DE7"/>
    <w:rsid w:val="423152CC"/>
    <w:rsid w:val="430E340C"/>
    <w:rsid w:val="446D7F8E"/>
    <w:rsid w:val="47895454"/>
    <w:rsid w:val="4B1215A8"/>
    <w:rsid w:val="60E94170"/>
    <w:rsid w:val="690F1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iPriority="99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3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2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TML Code"/>
    <w:basedOn w:val="9"/>
    <w:unhideWhenUsed/>
    <w:qFormat/>
    <w:uiPriority w:val="99"/>
    <w:rPr>
      <w:rFonts w:ascii="宋体" w:hAnsi="宋体" w:eastAsia="宋体" w:cs="宋体"/>
      <w:sz w:val="24"/>
      <w:szCs w:val="24"/>
    </w:rPr>
  </w:style>
  <w:style w:type="paragraph" w:customStyle="1" w:styleId="11">
    <w:name w:val="列出段落"/>
    <w:basedOn w:val="1"/>
    <w:qFormat/>
    <w:uiPriority w:val="34"/>
    <w:pPr>
      <w:ind w:firstLine="420" w:firstLineChars="200"/>
    </w:pPr>
  </w:style>
  <w:style w:type="character" w:customStyle="1" w:styleId="12">
    <w:name w:val="页眉 字符"/>
    <w:link w:val="7"/>
    <w:qFormat/>
    <w:uiPriority w:val="0"/>
    <w:rPr>
      <w:kern w:val="2"/>
      <w:sz w:val="18"/>
      <w:szCs w:val="18"/>
    </w:rPr>
  </w:style>
  <w:style w:type="character" w:customStyle="1" w:styleId="13">
    <w:name w:val="页脚 字符"/>
    <w:link w:val="6"/>
    <w:qFormat/>
    <w:uiPriority w:val="0"/>
    <w:rPr>
      <w:kern w:val="2"/>
      <w:sz w:val="18"/>
      <w:szCs w:val="18"/>
    </w:rPr>
  </w:style>
  <w:style w:type="character" w:styleId="14">
    <w:name w:val="Placeholder Text"/>
    <w:basedOn w:val="9"/>
    <w:semiHidden/>
    <w:qFormat/>
    <w:uiPriority w:val="99"/>
    <w:rPr>
      <w:color w:val="666666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JNU</Company>
  <Pages>6</Pages>
  <Words>1278</Words>
  <Characters>1475</Characters>
  <Lines>40</Lines>
  <Paragraphs>52</Paragraphs>
  <TotalTime>482</TotalTime>
  <ScaleCrop>false</ScaleCrop>
  <LinksUpToDate>false</LinksUpToDate>
  <CharactersWithSpaces>1800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2026-03-10T09:40:00Z</dcterms:created>
  <dc:creator>刘欣</dc:creator>
  <cp:lastModifiedBy>梵多涅尔</cp:lastModifiedBy>
  <dcterms:modified xsi:type="dcterms:W3CDTF">2026-06-12T04:46:00Z</dcterms:modified>
  <dc:title>暨南大学本科实验报告专用纸</dc:title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eyJoZGlkIjoiZThjMDJlOTRjYzE4YmNkOWEwNzU5YjkxOTBhNjdmN2MiLCJ1c2VySWQiOiIxMTU5NzAzNDc2In0=</vt:lpwstr>
  </property>
  <property fmtid="{D5CDD505-2E9C-101B-9397-08002B2CF9AE}" pid="3" name="KSOProductBuildVer">
    <vt:lpwstr>2052-12.1.0.26895</vt:lpwstr>
  </property>
  <property fmtid="{D5CDD505-2E9C-101B-9397-08002B2CF9AE}" pid="4" name="ICV">
    <vt:lpwstr>83F5863BA90F4B4EA3EE3F88E00CA31B_12</vt:lpwstr>
  </property>
</Properties>
</file>