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B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36"/>
          <w:szCs w:val="36"/>
          <w:bdr w:val="none" w:color="auto" w:sz="0" w:space="0"/>
          <w:lang w:val="en-US" w:eastAsia="zh-CN" w:bidi="ar"/>
        </w:rPr>
        <w:t>基于卷积神经网络（CNN）的 MNIST 手写数字分</w:t>
      </w:r>
      <w:r>
        <w:rPr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类</w:t>
      </w:r>
    </w:p>
    <w:p w14:paraId="68751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姓名：黄于青     学号：2023100892     实验编号：实验八</w:t>
      </w:r>
    </w:p>
    <w:p w14:paraId="7BC3ACF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  <w:bdr w:val="none" w:color="auto" w:sz="0" w:space="0"/>
        </w:rPr>
      </w:pPr>
      <w:r>
        <w:rPr>
          <w:color w:val="000000"/>
          <w:sz w:val="30"/>
          <w:szCs w:val="30"/>
          <w:bdr w:val="none" w:color="auto" w:sz="0" w:space="0"/>
        </w:rPr>
        <w:t>实验目的</w:t>
      </w:r>
    </w:p>
    <w:p w14:paraId="71E5F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本次实验在 Python 环境下使用 PyTorch 框架完成，具体环境配置如下：</w:t>
      </w:r>
    </w:p>
    <w:p w14:paraId="746023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PyTorch 版本：2.12.0+cu130</w:t>
      </w:r>
    </w:p>
    <w:p w14:paraId="2F696D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运行设备：CPU（GPU 不可用）</w:t>
      </w:r>
    </w:p>
    <w:p w14:paraId="00A185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开发环境：VSCode + WSL:Ubuntu</w:t>
      </w:r>
    </w:p>
    <w:p w14:paraId="143782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2657475" cy="895350"/>
            <wp:effectExtent l="0" t="0" r="9525" b="381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181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掌握卷积神经网络（CNN）的基本结构与工作原理，理解卷积层、池化层、全连接层在图像特征提取中的作用。</w:t>
      </w:r>
    </w:p>
    <w:p w14:paraId="0713A8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熟悉 PyTorch 深度学习框架的完整使用流程，包括数据集加载与预处理、模型搭建、训练循环实现、验证与测试评估。</w:t>
      </w:r>
    </w:p>
    <w:p w14:paraId="32C47F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完成 MNIST 手写数字数据集的 10 分类任务，实现对 0-9 手写数字的自动识别。</w:t>
      </w:r>
    </w:p>
    <w:p w14:paraId="6B79DC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学会通过损失曲线、准确率曲线分析模型训练过程，评估模型泛化能力，并对实验结果进行科学分析与总结。</w:t>
      </w:r>
    </w:p>
    <w:p w14:paraId="6C7EA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二、数据集说明</w:t>
      </w:r>
    </w:p>
    <w:p w14:paraId="78522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210" w:firstLineChars="1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本次实验采用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MNIST手写数字数据集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，是计算机视觉领域经典的基准数据集，用于验证图像分类算法的有效性。</w:t>
      </w:r>
    </w:p>
    <w:p w14:paraId="645D0A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数据构成</w:t>
      </w:r>
    </w:p>
    <w:p w14:paraId="5E6A0B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数据集包含70000张28×28像素的单通道灰度图像，其中训练集60000张、测试集10000张，每张图像对应0-9中的一个数字标签。为直观展示数据分布，选取8张训练集样本如下图所示：</w:t>
      </w:r>
    </w:p>
    <w:p w14:paraId="1091AB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4218305" cy="1687830"/>
            <wp:effectExtent l="0" t="0" r="3175" b="3810"/>
            <wp:docPr id="7" name="图片 7" descr="work8_train_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ork8_train_sampl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47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预处理操作</w:t>
      </w:r>
    </w:p>
    <w:p w14:paraId="436C9F8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转换为张量格式（ToTensor），将像素值从 [0,255] 归一化至 [0,1] 区间；</w:t>
      </w:r>
    </w:p>
    <w:p w14:paraId="771DA05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标准化处理（Normalize），使用均值 0.5、方差 0.5 对数据进行标准化，加速模型收敛；</w:t>
      </w:r>
    </w:p>
    <w:p w14:paraId="10D77BB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数据划分：将原始训练集按 8:2 比例划分为训练集（48000 张）和验证集（12000 张），用于模型训练与过程验证，最终在独立测试集上评估模型性能。</w:t>
      </w:r>
    </w:p>
    <w:p w14:paraId="46FFD7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三、CNN 模型结构</w:t>
      </w:r>
    </w:p>
    <w:p w14:paraId="34FCB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本次实验采用轻量级卷积神经网络，结构如下：</w:t>
      </w:r>
    </w:p>
    <w:p w14:paraId="530BF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1080"/>
        <w:gridCol w:w="5190"/>
      </w:tblGrid>
      <w:tr w14:paraId="31C8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97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层类型</w:t>
            </w:r>
          </w:p>
        </w:tc>
        <w:tc>
          <w:tcPr>
            <w:tcW w:w="0" w:type="auto"/>
            <w:shd w:val="clear"/>
            <w:vAlign w:val="center"/>
          </w:tcPr>
          <w:p w14:paraId="366EF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输出尺寸</w:t>
            </w:r>
          </w:p>
        </w:tc>
        <w:tc>
          <w:tcPr>
            <w:tcW w:w="0" w:type="auto"/>
            <w:shd w:val="clear"/>
            <w:vAlign w:val="center"/>
          </w:tcPr>
          <w:p w14:paraId="58E86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667E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2B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输入层</w:t>
            </w:r>
          </w:p>
        </w:tc>
        <w:tc>
          <w:tcPr>
            <w:tcW w:w="0" w:type="auto"/>
            <w:shd w:val="clear"/>
            <w:vAlign w:val="center"/>
          </w:tcPr>
          <w:p w14:paraId="61B7D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1×28×28</w:t>
            </w:r>
          </w:p>
        </w:tc>
        <w:tc>
          <w:tcPr>
            <w:tcW w:w="0" w:type="auto"/>
            <w:shd w:val="clear"/>
            <w:vAlign w:val="center"/>
          </w:tcPr>
          <w:p w14:paraId="5B9D0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接收单通道 28×28 手写数字图像</w:t>
            </w:r>
          </w:p>
        </w:tc>
      </w:tr>
      <w:tr w14:paraId="6F0F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D0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卷积层 1</w:t>
            </w:r>
          </w:p>
        </w:tc>
        <w:tc>
          <w:tcPr>
            <w:tcW w:w="0" w:type="auto"/>
            <w:shd w:val="clear"/>
            <w:vAlign w:val="center"/>
          </w:tcPr>
          <w:p w14:paraId="490C2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16×26×26</w:t>
            </w:r>
          </w:p>
        </w:tc>
        <w:tc>
          <w:tcPr>
            <w:tcW w:w="0" w:type="auto"/>
            <w:shd w:val="clear"/>
            <w:vAlign w:val="center"/>
          </w:tcPr>
          <w:p w14:paraId="36576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 个 3×3 卷积核，步长 1，提取低级边缘特征</w:t>
            </w:r>
          </w:p>
        </w:tc>
      </w:tr>
      <w:tr w14:paraId="4F8DB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74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池化层 1</w:t>
            </w:r>
          </w:p>
        </w:tc>
        <w:tc>
          <w:tcPr>
            <w:tcW w:w="0" w:type="auto"/>
            <w:shd w:val="clear"/>
            <w:vAlign w:val="center"/>
          </w:tcPr>
          <w:p w14:paraId="5E095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16×13×13</w:t>
            </w:r>
          </w:p>
        </w:tc>
        <w:tc>
          <w:tcPr>
            <w:tcW w:w="0" w:type="auto"/>
            <w:shd w:val="clear"/>
            <w:vAlign w:val="center"/>
          </w:tcPr>
          <w:p w14:paraId="11ADC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2×2 最大池化，步长 2，降低特征图尺寸，减少计算量</w:t>
            </w:r>
          </w:p>
        </w:tc>
      </w:tr>
      <w:tr w14:paraId="7C61C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A2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卷积层 2</w:t>
            </w:r>
          </w:p>
        </w:tc>
        <w:tc>
          <w:tcPr>
            <w:tcW w:w="0" w:type="auto"/>
            <w:shd w:val="clear"/>
            <w:vAlign w:val="center"/>
          </w:tcPr>
          <w:p w14:paraId="040EB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32×11×11</w:t>
            </w:r>
          </w:p>
        </w:tc>
        <w:tc>
          <w:tcPr>
            <w:tcW w:w="0" w:type="auto"/>
            <w:shd w:val="clear"/>
            <w:vAlign w:val="center"/>
          </w:tcPr>
          <w:p w14:paraId="0DAAB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 个 3×3 卷积核，步长 1，提取高级组合特征</w:t>
            </w:r>
          </w:p>
        </w:tc>
      </w:tr>
      <w:tr w14:paraId="6645E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86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池化层 2</w:t>
            </w:r>
          </w:p>
        </w:tc>
        <w:tc>
          <w:tcPr>
            <w:tcW w:w="0" w:type="auto"/>
            <w:shd w:val="clear"/>
            <w:vAlign w:val="center"/>
          </w:tcPr>
          <w:p w14:paraId="3EDC4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32×5×5</w:t>
            </w:r>
          </w:p>
        </w:tc>
        <w:tc>
          <w:tcPr>
            <w:tcW w:w="0" w:type="auto"/>
            <w:shd w:val="clear"/>
            <w:vAlign w:val="center"/>
          </w:tcPr>
          <w:p w14:paraId="2662A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2×2 最大池化，步长 2，进一步压缩特征维度</w:t>
            </w:r>
          </w:p>
        </w:tc>
      </w:tr>
      <w:tr w14:paraId="3832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0B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全连接层 1</w:t>
            </w:r>
          </w:p>
        </w:tc>
        <w:tc>
          <w:tcPr>
            <w:tcW w:w="0" w:type="auto"/>
            <w:shd w:val="clear"/>
            <w:vAlign w:val="center"/>
          </w:tcPr>
          <w:p w14:paraId="7D5FD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/>
            <w:vAlign w:val="center"/>
          </w:tcPr>
          <w:p w14:paraId="244E9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将特征图展平后映射为 128 维特征向量</w:t>
            </w:r>
          </w:p>
        </w:tc>
      </w:tr>
      <w:tr w14:paraId="0482E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DB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全连接层 2</w:t>
            </w:r>
          </w:p>
        </w:tc>
        <w:tc>
          <w:tcPr>
            <w:tcW w:w="0" w:type="auto"/>
            <w:shd w:val="clear"/>
            <w:vAlign w:val="center"/>
          </w:tcPr>
          <w:p w14:paraId="1903A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18F6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输出 10 维向量，对应 0-9 共 10 个数字类别</w:t>
            </w:r>
          </w:p>
        </w:tc>
      </w:tr>
    </w:tbl>
    <w:p w14:paraId="0245F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模型结构代码：</w:t>
      </w:r>
    </w:p>
    <w:p w14:paraId="42C13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python</w:t>
      </w:r>
    </w:p>
    <w:p w14:paraId="24FD3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>class Net(nn.Module):</w:t>
      </w:r>
    </w:p>
    <w:p w14:paraId="4BA8A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def __init__(self):</w:t>
      </w:r>
    </w:p>
    <w:p w14:paraId="2C3F9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super().__init__()</w:t>
      </w:r>
    </w:p>
    <w:p w14:paraId="7221E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self.conv1 = nn.Conv2d(1, 16, 3)</w:t>
      </w:r>
    </w:p>
    <w:p w14:paraId="6E40F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self.pool = nn.MaxPool2d(2, 2)</w:t>
      </w:r>
    </w:p>
    <w:p w14:paraId="28C70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self.conv2 = nn.Conv2d(16, 32, 3)</w:t>
      </w:r>
    </w:p>
    <w:p w14:paraId="0AC8A7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self.fc1 = nn.Linear(32 * 5 * 5, 128)</w:t>
      </w:r>
    </w:p>
    <w:p w14:paraId="4FB66A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self.fc2 = nn.Linear(128, 10)</w:t>
      </w:r>
    </w:p>
    <w:p w14:paraId="1CABC1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</w:p>
    <w:p w14:paraId="28E7D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def forward(self, x):</w:t>
      </w:r>
    </w:p>
    <w:p w14:paraId="411D61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x = self.pool(F.relu(self.conv1(x)))</w:t>
      </w:r>
    </w:p>
    <w:p w14:paraId="114C1D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x = self.pool(F.relu(self.conv2(x)))</w:t>
      </w:r>
    </w:p>
    <w:p w14:paraId="1D6C3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x = torch.flatten(x, 1)</w:t>
      </w:r>
    </w:p>
    <w:p w14:paraId="1A02C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x = F.relu(self.fc1(x))</w:t>
      </w:r>
    </w:p>
    <w:p w14:paraId="6387A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x = self.fc2(x)</w:t>
      </w:r>
    </w:p>
    <w:p w14:paraId="7F5AF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18"/>
          <w:szCs w:val="18"/>
          <w:bdr w:val="none" w:color="auto" w:sz="0" w:space="0"/>
        </w:rPr>
        <w:t xml:space="preserve">        return x</w:t>
      </w:r>
    </w:p>
    <w:p w14:paraId="24D73E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四、训练参数设置</w:t>
      </w:r>
    </w:p>
    <w:p w14:paraId="30DB4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5"/>
        <w:gridCol w:w="3195"/>
      </w:tblGrid>
      <w:tr w14:paraId="42AEA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CEA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/>
            <w:vAlign w:val="center"/>
          </w:tcPr>
          <w:p w14:paraId="04DF9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设置值</w:t>
            </w:r>
          </w:p>
        </w:tc>
      </w:tr>
      <w:tr w14:paraId="50FEE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FB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训练轮数（epochs）</w:t>
            </w:r>
          </w:p>
        </w:tc>
        <w:tc>
          <w:tcPr>
            <w:tcW w:w="0" w:type="auto"/>
            <w:shd w:val="clear"/>
            <w:vAlign w:val="center"/>
          </w:tcPr>
          <w:p w14:paraId="473B2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65E1F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7C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批量大小（batch size）</w:t>
            </w:r>
          </w:p>
        </w:tc>
        <w:tc>
          <w:tcPr>
            <w:tcW w:w="0" w:type="auto"/>
            <w:shd w:val="clear"/>
            <w:vAlign w:val="center"/>
          </w:tcPr>
          <w:p w14:paraId="72DFB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684F4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9D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优化器</w:t>
            </w:r>
          </w:p>
        </w:tc>
        <w:tc>
          <w:tcPr>
            <w:tcW w:w="0" w:type="auto"/>
            <w:shd w:val="clear"/>
            <w:vAlign w:val="center"/>
          </w:tcPr>
          <w:p w14:paraId="43BAF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SGD（随机梯度下降）</w:t>
            </w:r>
          </w:p>
        </w:tc>
      </w:tr>
      <w:tr w14:paraId="02406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E8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学习率（lr）</w:t>
            </w:r>
          </w:p>
        </w:tc>
        <w:tc>
          <w:tcPr>
            <w:tcW w:w="0" w:type="auto"/>
            <w:shd w:val="clear"/>
            <w:vAlign w:val="center"/>
          </w:tcPr>
          <w:p w14:paraId="69869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0.001</w:t>
            </w:r>
          </w:p>
        </w:tc>
      </w:tr>
      <w:tr w14:paraId="04109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A6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动量（momentum）</w:t>
            </w:r>
          </w:p>
        </w:tc>
        <w:tc>
          <w:tcPr>
            <w:tcW w:w="0" w:type="auto"/>
            <w:shd w:val="clear"/>
            <w:vAlign w:val="center"/>
          </w:tcPr>
          <w:p w14:paraId="23C44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0.9</w:t>
            </w:r>
          </w:p>
        </w:tc>
      </w:tr>
      <w:tr w14:paraId="4A758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2F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损失函数</w:t>
            </w:r>
          </w:p>
        </w:tc>
        <w:tc>
          <w:tcPr>
            <w:tcW w:w="0" w:type="auto"/>
            <w:shd w:val="clear"/>
            <w:vAlign w:val="center"/>
          </w:tcPr>
          <w:p w14:paraId="483C9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CrossEntropyLoss（交叉熵损失）</w:t>
            </w:r>
          </w:p>
        </w:tc>
      </w:tr>
      <w:tr w14:paraId="721B6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07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运行设备</w:t>
            </w:r>
          </w:p>
        </w:tc>
        <w:tc>
          <w:tcPr>
            <w:tcW w:w="0" w:type="auto"/>
            <w:shd w:val="clear"/>
            <w:vAlign w:val="center"/>
          </w:tcPr>
          <w:p w14:paraId="59931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CPU</w:t>
            </w:r>
          </w:p>
        </w:tc>
      </w:tr>
    </w:tbl>
    <w:p w14:paraId="0587AE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五、训练 Loss 和 Accuracy 结果</w:t>
      </w:r>
    </w:p>
    <w:p w14:paraId="6BBAD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模型训练 5 轮，每轮训练集的损失与准确率如下：</w:t>
      </w:r>
    </w:p>
    <w:p w14:paraId="3473A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2010"/>
        <w:gridCol w:w="2037"/>
      </w:tblGrid>
      <w:tr w14:paraId="1C1B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  <w:tblHeader/>
          <w:tblCellSpacing w:w="15" w:type="dxa"/>
        </w:trPr>
        <w:tc>
          <w:tcPr>
            <w:tcW w:w="1986" w:type="dxa"/>
            <w:shd w:val="clear"/>
            <w:vAlign w:val="center"/>
          </w:tcPr>
          <w:p w14:paraId="705BE9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Epoch</w:t>
            </w:r>
          </w:p>
        </w:tc>
        <w:tc>
          <w:tcPr>
            <w:tcW w:w="1980" w:type="dxa"/>
            <w:shd w:val="clear"/>
            <w:vAlign w:val="center"/>
          </w:tcPr>
          <w:p w14:paraId="6C8A45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训练集 Loss</w:t>
            </w:r>
          </w:p>
        </w:tc>
        <w:tc>
          <w:tcPr>
            <w:tcW w:w="1992" w:type="dxa"/>
            <w:shd w:val="clear"/>
            <w:vAlign w:val="center"/>
          </w:tcPr>
          <w:p w14:paraId="24D658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训练集准确率</w:t>
            </w:r>
          </w:p>
        </w:tc>
      </w:tr>
      <w:tr w14:paraId="007B7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tblCellSpacing w:w="15" w:type="dxa"/>
        </w:trPr>
        <w:tc>
          <w:tcPr>
            <w:tcW w:w="1986" w:type="dxa"/>
            <w:shd w:val="clear"/>
            <w:vAlign w:val="center"/>
          </w:tcPr>
          <w:p w14:paraId="625165C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980" w:type="dxa"/>
            <w:shd w:val="clear"/>
            <w:vAlign w:val="center"/>
          </w:tcPr>
          <w:p w14:paraId="652DBAF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0.749</w:t>
            </w:r>
          </w:p>
        </w:tc>
        <w:tc>
          <w:tcPr>
            <w:tcW w:w="1992" w:type="dxa"/>
            <w:shd w:val="clear"/>
            <w:vAlign w:val="center"/>
          </w:tcPr>
          <w:p w14:paraId="6BC66C5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79.32%</w:t>
            </w:r>
          </w:p>
        </w:tc>
      </w:tr>
      <w:tr w14:paraId="05394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tblCellSpacing w:w="15" w:type="dxa"/>
        </w:trPr>
        <w:tc>
          <w:tcPr>
            <w:tcW w:w="1986" w:type="dxa"/>
            <w:shd w:val="clear"/>
            <w:vAlign w:val="center"/>
          </w:tcPr>
          <w:p w14:paraId="2E10291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980" w:type="dxa"/>
            <w:shd w:val="clear"/>
            <w:vAlign w:val="center"/>
          </w:tcPr>
          <w:p w14:paraId="16F6AEB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0.170</w:t>
            </w:r>
          </w:p>
        </w:tc>
        <w:tc>
          <w:tcPr>
            <w:tcW w:w="1992" w:type="dxa"/>
            <w:shd w:val="clear"/>
            <w:vAlign w:val="center"/>
          </w:tcPr>
          <w:p w14:paraId="50A11E0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94.96%</w:t>
            </w:r>
          </w:p>
        </w:tc>
      </w:tr>
      <w:tr w14:paraId="2B9B8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tblCellSpacing w:w="15" w:type="dxa"/>
        </w:trPr>
        <w:tc>
          <w:tcPr>
            <w:tcW w:w="1986" w:type="dxa"/>
            <w:shd w:val="clear"/>
            <w:vAlign w:val="center"/>
          </w:tcPr>
          <w:p w14:paraId="7202890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980" w:type="dxa"/>
            <w:shd w:val="clear"/>
            <w:vAlign w:val="center"/>
          </w:tcPr>
          <w:p w14:paraId="551913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0.108</w:t>
            </w:r>
          </w:p>
        </w:tc>
        <w:tc>
          <w:tcPr>
            <w:tcW w:w="1992" w:type="dxa"/>
            <w:shd w:val="clear"/>
            <w:vAlign w:val="center"/>
          </w:tcPr>
          <w:p w14:paraId="4D64709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96.80%</w:t>
            </w:r>
          </w:p>
        </w:tc>
      </w:tr>
      <w:tr w14:paraId="4E81B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tblCellSpacing w:w="15" w:type="dxa"/>
        </w:trPr>
        <w:tc>
          <w:tcPr>
            <w:tcW w:w="1986" w:type="dxa"/>
            <w:shd w:val="clear"/>
            <w:vAlign w:val="center"/>
          </w:tcPr>
          <w:p w14:paraId="322BD73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980" w:type="dxa"/>
            <w:shd w:val="clear"/>
            <w:vAlign w:val="center"/>
          </w:tcPr>
          <w:p w14:paraId="072EC78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0.082</w:t>
            </w:r>
          </w:p>
        </w:tc>
        <w:tc>
          <w:tcPr>
            <w:tcW w:w="1992" w:type="dxa"/>
            <w:shd w:val="clear"/>
            <w:vAlign w:val="center"/>
          </w:tcPr>
          <w:p w14:paraId="4CA7A3D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97.51%</w:t>
            </w:r>
          </w:p>
        </w:tc>
      </w:tr>
      <w:tr w14:paraId="47631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  <w:tblCellSpacing w:w="15" w:type="dxa"/>
        </w:trPr>
        <w:tc>
          <w:tcPr>
            <w:tcW w:w="1986" w:type="dxa"/>
            <w:shd w:val="clear"/>
            <w:vAlign w:val="center"/>
          </w:tcPr>
          <w:p w14:paraId="1A330FB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980" w:type="dxa"/>
            <w:shd w:val="clear"/>
            <w:vAlign w:val="center"/>
          </w:tcPr>
          <w:p w14:paraId="2C20A2D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0.069</w:t>
            </w:r>
          </w:p>
        </w:tc>
        <w:tc>
          <w:tcPr>
            <w:tcW w:w="1992" w:type="dxa"/>
            <w:shd w:val="clear"/>
            <w:vAlign w:val="center"/>
          </w:tcPr>
          <w:p w14:paraId="360115D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97.88%</w:t>
            </w:r>
          </w:p>
        </w:tc>
      </w:tr>
    </w:tbl>
    <w:p w14:paraId="420794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六、验证 Loss 和 Accuracy 结果</w:t>
      </w:r>
    </w:p>
    <w:p w14:paraId="4D23F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每轮训练后在验证集上评估模型性能，结果如下：</w:t>
      </w:r>
    </w:p>
    <w:p w14:paraId="1F002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1222"/>
        <w:gridCol w:w="1310"/>
      </w:tblGrid>
      <w:tr w14:paraId="49304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575" w:type="dxa"/>
            <w:shd w:val="clear"/>
            <w:vAlign w:val="center"/>
          </w:tcPr>
          <w:p w14:paraId="050B33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Epoch</w:t>
            </w:r>
          </w:p>
        </w:tc>
        <w:tc>
          <w:tcPr>
            <w:tcW w:w="1192" w:type="dxa"/>
            <w:shd w:val="clear"/>
            <w:vAlign w:val="center"/>
          </w:tcPr>
          <w:p w14:paraId="1BC6D9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验证集 Loss</w:t>
            </w:r>
          </w:p>
        </w:tc>
        <w:tc>
          <w:tcPr>
            <w:tcW w:w="1265" w:type="dxa"/>
            <w:shd w:val="clear"/>
            <w:vAlign w:val="center"/>
          </w:tcPr>
          <w:p w14:paraId="0AE70F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验证集准确率</w:t>
            </w:r>
          </w:p>
        </w:tc>
      </w:tr>
      <w:tr w14:paraId="440DA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75" w:type="dxa"/>
            <w:shd w:val="clear"/>
            <w:vAlign w:val="center"/>
          </w:tcPr>
          <w:p w14:paraId="26A8512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92" w:type="dxa"/>
            <w:shd w:val="clear"/>
            <w:vAlign w:val="center"/>
          </w:tcPr>
          <w:p w14:paraId="784F1EE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0.229</w:t>
            </w:r>
          </w:p>
        </w:tc>
        <w:tc>
          <w:tcPr>
            <w:tcW w:w="1265" w:type="dxa"/>
            <w:shd w:val="clear"/>
            <w:vAlign w:val="center"/>
          </w:tcPr>
          <w:p w14:paraId="41D6397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93.31%</w:t>
            </w:r>
          </w:p>
        </w:tc>
      </w:tr>
      <w:tr w14:paraId="3A55E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75" w:type="dxa"/>
            <w:shd w:val="clear"/>
            <w:vAlign w:val="center"/>
          </w:tcPr>
          <w:p w14:paraId="5CB62A7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92" w:type="dxa"/>
            <w:shd w:val="clear"/>
            <w:vAlign w:val="center"/>
          </w:tcPr>
          <w:p w14:paraId="36C6EB1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0.128</w:t>
            </w:r>
          </w:p>
        </w:tc>
        <w:tc>
          <w:tcPr>
            <w:tcW w:w="1265" w:type="dxa"/>
            <w:shd w:val="clear"/>
            <w:vAlign w:val="center"/>
          </w:tcPr>
          <w:p w14:paraId="6928B33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96.15%</w:t>
            </w:r>
          </w:p>
        </w:tc>
      </w:tr>
      <w:tr w14:paraId="23DC6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75" w:type="dxa"/>
            <w:shd w:val="clear"/>
            <w:vAlign w:val="center"/>
          </w:tcPr>
          <w:p w14:paraId="4B63C4B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92" w:type="dxa"/>
            <w:shd w:val="clear"/>
            <w:vAlign w:val="center"/>
          </w:tcPr>
          <w:p w14:paraId="2FEB79F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0.096</w:t>
            </w:r>
          </w:p>
        </w:tc>
        <w:tc>
          <w:tcPr>
            <w:tcW w:w="1265" w:type="dxa"/>
            <w:shd w:val="clear"/>
            <w:vAlign w:val="center"/>
          </w:tcPr>
          <w:p w14:paraId="1723B49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96.97%</w:t>
            </w:r>
          </w:p>
        </w:tc>
      </w:tr>
      <w:tr w14:paraId="46A7D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75" w:type="dxa"/>
            <w:shd w:val="clear"/>
            <w:vAlign w:val="center"/>
          </w:tcPr>
          <w:p w14:paraId="6CF20C8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92" w:type="dxa"/>
            <w:shd w:val="clear"/>
            <w:vAlign w:val="center"/>
          </w:tcPr>
          <w:p w14:paraId="2A14E5B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0.076</w:t>
            </w:r>
          </w:p>
        </w:tc>
        <w:tc>
          <w:tcPr>
            <w:tcW w:w="1265" w:type="dxa"/>
            <w:shd w:val="clear"/>
            <w:vAlign w:val="center"/>
          </w:tcPr>
          <w:p w14:paraId="71F0CB4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97.71%</w:t>
            </w:r>
          </w:p>
        </w:tc>
      </w:tr>
      <w:tr w14:paraId="2F4BF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75" w:type="dxa"/>
            <w:shd w:val="clear"/>
            <w:vAlign w:val="center"/>
          </w:tcPr>
          <w:p w14:paraId="28D4DA5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92" w:type="dxa"/>
            <w:shd w:val="clear"/>
            <w:vAlign w:val="center"/>
          </w:tcPr>
          <w:p w14:paraId="61013B8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0.066</w:t>
            </w:r>
          </w:p>
        </w:tc>
        <w:tc>
          <w:tcPr>
            <w:tcW w:w="1265" w:type="dxa"/>
            <w:shd w:val="clear"/>
            <w:vAlign w:val="center"/>
          </w:tcPr>
          <w:p w14:paraId="219EF58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98.03%</w:t>
            </w:r>
          </w:p>
        </w:tc>
      </w:tr>
    </w:tbl>
    <w:p w14:paraId="02CF3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七、测试集 Accuracy</w:t>
      </w:r>
    </w:p>
    <w:p w14:paraId="2B172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训练过程：</w:t>
      </w:r>
    </w:p>
    <w:p w14:paraId="6BF9A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default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2886075" cy="4940935"/>
            <wp:effectExtent l="0" t="0" r="9525" b="12065"/>
            <wp:docPr id="3" name="图片 3" descr="训练过程与输出结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训练过程与输出结果截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C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训练完成后，在独立测试集上评估模型最终性能：</w:t>
      </w:r>
    </w:p>
    <w:p w14:paraId="56A44F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default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测试集 Loss：0.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058</w:t>
      </w:r>
    </w:p>
    <w:p w14:paraId="3534C0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测试集准确率：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bdr w:val="none" w:color="auto" w:sz="0" w:space="0"/>
        </w:rPr>
        <w:t>9</w:t>
      </w:r>
      <w:r>
        <w:rPr>
          <w:rStyle w:val="7"/>
          <w:rFonts w:hint="eastAsia" w:asciiTheme="minorEastAsia" w:hAnsiTheme="minorEastAsia" w:cstheme="minorEastAsia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  <w:t>8.11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bdr w:val="none" w:color="auto" w:sz="0" w:space="0"/>
        </w:rPr>
        <w:t>%</w:t>
      </w:r>
    </w:p>
    <w:p w14:paraId="014FF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模型在测试集上达到 95% 以上的准确率，说明模型对未见过的手写数字具有良好的识别能力，泛化效果较好。</w:t>
      </w:r>
    </w:p>
    <w:p w14:paraId="141C5F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八、Loss 曲线和 Accuracy 曲线</w:t>
      </w:r>
    </w:p>
    <w:p w14:paraId="72518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1.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损失曲线</w:t>
      </w:r>
    </w:p>
    <w:p w14:paraId="20FBC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4246880" cy="1699260"/>
            <wp:effectExtent l="0" t="0" r="5080" b="7620"/>
            <wp:docPr id="1" name="图片 1" descr="loss 曲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ss 曲线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3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训练集与验证集损失均随训练轮数增加持续下降，后期趋于平稳，且两条曲线差距较小，未出现明显过拟合现象，模型训练过程稳定。</w:t>
      </w:r>
    </w:p>
    <w:p w14:paraId="61F789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准确率曲线</w:t>
      </w:r>
    </w:p>
    <w:p w14:paraId="2AC374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4358640" cy="1743710"/>
            <wp:effectExtent l="0" t="0" r="0" b="8890"/>
            <wp:docPr id="2" name="图片 2" descr="accuracy 曲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ccuracy 曲线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0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训练集与验证集准确率均随训练轮数增加持续上升，后期趋于稳定，两条曲线走势基本一致，验证了模型在训练过程中稳定学习，未出现欠拟合或过拟合问题。</w:t>
      </w:r>
    </w:p>
    <w:p w14:paraId="6234C8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30"/>
          <w:szCs w:val="30"/>
          <w:bdr w:val="none" w:color="auto" w:sz="0" w:space="0"/>
        </w:rPr>
        <w:t>九、测试图像预测结果示例</w:t>
      </w:r>
    </w:p>
    <w:p w14:paraId="2582D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bdr w:val="none" w:color="auto" w:sz="0" w:space="0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选取 8 张测试集图像进行预测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</w:t>
      </w:r>
      <w:r>
        <w:rPr>
          <w:color w:val="000000"/>
          <w:sz w:val="19"/>
          <w:szCs w:val="19"/>
          <w:bdr w:val="none" w:color="auto" w:sz="0" w:space="0"/>
        </w:rPr>
        <w:t>每张图像上方标注真实标签（True），下方标注模型预测结果（Pred）；</w:t>
      </w:r>
    </w:p>
    <w:p w14:paraId="1084C0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4" w:firstLineChars="200"/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预测结果图：</w:t>
      </w:r>
    </w:p>
    <w:p w14:paraId="49963B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4" w:firstLineChars="200"/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drawing>
          <wp:inline distT="0" distB="0" distL="114300" distR="114300">
            <wp:extent cx="4164330" cy="1735455"/>
            <wp:effectExtent l="0" t="0" r="11430" b="1905"/>
            <wp:docPr id="5" name="图片 5" descr="测试图像预测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测试图像预测结果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1FA6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4" w:firstLineChars="20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大部分预测结果与真实标签一致，仅个别笔画模糊、角度倾斜的数字出现预测错误，整体识别效果良好。</w:t>
      </w:r>
    </w:p>
    <w:p w14:paraId="5CC97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十、结果分析与总结</w:t>
      </w:r>
    </w:p>
    <w:p w14:paraId="70F9F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1. 结果分析</w:t>
      </w:r>
    </w:p>
    <w:p w14:paraId="2AA07C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模型在 5 轮训练后，测试集准确率达到 95% 以上，说明该轻量级 CNN 结构对 MNIST 手写数字分类任务具有良好的适配性，能够有效提取手写数字的关键特征。</w:t>
      </w:r>
    </w:p>
    <w:p w14:paraId="18A9BF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(2)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损失曲线与准确率曲线均表现出稳定的收敛趋势，训练集与验证集性能差距较小，模型未出现过拟合或欠拟合问题，泛化能力较强。</w:t>
      </w:r>
    </w:p>
    <w:p w14:paraId="3B1990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(3)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个别预测错误的样本多为笔画模糊、变形严重或角度倾斜的手写数字，说明模型对极端样本的鲁棒性仍有提升空间。</w:t>
      </w:r>
    </w:p>
    <w:p w14:paraId="77998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2. 实验总结与改进方向</w:t>
      </w:r>
    </w:p>
    <w:p w14:paraId="0A746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本次实验成功实现了基于 CNN 的手写数字分类任务，掌握了 PyTorch 模型训练的完整流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程，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理解了 CNN 各层的作用与模型优化的基本思路。后续可通过以下方式进一步提升模型性能：</w:t>
      </w:r>
    </w:p>
    <w:p w14:paraId="64180F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增加训练轮数或调整学习率，优化模型收敛效果；</w:t>
      </w:r>
    </w:p>
    <w:p w14:paraId="3B58A4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对数据集进行数据增强（如随机旋转、平移、缩放），提升模型对变形样本的鲁棒性；</w:t>
      </w:r>
    </w:p>
    <w:p w14:paraId="760614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20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调整模型结构，增加卷积层数量或全连接层维度，进一步提升模型的特征提取能力。</w:t>
      </w:r>
    </w:p>
    <w:p w14:paraId="700A2AB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557CD"/>
    <w:multiLevelType w:val="multilevel"/>
    <w:tmpl w:val="92C557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0624B9"/>
    <w:multiLevelType w:val="singleLevel"/>
    <w:tmpl w:val="BA0624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7BE669B"/>
    <w:multiLevelType w:val="singleLevel"/>
    <w:tmpl w:val="D7BE669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385DEE"/>
    <w:multiLevelType w:val="singleLevel"/>
    <w:tmpl w:val="FF385DE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E50E7"/>
    <w:rsid w:val="031E50E7"/>
    <w:rsid w:val="1286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2026-05-15T05:54:00Z</dcterms:created>
  <dc:creator>WPS_1672728604</dc:creator>
  <cp:lastModifiedBy>WPS_1672728604</cp:lastModifiedBy>
  <dcterms:modified xsi:type="dcterms:W3CDTF">2026-05-15T06:41:14Z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B656AE110A964C828F1639DFF5ECBCB5_11</vt:lpwstr>
  </property>
  <property fmtid="{D5CDD505-2E9C-101B-9397-08002B2CF9AE}" pid="4" name="KSOTemplateDocerSaveRecord">
    <vt:lpwstr>eyJoZGlkIjoiZTc5NzNhOTZlMWRjYzZmNjYyZTVhZjZiZmQ1NGRkOWQiLCJ1c2VySWQiOiIxNDY1NTA5NDkwIn0=</vt:lpwstr>
  </property>
</Properties>
</file>