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5709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sz w:val="24"/>
          <w:szCs w:val="24"/>
          <w:bdr w:val="none" w:color="1F1F1F" w:sz="0" w:space="0"/>
        </w:rPr>
      </w:pPr>
      <w:r>
        <w:rPr>
          <w:rFonts w:hint="eastAsia" w:ascii="宋体" w:hAnsi="宋体" w:eastAsia="宋体" w:cs="宋体"/>
          <w:color w:val="1F1F1F"/>
          <w:sz w:val="24"/>
          <w:szCs w:val="24"/>
          <w:bdr w:val="none" w:color="1F1F1F" w:sz="0" w:space="0"/>
        </w:rPr>
        <w:t>实验报告：卷积神经网络（CNN）手写数字识别与内部机制剖析</w:t>
      </w:r>
    </w:p>
    <w:p w14:paraId="09FD0D83">
      <w:pPr>
        <w:jc w:val="left"/>
        <w:rPr>
          <w:rFonts w:hint="eastAsia" w:ascii="宋体" w:hAnsi="宋体" w:eastAsia="宋体" w:cs="宋体"/>
          <w:lang w:val="en-US" w:eastAsia="zh-CN"/>
        </w:rPr>
      </w:pPr>
      <w:r>
        <w:rPr>
          <w:rFonts w:hint="eastAsia" w:ascii="宋体" w:hAnsi="宋体" w:eastAsia="宋体" w:cs="宋体"/>
          <w:lang w:val="en-US" w:eastAsia="zh-CN"/>
        </w:rPr>
        <w:t>23自动化彭天资2023101137</w:t>
      </w:r>
    </w:p>
    <w:p w14:paraId="6FD57AE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b/>
          <w:bCs/>
          <w:color w:val="1F1F1F"/>
          <w:bdr w:val="none" w:color="1F1F1F" w:sz="0" w:space="0"/>
        </w:rPr>
      </w:pPr>
    </w:p>
    <w:p w14:paraId="440CE6D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一、 实验目的与数据模型</w:t>
      </w:r>
    </w:p>
    <w:p w14:paraId="46681AD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color w:val="1F1F1F"/>
          <w:bdr w:val="none" w:color="auto" w:sz="0" w:space="0"/>
        </w:rPr>
        <w:t>本次实验基于 MNIST 手写数字数据集（28×28 像素灰度图像，共 10 类）。网络模型采用轻量级卷积神经网络（CNN），包含两组“卷积层（3×3）+ ReLU 激活 + 最大池化层（2×2）”用于提取图像局部空间特征，随后通过两层全连接层输出类别预测概率。实验旨在探究不同优化策略对网络收敛的影响，并通过可视化手段分析卷积层提取图像特征的作用机制。</w:t>
      </w:r>
    </w:p>
    <w:p w14:paraId="68D6D1B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029524E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二、 任务 2：优化器性能对比实验</w:t>
      </w:r>
    </w:p>
    <w:p w14:paraId="155070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color w:val="1F1F1F"/>
          <w:bdr w:val="none" w:color="auto" w:sz="0" w:space="0"/>
        </w:rPr>
        <w:t>固定学习率（lr=0.01）和训练周期（Epoch=3），分别采用 SGD、SGD+Momentum（动量参数为0.9）以及 Adam 优化器进行训练。</w:t>
      </w:r>
    </w:p>
    <w:p w14:paraId="7C8565DA">
      <w:pPr>
        <w:pStyle w:val="4"/>
        <w:jc w:val="center"/>
        <w:rPr>
          <w:rFonts w:hint="eastAsia" w:ascii="宋体" w:hAnsi="宋体" w:eastAsia="宋体" w:cs="宋体"/>
          <w:lang w:val="en-US"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t>优化器性能对比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AE6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24A457AA">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p>
        </w:tc>
        <w:tc>
          <w:tcPr>
            <w:tcW w:w="2130" w:type="dxa"/>
            <w:tcBorders>
              <w:top w:val="single" w:color="000000" w:sz="12" w:space="0"/>
              <w:left w:val="nil"/>
              <w:bottom w:val="single" w:color="000000" w:sz="4" w:space="0"/>
              <w:right w:val="nil"/>
            </w:tcBorders>
            <w:shd w:val="clear" w:color="auto" w:fill="FFFFFF"/>
            <w:vAlign w:val="center"/>
          </w:tcPr>
          <w:p w14:paraId="1760BFFD">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SGD</w:t>
            </w:r>
          </w:p>
        </w:tc>
        <w:tc>
          <w:tcPr>
            <w:tcW w:w="2131" w:type="dxa"/>
            <w:tcBorders>
              <w:top w:val="single" w:color="000000" w:sz="12" w:space="0"/>
              <w:left w:val="nil"/>
              <w:bottom w:val="single" w:color="000000" w:sz="4" w:space="0"/>
              <w:right w:val="nil"/>
            </w:tcBorders>
            <w:shd w:val="clear" w:color="auto" w:fill="FFFFFF"/>
            <w:vAlign w:val="center"/>
          </w:tcPr>
          <w:p w14:paraId="1E923B87">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SGD+Momentum</w:t>
            </w:r>
          </w:p>
        </w:tc>
        <w:tc>
          <w:tcPr>
            <w:tcW w:w="2131" w:type="dxa"/>
            <w:tcBorders>
              <w:top w:val="single" w:color="000000" w:sz="12" w:space="0"/>
              <w:left w:val="nil"/>
              <w:bottom w:val="single" w:color="000000" w:sz="4" w:space="0"/>
              <w:right w:val="nil"/>
            </w:tcBorders>
            <w:shd w:val="clear" w:color="auto" w:fill="FFFFFF"/>
            <w:vAlign w:val="center"/>
          </w:tcPr>
          <w:p w14:paraId="5D1C78DC">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Adam</w:t>
            </w:r>
          </w:p>
        </w:tc>
      </w:tr>
      <w:tr w14:paraId="4992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4" w:space="0"/>
              <w:left w:val="nil"/>
              <w:bottom w:val="nil"/>
              <w:right w:val="nil"/>
            </w:tcBorders>
            <w:shd w:val="clear" w:color="auto" w:fill="FFFFFF"/>
            <w:vAlign w:val="center"/>
          </w:tcPr>
          <w:p w14:paraId="0C855358">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Train Loss</w:t>
            </w:r>
          </w:p>
        </w:tc>
        <w:tc>
          <w:tcPr>
            <w:tcW w:w="2130" w:type="dxa"/>
            <w:tcBorders>
              <w:top w:val="single" w:color="000000" w:sz="4" w:space="0"/>
              <w:left w:val="nil"/>
              <w:bottom w:val="nil"/>
              <w:right w:val="nil"/>
            </w:tcBorders>
            <w:shd w:val="clear" w:color="auto" w:fill="FFFFFF"/>
            <w:vAlign w:val="center"/>
          </w:tcPr>
          <w:p w14:paraId="43FAE4A7">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0.0925</w:t>
            </w:r>
          </w:p>
        </w:tc>
        <w:tc>
          <w:tcPr>
            <w:tcW w:w="2131" w:type="dxa"/>
            <w:tcBorders>
              <w:top w:val="single" w:color="000000" w:sz="4" w:space="0"/>
              <w:left w:val="nil"/>
              <w:bottom w:val="nil"/>
              <w:right w:val="nil"/>
            </w:tcBorders>
            <w:shd w:val="clear" w:color="auto" w:fill="FFFFFF"/>
            <w:vAlign w:val="center"/>
          </w:tcPr>
          <w:p w14:paraId="6C79AEBE">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0.0233</w:t>
            </w:r>
          </w:p>
        </w:tc>
        <w:tc>
          <w:tcPr>
            <w:tcW w:w="2131" w:type="dxa"/>
            <w:tcBorders>
              <w:top w:val="single" w:color="000000" w:sz="4" w:space="0"/>
              <w:left w:val="nil"/>
              <w:bottom w:val="nil"/>
              <w:right w:val="nil"/>
            </w:tcBorders>
            <w:shd w:val="clear" w:color="auto" w:fill="FFFFFF"/>
            <w:vAlign w:val="center"/>
          </w:tcPr>
          <w:p w14:paraId="083A2035">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0.0655</w:t>
            </w:r>
          </w:p>
        </w:tc>
      </w:tr>
      <w:tr w14:paraId="20A0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08DB079F">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Val Loss</w:t>
            </w:r>
          </w:p>
        </w:tc>
        <w:tc>
          <w:tcPr>
            <w:tcW w:w="2130" w:type="dxa"/>
            <w:tcBorders>
              <w:top w:val="nil"/>
              <w:left w:val="nil"/>
              <w:bottom w:val="nil"/>
              <w:right w:val="nil"/>
            </w:tcBorders>
            <w:shd w:val="clear" w:color="auto" w:fill="FFFFFF"/>
            <w:vAlign w:val="center"/>
          </w:tcPr>
          <w:p w14:paraId="05EFC3FC">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0.0778</w:t>
            </w:r>
          </w:p>
        </w:tc>
        <w:tc>
          <w:tcPr>
            <w:tcW w:w="2131" w:type="dxa"/>
            <w:tcBorders>
              <w:top w:val="nil"/>
              <w:left w:val="nil"/>
              <w:bottom w:val="nil"/>
              <w:right w:val="nil"/>
            </w:tcBorders>
            <w:shd w:val="clear" w:color="auto" w:fill="FFFFFF"/>
            <w:vAlign w:val="center"/>
          </w:tcPr>
          <w:p w14:paraId="38A8BF39">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0.0258</w:t>
            </w:r>
          </w:p>
        </w:tc>
        <w:tc>
          <w:tcPr>
            <w:tcW w:w="2131" w:type="dxa"/>
            <w:tcBorders>
              <w:top w:val="nil"/>
              <w:left w:val="nil"/>
              <w:bottom w:val="nil"/>
              <w:right w:val="nil"/>
            </w:tcBorders>
            <w:shd w:val="clear" w:color="auto" w:fill="FFFFFF"/>
            <w:vAlign w:val="center"/>
          </w:tcPr>
          <w:p w14:paraId="66B0C8CA">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0.0674</w:t>
            </w:r>
          </w:p>
        </w:tc>
      </w:tr>
      <w:tr w14:paraId="2B0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46377A4E">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Train Acc</w:t>
            </w:r>
          </w:p>
        </w:tc>
        <w:tc>
          <w:tcPr>
            <w:tcW w:w="2130" w:type="dxa"/>
            <w:tcBorders>
              <w:top w:val="nil"/>
              <w:left w:val="nil"/>
              <w:bottom w:val="nil"/>
              <w:right w:val="nil"/>
            </w:tcBorders>
            <w:shd w:val="clear" w:color="auto" w:fill="FFFFFF"/>
            <w:vAlign w:val="center"/>
          </w:tcPr>
          <w:p w14:paraId="00802E4E">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97.25%</w:t>
            </w:r>
          </w:p>
        </w:tc>
        <w:tc>
          <w:tcPr>
            <w:tcW w:w="2131" w:type="dxa"/>
            <w:tcBorders>
              <w:top w:val="nil"/>
              <w:left w:val="nil"/>
              <w:bottom w:val="nil"/>
              <w:right w:val="nil"/>
            </w:tcBorders>
            <w:shd w:val="clear" w:color="auto" w:fill="FFFFFF"/>
            <w:vAlign w:val="center"/>
          </w:tcPr>
          <w:p w14:paraId="2D11280B">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99.28%</w:t>
            </w:r>
          </w:p>
        </w:tc>
        <w:tc>
          <w:tcPr>
            <w:tcW w:w="2131" w:type="dxa"/>
            <w:tcBorders>
              <w:top w:val="nil"/>
              <w:left w:val="nil"/>
              <w:bottom w:val="nil"/>
              <w:right w:val="nil"/>
            </w:tcBorders>
            <w:shd w:val="clear" w:color="auto" w:fill="FFFFFF"/>
            <w:vAlign w:val="center"/>
          </w:tcPr>
          <w:p w14:paraId="474705F1">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w:t>
            </w:r>
            <w:r>
              <w:rPr>
                <w:rFonts w:hint="eastAsia" w:ascii="宋体" w:hAnsi="宋体" w:eastAsia="宋体" w:cs="宋体"/>
                <w:b w:val="0"/>
                <w:color w:val="000000"/>
                <w:sz w:val="21"/>
                <w:szCs w:val="21"/>
                <w:vertAlign w:val="baseline"/>
                <w:lang w:val="en-US" w:eastAsia="zh-CN"/>
              </w:rPr>
              <w:t>8.02</w:t>
            </w:r>
            <w:r>
              <w:rPr>
                <w:rFonts w:hint="eastAsia" w:ascii="宋体" w:hAnsi="宋体" w:eastAsia="宋体" w:cs="宋体"/>
                <w:b w:val="0"/>
                <w:color w:val="000000"/>
                <w:sz w:val="21"/>
                <w:szCs w:val="21"/>
                <w:vertAlign w:val="baseline"/>
              </w:rPr>
              <w:t>%</w:t>
            </w:r>
          </w:p>
        </w:tc>
      </w:tr>
      <w:tr w14:paraId="3CDA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shd w:val="clear" w:color="auto" w:fill="FFFFFF"/>
            <w:vAlign w:val="center"/>
          </w:tcPr>
          <w:p w14:paraId="196A8063">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Val Acc</w:t>
            </w:r>
          </w:p>
        </w:tc>
        <w:tc>
          <w:tcPr>
            <w:tcW w:w="2130" w:type="dxa"/>
            <w:tcBorders>
              <w:top w:val="nil"/>
              <w:left w:val="nil"/>
              <w:bottom w:val="nil"/>
              <w:right w:val="nil"/>
            </w:tcBorders>
            <w:shd w:val="clear" w:color="auto" w:fill="FFFFFF"/>
            <w:vAlign w:val="center"/>
          </w:tcPr>
          <w:p w14:paraId="38C22677">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97.60%</w:t>
            </w:r>
          </w:p>
        </w:tc>
        <w:tc>
          <w:tcPr>
            <w:tcW w:w="2131" w:type="dxa"/>
            <w:tcBorders>
              <w:top w:val="nil"/>
              <w:left w:val="nil"/>
              <w:bottom w:val="nil"/>
              <w:right w:val="nil"/>
            </w:tcBorders>
            <w:shd w:val="clear" w:color="auto" w:fill="FFFFFF"/>
            <w:vAlign w:val="center"/>
          </w:tcPr>
          <w:p w14:paraId="45D53591">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99.07%</w:t>
            </w:r>
          </w:p>
        </w:tc>
        <w:tc>
          <w:tcPr>
            <w:tcW w:w="2131" w:type="dxa"/>
            <w:tcBorders>
              <w:top w:val="nil"/>
              <w:left w:val="nil"/>
              <w:bottom w:val="nil"/>
              <w:right w:val="nil"/>
            </w:tcBorders>
            <w:shd w:val="clear" w:color="auto" w:fill="FFFFFF"/>
            <w:vAlign w:val="center"/>
          </w:tcPr>
          <w:p w14:paraId="60796AAB">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97.90%</w:t>
            </w:r>
          </w:p>
        </w:tc>
      </w:tr>
      <w:tr w14:paraId="5D8F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49240D83">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Test Acc</w:t>
            </w:r>
          </w:p>
        </w:tc>
        <w:tc>
          <w:tcPr>
            <w:tcW w:w="2130" w:type="dxa"/>
            <w:tcBorders>
              <w:top w:val="nil"/>
              <w:left w:val="nil"/>
              <w:bottom w:val="single" w:color="000000" w:sz="12" w:space="0"/>
              <w:right w:val="nil"/>
            </w:tcBorders>
            <w:shd w:val="clear" w:color="auto" w:fill="FFFFFF"/>
            <w:vAlign w:val="center"/>
          </w:tcPr>
          <w:p w14:paraId="5937EE85">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97.60%</w:t>
            </w:r>
          </w:p>
        </w:tc>
        <w:tc>
          <w:tcPr>
            <w:tcW w:w="2131" w:type="dxa"/>
            <w:tcBorders>
              <w:top w:val="nil"/>
              <w:left w:val="nil"/>
              <w:bottom w:val="single" w:color="000000" w:sz="12" w:space="0"/>
              <w:right w:val="nil"/>
            </w:tcBorders>
            <w:shd w:val="clear" w:color="auto" w:fill="FFFFFF"/>
            <w:vAlign w:val="center"/>
          </w:tcPr>
          <w:p w14:paraId="28DBBFD9">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99.07%</w:t>
            </w:r>
          </w:p>
        </w:tc>
        <w:tc>
          <w:tcPr>
            <w:tcW w:w="2131" w:type="dxa"/>
            <w:tcBorders>
              <w:top w:val="nil"/>
              <w:left w:val="nil"/>
              <w:bottom w:val="single" w:color="000000" w:sz="12" w:space="0"/>
              <w:right w:val="nil"/>
            </w:tcBorders>
            <w:shd w:val="clear" w:color="auto" w:fill="FFFFFF"/>
            <w:vAlign w:val="center"/>
          </w:tcPr>
          <w:p w14:paraId="3E552E0C">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97.90%</w:t>
            </w:r>
          </w:p>
        </w:tc>
      </w:tr>
    </w:tbl>
    <w:p w14:paraId="4E0CD04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35545B3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bdr w:val="none" w:color="auto" w:sz="0" w:space="0"/>
        </w:rPr>
        <w:t xml:space="preserve">实验结果显示，标准 SGD 的测试准确率为 97.06%；引入动量机制后，SGD+Momentum 准确率提升至 </w:t>
      </w:r>
      <w:r>
        <w:rPr>
          <w:rFonts w:hint="eastAsia" w:ascii="宋体" w:hAnsi="宋体" w:eastAsia="宋体" w:cs="宋体"/>
          <w:b w:val="0"/>
          <w:color w:val="000000"/>
          <w:sz w:val="21"/>
          <w:szCs w:val="21"/>
          <w:vertAlign w:val="baseline"/>
        </w:rPr>
        <w:t>99.07%</w:t>
      </w:r>
      <w:r>
        <w:rPr>
          <w:rFonts w:hint="eastAsia" w:ascii="宋体" w:hAnsi="宋体" w:eastAsia="宋体" w:cs="宋体"/>
          <w:color w:val="1F1F1F"/>
          <w:bdr w:val="none" w:color="auto" w:sz="0" w:space="0"/>
        </w:rPr>
        <w:t xml:space="preserve">；Adam 优化器最终准确率为 </w:t>
      </w:r>
      <w:r>
        <w:rPr>
          <w:rFonts w:hint="eastAsia" w:ascii="宋体" w:hAnsi="宋体" w:eastAsia="宋体" w:cs="宋体"/>
          <w:b w:val="0"/>
          <w:color w:val="000000"/>
          <w:sz w:val="21"/>
          <w:szCs w:val="21"/>
          <w:vertAlign w:val="baseline"/>
        </w:rPr>
        <w:t>97.90%</w:t>
      </w:r>
      <w:r>
        <w:rPr>
          <w:rFonts w:hint="eastAsia" w:ascii="宋体" w:hAnsi="宋体" w:eastAsia="宋体" w:cs="宋体"/>
          <w:color w:val="1F1F1F"/>
          <w:bdr w:val="none" w:color="auto" w:sz="0" w:space="0"/>
        </w:rPr>
        <w:t>。</w:t>
      </w:r>
    </w:p>
    <w:p w14:paraId="26FAD3A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b/>
          <w:bCs/>
          <w:color w:val="1F1F1F"/>
          <w:bdr w:val="none" w:color="1F1F1F" w:sz="0" w:space="0"/>
        </w:rPr>
        <w:t>现象分析：</w:t>
      </w:r>
      <w:r>
        <w:rPr>
          <w:rFonts w:hint="eastAsia" w:ascii="宋体" w:hAnsi="宋体" w:eastAsia="宋体" w:cs="宋体"/>
          <w:color w:val="1F1F1F"/>
          <w:bdr w:val="none" w:color="auto" w:sz="0" w:space="0"/>
        </w:rPr>
        <w:t xml:space="preserve"> 标准 SGD 在反向传播时仅依赖当前 Batch 梯度，易在参数空间的平坦区域收敛缓慢或在鞍点发生震荡。引入 Momentum 机制后，算法能够累积历史梯度的方向，抑制横向震荡，从而加速收敛并获得更高的泛化精度。Adam 优化器采用自适应学习率，初期收敛较快，但后期可能在最优点附近产生波动，导致最终测试精度略低于调参良好的动量 SGD。</w:t>
      </w:r>
    </w:p>
    <w:p w14:paraId="477AB3C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5116E3C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三、 任务 3：学习率对模型训练的影响</w:t>
      </w:r>
    </w:p>
    <w:p w14:paraId="615ACD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bdr w:val="none" w:color="auto" w:sz="0" w:space="0"/>
        </w:rPr>
        <w:t>固定使用 Adam 优化器，设置三组学习率（0.1、0.01、0.001）进行对照实验，记录其 Loss 与 Accuracy 变化情况。</w:t>
      </w:r>
    </w:p>
    <w:p w14:paraId="5A30AA06">
      <w:pPr>
        <w:pStyle w:val="4"/>
        <w:jc w:val="center"/>
        <w:rPr>
          <w:rFonts w:hint="eastAsia" w:ascii="宋体" w:hAnsi="宋体" w:eastAsia="宋体" w:cs="宋体"/>
          <w:lang w:val="en-US"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t xml:space="preserve"> 学习率对模型训练的影响</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B56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5B20D12A">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lang w:val="en-US" w:eastAsia="zh-CN"/>
              </w:rPr>
            </w:pPr>
            <w:r>
              <w:rPr>
                <w:rFonts w:hint="eastAsia" w:ascii="宋体" w:hAnsi="宋体" w:eastAsia="宋体" w:cs="宋体"/>
                <w:b w:val="0"/>
                <w:color w:val="000000"/>
                <w:sz w:val="21"/>
                <w:szCs w:val="21"/>
                <w:vertAlign w:val="baseline"/>
                <w:lang w:val="en-US" w:eastAsia="zh-CN"/>
              </w:rPr>
              <w:t>Lr</w:t>
            </w:r>
          </w:p>
        </w:tc>
        <w:tc>
          <w:tcPr>
            <w:tcW w:w="2130" w:type="dxa"/>
            <w:tcBorders>
              <w:top w:val="single" w:color="000000" w:sz="12" w:space="0"/>
              <w:left w:val="nil"/>
              <w:bottom w:val="single" w:color="000000" w:sz="4" w:space="0"/>
              <w:right w:val="nil"/>
            </w:tcBorders>
            <w:shd w:val="clear" w:color="auto" w:fill="FFFFFF"/>
            <w:vAlign w:val="center"/>
          </w:tcPr>
          <w:p w14:paraId="3759DF01">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lang w:val="en-US" w:eastAsia="zh-CN"/>
              </w:rPr>
            </w:pPr>
            <w:r>
              <w:rPr>
                <w:rFonts w:hint="eastAsia" w:ascii="宋体" w:hAnsi="宋体" w:eastAsia="宋体" w:cs="宋体"/>
                <w:b w:val="0"/>
                <w:color w:val="000000"/>
                <w:sz w:val="21"/>
                <w:szCs w:val="21"/>
                <w:vertAlign w:val="baseline"/>
                <w:lang w:val="en-US" w:eastAsia="zh-CN"/>
              </w:rPr>
              <w:t>0.1</w:t>
            </w:r>
          </w:p>
        </w:tc>
        <w:tc>
          <w:tcPr>
            <w:tcW w:w="2131" w:type="dxa"/>
            <w:tcBorders>
              <w:top w:val="single" w:color="000000" w:sz="12" w:space="0"/>
              <w:left w:val="nil"/>
              <w:bottom w:val="single" w:color="000000" w:sz="4" w:space="0"/>
              <w:right w:val="nil"/>
            </w:tcBorders>
            <w:shd w:val="clear" w:color="auto" w:fill="FFFFFF"/>
            <w:vAlign w:val="center"/>
          </w:tcPr>
          <w:p w14:paraId="3748319A">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lang w:val="en-US" w:eastAsia="zh-CN"/>
              </w:rPr>
            </w:pPr>
            <w:r>
              <w:rPr>
                <w:rFonts w:hint="eastAsia" w:ascii="宋体" w:hAnsi="宋体" w:eastAsia="宋体" w:cs="宋体"/>
                <w:b w:val="0"/>
                <w:color w:val="000000"/>
                <w:sz w:val="21"/>
                <w:szCs w:val="21"/>
                <w:vertAlign w:val="baseline"/>
                <w:lang w:val="en-US" w:eastAsia="zh-CN"/>
              </w:rPr>
              <w:t>0.01</w:t>
            </w:r>
          </w:p>
        </w:tc>
        <w:tc>
          <w:tcPr>
            <w:tcW w:w="2131" w:type="dxa"/>
            <w:tcBorders>
              <w:top w:val="single" w:color="000000" w:sz="12" w:space="0"/>
              <w:left w:val="nil"/>
              <w:bottom w:val="single" w:color="000000" w:sz="4" w:space="0"/>
              <w:right w:val="nil"/>
            </w:tcBorders>
            <w:shd w:val="clear" w:color="auto" w:fill="FFFFFF"/>
            <w:vAlign w:val="center"/>
          </w:tcPr>
          <w:p w14:paraId="4D489452">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lang w:val="en-US" w:eastAsia="zh-CN"/>
              </w:rPr>
            </w:pPr>
            <w:r>
              <w:rPr>
                <w:rFonts w:hint="eastAsia" w:ascii="宋体" w:hAnsi="宋体" w:eastAsia="宋体" w:cs="宋体"/>
                <w:b w:val="0"/>
                <w:color w:val="000000"/>
                <w:sz w:val="21"/>
                <w:szCs w:val="21"/>
                <w:vertAlign w:val="baseline"/>
                <w:lang w:val="en-US" w:eastAsia="zh-CN"/>
              </w:rPr>
              <w:t>0.001</w:t>
            </w:r>
          </w:p>
        </w:tc>
      </w:tr>
      <w:tr w14:paraId="0121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000000" w:sz="12" w:space="0"/>
              <w:right w:val="nil"/>
            </w:tcBorders>
            <w:shd w:val="clear" w:color="auto" w:fill="FFFFFF"/>
            <w:vAlign w:val="center"/>
          </w:tcPr>
          <w:p w14:paraId="20D1F5B2">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Test Acc</w:t>
            </w:r>
          </w:p>
        </w:tc>
        <w:tc>
          <w:tcPr>
            <w:tcW w:w="2130" w:type="dxa"/>
            <w:tcBorders>
              <w:top w:val="nil"/>
              <w:left w:val="nil"/>
              <w:bottom w:val="single" w:color="000000" w:sz="12" w:space="0"/>
              <w:right w:val="nil"/>
            </w:tcBorders>
            <w:shd w:val="clear" w:color="auto" w:fill="FFFFFF"/>
            <w:vAlign w:val="center"/>
          </w:tcPr>
          <w:p w14:paraId="66E67DB3">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10.28%</w:t>
            </w:r>
          </w:p>
        </w:tc>
        <w:tc>
          <w:tcPr>
            <w:tcW w:w="2131" w:type="dxa"/>
            <w:tcBorders>
              <w:top w:val="nil"/>
              <w:left w:val="nil"/>
              <w:bottom w:val="single" w:color="000000" w:sz="12" w:space="0"/>
              <w:right w:val="nil"/>
            </w:tcBorders>
            <w:shd w:val="clear" w:color="auto" w:fill="FFFFFF"/>
            <w:vAlign w:val="center"/>
          </w:tcPr>
          <w:p w14:paraId="3DC57D2F">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98.14%</w:t>
            </w:r>
          </w:p>
        </w:tc>
        <w:tc>
          <w:tcPr>
            <w:tcW w:w="2131" w:type="dxa"/>
            <w:tcBorders>
              <w:top w:val="nil"/>
              <w:left w:val="nil"/>
              <w:bottom w:val="single" w:color="000000" w:sz="12" w:space="0"/>
              <w:right w:val="nil"/>
            </w:tcBorders>
            <w:shd w:val="clear" w:color="auto" w:fill="FFFFFF"/>
            <w:vAlign w:val="center"/>
          </w:tcPr>
          <w:p w14:paraId="44A22561">
            <w:pPr>
              <w:pStyle w:val="5"/>
              <w:keepNext w:val="0"/>
              <w:keepLines w:val="0"/>
              <w:widowControl/>
              <w:suppressLineNumbers w:val="0"/>
              <w:bidi w:val="0"/>
              <w:spacing w:before="0" w:beforeAutospacing="0" w:after="0" w:afterAutospacing="0" w:line="12" w:lineRule="atLeast"/>
              <w:ind w:right="0"/>
              <w:jc w:val="center"/>
              <w:rPr>
                <w:rFonts w:hint="eastAsia" w:ascii="宋体" w:hAnsi="宋体" w:eastAsia="宋体" w:cs="宋体"/>
                <w:b w:val="0"/>
                <w:color w:val="000000"/>
                <w:sz w:val="21"/>
                <w:szCs w:val="21"/>
                <w:vertAlign w:val="baseline"/>
              </w:rPr>
            </w:pPr>
            <w:r>
              <w:rPr>
                <w:rFonts w:hint="eastAsia" w:ascii="宋体" w:hAnsi="宋体" w:eastAsia="宋体" w:cs="宋体"/>
                <w:b w:val="0"/>
                <w:color w:val="000000"/>
                <w:sz w:val="21"/>
                <w:szCs w:val="21"/>
                <w:vertAlign w:val="baseline"/>
              </w:rPr>
              <w:t>98.99%</w:t>
            </w:r>
          </w:p>
        </w:tc>
      </w:tr>
    </w:tbl>
    <w:p w14:paraId="7ED97C1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sz w:val="24"/>
          <w:szCs w:val="24"/>
          <w:lang w:eastAsia="zh-CN"/>
        </w:rPr>
      </w:pPr>
      <w:r>
        <w:rPr>
          <w:rFonts w:hint="eastAsia" w:ascii="宋体" w:hAnsi="宋体" w:eastAsia="宋体" w:cs="宋体"/>
          <w:b/>
          <w:bCs/>
          <w:color w:val="1F1F1F"/>
          <w:sz w:val="24"/>
          <w:szCs w:val="24"/>
          <w:lang w:eastAsia="zh-CN"/>
        </w:rPr>
        <w:drawing>
          <wp:inline distT="0" distB="0" distL="114300" distR="114300">
            <wp:extent cx="3671570" cy="1574165"/>
            <wp:effectExtent l="0" t="0" r="11430" b="635"/>
            <wp:docPr id="4" name="图片 4" descr="task3_lr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sk3_lr_curves"/>
                    <pic:cNvPicPr>
                      <a:picLocks noChangeAspect="1"/>
                    </pic:cNvPicPr>
                  </pic:nvPicPr>
                  <pic:blipFill>
                    <a:blip r:embed="rId4"/>
                    <a:stretch>
                      <a:fillRect/>
                    </a:stretch>
                  </pic:blipFill>
                  <pic:spPr>
                    <a:xfrm>
                      <a:off x="0" y="0"/>
                      <a:ext cx="3671570" cy="1574165"/>
                    </a:xfrm>
                    <a:prstGeom prst="rect">
                      <a:avLst/>
                    </a:prstGeom>
                  </pic:spPr>
                </pic:pic>
              </a:graphicData>
            </a:graphic>
          </wp:inline>
        </w:drawing>
      </w:r>
    </w:p>
    <w:p w14:paraId="16D95079">
      <w:pPr>
        <w:pStyle w:val="4"/>
        <w:jc w:val="center"/>
        <w:rPr>
          <w:rFonts w:hint="eastAsia" w:ascii="宋体" w:hAnsi="宋体" w:eastAsia="宋体" w:cs="宋体"/>
          <w:lang w:val="en-US" w:eastAsia="zh-CN"/>
        </w:rPr>
      </w:pPr>
      <w:r>
        <w:rPr>
          <w:rFonts w:hint="eastAsia" w:ascii="宋体" w:hAnsi="宋体" w:eastAsia="宋体" w:cs="宋体"/>
          <w:lang w:val="en-US" w:eastAsia="zh-CN"/>
        </w:rPr>
        <w:t xml:space="preserve">图 </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SEQ 图 \* ARABIC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1</w:t>
      </w: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学习率对模型训练的影响</w:t>
      </w:r>
    </w:p>
    <w:p w14:paraId="44DE5F5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b/>
          <w:bCs/>
          <w:color w:val="1F1F1F"/>
          <w:bdr w:val="none" w:color="1F1F1F" w:sz="0" w:space="0"/>
        </w:rPr>
        <w:t>现象分析：</w:t>
      </w:r>
      <w:r>
        <w:rPr>
          <w:rFonts w:hint="eastAsia" w:ascii="宋体" w:hAnsi="宋体" w:eastAsia="宋体" w:cs="宋体"/>
          <w:color w:val="1F1F1F"/>
          <w:bdr w:val="none" w:color="auto" w:sz="0" w:space="0"/>
        </w:rPr>
        <w:t xml:space="preserve"> 学习率的大小决定了参数更新的步长。当 lr=0.1 时，步长过大导致参数更新越过损失函数的局部最优点，甚至引发梯度发散，测试准确率仅停留在 10.28%，模型无法有效学习。当 lr=0.01 时，准确率达到 98.</w:t>
      </w:r>
      <w:r>
        <w:rPr>
          <w:rFonts w:hint="eastAsia" w:ascii="宋体" w:hAnsi="宋体" w:eastAsia="宋体" w:cs="宋体"/>
          <w:color w:val="1F1F1F"/>
          <w:bdr w:val="none" w:color="auto" w:sz="0" w:space="0"/>
          <w:lang w:val="en-US" w:eastAsia="zh-CN"/>
        </w:rPr>
        <w:t>1</w:t>
      </w:r>
      <w:r>
        <w:rPr>
          <w:rFonts w:hint="eastAsia" w:ascii="宋体" w:hAnsi="宋体" w:eastAsia="宋体" w:cs="宋体"/>
          <w:color w:val="1F1F1F"/>
          <w:bdr w:val="none" w:color="auto" w:sz="0" w:space="0"/>
        </w:rPr>
        <w:t>4%，模型可正常收敛。当设定较小的 lr=0.001 时，Loss 曲线下降最为平稳，最终取得了 98.</w:t>
      </w:r>
      <w:r>
        <w:rPr>
          <w:rFonts w:hint="eastAsia" w:ascii="宋体" w:hAnsi="宋体" w:eastAsia="宋体" w:cs="宋体"/>
          <w:color w:val="1F1F1F"/>
          <w:bdr w:val="none" w:color="auto" w:sz="0" w:space="0"/>
          <w:lang w:val="en-US" w:eastAsia="zh-CN"/>
        </w:rPr>
        <w:t>99</w:t>
      </w:r>
      <w:r>
        <w:rPr>
          <w:rFonts w:hint="eastAsia" w:ascii="宋体" w:hAnsi="宋体" w:eastAsia="宋体" w:cs="宋体"/>
          <w:color w:val="1F1F1F"/>
          <w:bdr w:val="none" w:color="auto" w:sz="0" w:space="0"/>
        </w:rPr>
        <w:t>% 的最高准确率。实验表明，寻找与网络结构匹配的最佳学习率是防止模型欠拟合或训练崩溃的关键。</w:t>
      </w:r>
    </w:p>
    <w:p w14:paraId="3BB5410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1B7816C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四、 任务 4：卷积核（Kernel）可视化分析</w:t>
      </w:r>
    </w:p>
    <w:p w14:paraId="7277A20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bdr w:val="none" w:color="auto" w:sz="0" w:space="0"/>
        </w:rPr>
        <w:t>提取测试准确率最高（Adam, lr=0.001）模型的第一层 3×3 卷积核，并输出其权重数值的灰度/伪彩色图像映射。</w:t>
      </w:r>
    </w:p>
    <w:p w14:paraId="21F2619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b/>
          <w:bCs/>
          <w:color w:val="1F1F1F"/>
          <w:sz w:val="24"/>
          <w:szCs w:val="24"/>
        </w:rPr>
      </w:pPr>
      <w:r>
        <w:rPr>
          <w:rFonts w:hint="eastAsia" w:ascii="宋体" w:hAnsi="宋体" w:eastAsia="宋体" w:cs="宋体"/>
          <w:b/>
          <w:bCs/>
          <w:color w:val="1F1F1F"/>
          <w:sz w:val="24"/>
          <w:szCs w:val="24"/>
        </w:rPr>
        <w:drawing>
          <wp:inline distT="0" distB="0" distL="114300" distR="114300">
            <wp:extent cx="5274310" cy="2637155"/>
            <wp:effectExtent l="0" t="0" r="8890" b="4445"/>
            <wp:docPr id="5" name="图片 5" descr="task4_kernels_with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ask4_kernels_with_legend"/>
                    <pic:cNvPicPr>
                      <a:picLocks noChangeAspect="1"/>
                    </pic:cNvPicPr>
                  </pic:nvPicPr>
                  <pic:blipFill>
                    <a:blip r:embed="rId5"/>
                    <a:stretch>
                      <a:fillRect/>
                    </a:stretch>
                  </pic:blipFill>
                  <pic:spPr>
                    <a:xfrm>
                      <a:off x="0" y="0"/>
                      <a:ext cx="5274310" cy="2637155"/>
                    </a:xfrm>
                    <a:prstGeom prst="rect">
                      <a:avLst/>
                    </a:prstGeom>
                  </pic:spPr>
                </pic:pic>
              </a:graphicData>
            </a:graphic>
          </wp:inline>
        </w:drawing>
      </w:r>
    </w:p>
    <w:p w14:paraId="0E00765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sz w:val="24"/>
          <w:szCs w:val="24"/>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t xml:space="preserve"> 卷积核可视化</w:t>
      </w:r>
    </w:p>
    <w:p w14:paraId="679BFD6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b/>
          <w:bCs/>
          <w:color w:val="1F1F1F"/>
          <w:bdr w:val="none" w:color="1F1F1F" w:sz="0" w:space="0"/>
        </w:rPr>
        <w:t>现象分析：</w:t>
      </w:r>
      <w:r>
        <w:rPr>
          <w:rFonts w:hint="eastAsia" w:ascii="宋体" w:hAnsi="宋体" w:eastAsia="宋体" w:cs="宋体"/>
          <w:color w:val="1F1F1F"/>
          <w:bdr w:val="none" w:color="auto" w:sz="0" w:space="0"/>
        </w:rPr>
        <w:t xml:space="preserve"> 卷积核矩阵在初始化时为随机高斯分布，经训练收敛后，呈现出特定的数值分布模式。在 CNN 的浅层结构中，这些卷积核主要充当局部边缘检测算子的角色。例如，一侧为负权值、另一侧为正权值的卷积核，能够对图像中的水平、垂直或对角线边缘产生强烈响应，从而将原始像素转化为基础的几何轮廓特征。</w:t>
      </w:r>
    </w:p>
    <w:p w14:paraId="586E6E4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791FF05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五、 任务 5：特征图（Feature Map）可视化</w:t>
      </w:r>
    </w:p>
    <w:p w14:paraId="7A03DD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bdr w:val="none" w:color="auto" w:sz="0" w:space="0"/>
        </w:rPr>
        <w:t>将单张手写测试样本输入训练好的模型，提取第一层卷积操作并经过 ReLU 激活后的特征图。</w:t>
      </w:r>
    </w:p>
    <w:p w14:paraId="161A6C8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rPr>
      </w:pPr>
      <w:r>
        <w:rPr>
          <w:rFonts w:hint="eastAsia" w:ascii="宋体" w:hAnsi="宋体" w:eastAsia="宋体" w:cs="宋体"/>
          <w:b/>
          <w:bCs/>
          <w:color w:val="1F1F1F"/>
        </w:rPr>
        <w:drawing>
          <wp:inline distT="0" distB="0" distL="114300" distR="114300">
            <wp:extent cx="3850005" cy="1745615"/>
            <wp:effectExtent l="0" t="0" r="10795" b="6985"/>
            <wp:docPr id="6" name="图片 6" descr="task5_feature_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ask5_feature_maps"/>
                    <pic:cNvPicPr>
                      <a:picLocks noChangeAspect="1"/>
                    </pic:cNvPicPr>
                  </pic:nvPicPr>
                  <pic:blipFill>
                    <a:blip r:embed="rId6"/>
                    <a:srcRect b="9303"/>
                    <a:stretch>
                      <a:fillRect/>
                    </a:stretch>
                  </pic:blipFill>
                  <pic:spPr>
                    <a:xfrm>
                      <a:off x="0" y="0"/>
                      <a:ext cx="3850005" cy="1745615"/>
                    </a:xfrm>
                    <a:prstGeom prst="rect">
                      <a:avLst/>
                    </a:prstGeom>
                  </pic:spPr>
                </pic:pic>
              </a:graphicData>
            </a:graphic>
          </wp:inline>
        </w:drawing>
      </w:r>
    </w:p>
    <w:p w14:paraId="7D10E94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t xml:space="preserve"> </w:t>
      </w:r>
      <w:r>
        <w:rPr>
          <w:rFonts w:hint="eastAsia" w:ascii="宋体" w:hAnsi="宋体" w:eastAsia="宋体" w:cs="宋体"/>
          <w:b/>
          <w:bCs/>
          <w:color w:val="1F1F1F"/>
        </w:rPr>
        <w:t>Feature Map</w:t>
      </w:r>
    </w:p>
    <w:p w14:paraId="1391A3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r>
        <w:rPr>
          <w:rFonts w:hint="eastAsia" w:ascii="宋体" w:hAnsi="宋体" w:eastAsia="宋体" w:cs="宋体"/>
          <w:b/>
          <w:bCs/>
          <w:color w:val="1F1F1F"/>
          <w:bdr w:val="none" w:color="1F1F1F" w:sz="0" w:space="0"/>
        </w:rPr>
        <w:t>现象分析：</w:t>
      </w:r>
      <w:r>
        <w:rPr>
          <w:rFonts w:hint="eastAsia" w:ascii="宋体" w:hAnsi="宋体" w:eastAsia="宋体" w:cs="宋体"/>
          <w:color w:val="1F1F1F"/>
          <w:bdr w:val="none" w:color="auto" w:sz="0" w:space="0"/>
        </w:rPr>
        <w:t xml:space="preserve"> 特征图展现了原图在不同卷积核作用下的空间响应程度，图中高亮区域表示该位置的像素特征与对应卷积核模式具有较高的匹配度。观察发现，不同通道的特征图对数字局部的响应各有侧重，部分通道高亮了数字的外部轮廓，部分提取了内部孔洞，部分则强化了特定方向的笔画边缘。这验证了卷积神经网络通过多通道滤波器提取图像空间局部特征的机制。</w:t>
      </w:r>
    </w:p>
    <w:p w14:paraId="65626E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bdr w:val="none" w:color="auto" w:sz="0" w:space="0"/>
        </w:rPr>
      </w:pPr>
    </w:p>
    <w:p w14:paraId="361FCE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b/>
          <w:bCs/>
          <w:color w:val="1F1F1F"/>
          <w:bdr w:val="none" w:color="1F1F1F" w:sz="0" w:space="0"/>
        </w:rPr>
        <w:t>六、 任务 6</w:t>
      </w:r>
      <w:r>
        <w:rPr>
          <w:rFonts w:hint="eastAsia" w:ascii="宋体" w:hAnsi="宋体" w:eastAsia="宋体" w:cs="宋体"/>
          <w:b/>
          <w:bCs/>
          <w:color w:val="1F1F1F"/>
          <w:bdr w:val="none" w:color="1F1F1F" w:sz="0" w:space="0"/>
          <w:lang w:eastAsia="zh-CN"/>
        </w:rPr>
        <w:t>、</w:t>
      </w:r>
      <w:bookmarkStart w:id="0" w:name="_GoBack"/>
      <w:bookmarkEnd w:id="0"/>
      <w:r>
        <w:rPr>
          <w:rFonts w:hint="eastAsia" w:ascii="宋体" w:hAnsi="宋体" w:eastAsia="宋体" w:cs="宋体"/>
          <w:b/>
          <w:bCs/>
          <w:color w:val="1F1F1F"/>
          <w:bdr w:val="none" w:color="1F1F1F" w:sz="0" w:space="0"/>
        </w:rPr>
        <w:t>7：错误样本与混淆矩阵分析</w:t>
      </w:r>
    </w:p>
    <w:p w14:paraId="0E4965C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bdr w:val="none" w:color="auto" w:sz="0" w:space="0"/>
        </w:rPr>
        <w:t>对测试集的预测结果进行穷举，绘制混淆矩阵并提取典型的错误分类样本。</w:t>
      </w:r>
    </w:p>
    <w:p w14:paraId="112359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bdr w:val="none" w:color="1F1F1F" w:sz="0" w:space="0"/>
        </w:rPr>
      </w:pPr>
      <w:r>
        <w:rPr>
          <w:rFonts w:hint="eastAsia" w:ascii="宋体" w:hAnsi="宋体" w:eastAsia="宋体" w:cs="宋体"/>
          <w:b/>
          <w:bCs/>
          <w:color w:val="1F1F1F"/>
          <w:bdr w:val="none" w:color="1F1F1F" w:sz="0" w:space="0"/>
        </w:rPr>
        <w:drawing>
          <wp:inline distT="0" distB="0" distL="114300" distR="114300">
            <wp:extent cx="3777615" cy="2833370"/>
            <wp:effectExtent l="0" t="0" r="6985" b="11430"/>
            <wp:docPr id="7" name="图片 7" descr="task7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ask7_confusion_matrix"/>
                    <pic:cNvPicPr>
                      <a:picLocks noChangeAspect="1"/>
                    </pic:cNvPicPr>
                  </pic:nvPicPr>
                  <pic:blipFill>
                    <a:blip r:embed="rId7"/>
                    <a:stretch>
                      <a:fillRect/>
                    </a:stretch>
                  </pic:blipFill>
                  <pic:spPr>
                    <a:xfrm>
                      <a:off x="0" y="0"/>
                      <a:ext cx="3777615" cy="2833370"/>
                    </a:xfrm>
                    <a:prstGeom prst="rect">
                      <a:avLst/>
                    </a:prstGeom>
                  </pic:spPr>
                </pic:pic>
              </a:graphicData>
            </a:graphic>
          </wp:inline>
        </w:drawing>
      </w:r>
    </w:p>
    <w:p w14:paraId="5C4B7AC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bdr w:val="none" w:color="1F1F1F" w:sz="0" w:space="0"/>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val="en-US" w:eastAsia="zh-CN"/>
        </w:rPr>
        <w:t xml:space="preserve"> 混淆矩阵</w:t>
      </w:r>
    </w:p>
    <w:p w14:paraId="0070D3C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bdr w:val="none" w:color="1F1F1F" w:sz="0" w:space="0"/>
        </w:rPr>
      </w:pPr>
      <w:r>
        <w:rPr>
          <w:rFonts w:hint="eastAsia" w:ascii="宋体" w:hAnsi="宋体" w:eastAsia="宋体" w:cs="宋体"/>
          <w:b/>
          <w:bCs/>
          <w:color w:val="1F1F1F"/>
          <w:bdr w:val="none" w:color="1F1F1F" w:sz="0" w:space="0"/>
        </w:rPr>
        <w:drawing>
          <wp:inline distT="0" distB="0" distL="114300" distR="114300">
            <wp:extent cx="3928745" cy="1964690"/>
            <wp:effectExtent l="0" t="0" r="8255" b="3810"/>
            <wp:docPr id="8" name="图片 8" descr="task6_misclass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ask6_misclassified"/>
                    <pic:cNvPicPr>
                      <a:picLocks noChangeAspect="1"/>
                    </pic:cNvPicPr>
                  </pic:nvPicPr>
                  <pic:blipFill>
                    <a:blip r:embed="rId8"/>
                    <a:stretch>
                      <a:fillRect/>
                    </a:stretch>
                  </pic:blipFill>
                  <pic:spPr>
                    <a:xfrm>
                      <a:off x="0" y="0"/>
                      <a:ext cx="3928745" cy="1964690"/>
                    </a:xfrm>
                    <a:prstGeom prst="rect">
                      <a:avLst/>
                    </a:prstGeom>
                  </pic:spPr>
                </pic:pic>
              </a:graphicData>
            </a:graphic>
          </wp:inline>
        </w:drawing>
      </w:r>
    </w:p>
    <w:p w14:paraId="57F2366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center"/>
        <w:rPr>
          <w:rFonts w:hint="eastAsia" w:ascii="宋体" w:hAnsi="宋体" w:eastAsia="宋体" w:cs="宋体"/>
          <w:b/>
          <w:bCs/>
          <w:color w:val="1F1F1F"/>
          <w:bdr w:val="none" w:color="1F1F1F" w:sz="0" w:space="0"/>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lang w:val="en-US" w:eastAsia="zh-CN"/>
        </w:rPr>
        <w:t xml:space="preserve"> 错误样本</w:t>
      </w:r>
    </w:p>
    <w:p w14:paraId="5D97EFF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bdr w:val="none" w:color="1F1F1F" w:sz="0" w:space="0"/>
        </w:rPr>
        <w:t>现象分析：</w:t>
      </w:r>
      <w:r>
        <w:rPr>
          <w:rFonts w:hint="eastAsia" w:ascii="宋体" w:hAnsi="宋体" w:eastAsia="宋体" w:cs="宋体"/>
          <w:color w:val="1F1F1F"/>
          <w:bdr w:val="none" w:color="auto" w:sz="0" w:space="0"/>
        </w:rPr>
        <w:t xml:space="preserve"> 混淆矩阵显示，多数分类错误集中在形态结构相似的数字对之间。例如，标签“</w:t>
      </w:r>
      <w:r>
        <w:rPr>
          <w:rFonts w:hint="eastAsia" w:ascii="宋体" w:hAnsi="宋体" w:eastAsia="宋体" w:cs="宋体"/>
          <w:color w:val="1F1F1F"/>
          <w:bdr w:val="none" w:color="auto" w:sz="0" w:space="0"/>
          <w:lang w:val="en-US" w:eastAsia="zh-CN"/>
        </w:rPr>
        <w:t>6</w:t>
      </w:r>
      <w:r>
        <w:rPr>
          <w:rFonts w:hint="eastAsia" w:ascii="宋体" w:hAnsi="宋体" w:eastAsia="宋体" w:cs="宋体"/>
          <w:color w:val="1F1F1F"/>
          <w:bdr w:val="none" w:color="auto" w:sz="0" w:space="0"/>
        </w:rPr>
        <w:t>”易被错判为“</w:t>
      </w:r>
      <w:r>
        <w:rPr>
          <w:rFonts w:hint="eastAsia" w:ascii="宋体" w:hAnsi="宋体" w:eastAsia="宋体" w:cs="宋体"/>
          <w:color w:val="1F1F1F"/>
          <w:bdr w:val="none" w:color="auto" w:sz="0" w:space="0"/>
          <w:lang w:val="en-US" w:eastAsia="zh-CN"/>
        </w:rPr>
        <w:t>0</w:t>
      </w:r>
      <w:r>
        <w:rPr>
          <w:rFonts w:hint="eastAsia" w:ascii="宋体" w:hAnsi="宋体" w:eastAsia="宋体" w:cs="宋体"/>
          <w:color w:val="1F1F1F"/>
          <w:bdr w:val="none" w:color="auto" w:sz="0" w:space="0"/>
        </w:rPr>
        <w:t>”，标签“3”易被错判为“8”。结合错误样本图像可知，测试集中部分书写不规范的样本引起了局部拓扑结构的改变：如“4”顶部意外封口、“3”书写连笔形成闭环。由于浅层 CNN 强依赖于局部几何特征的组合，这种书写形变导致其提取的特征向量与错误类别高度相似，表明模型在处理极端形变样本时，缺乏基于全局语义的纠偏能力。</w:t>
      </w:r>
    </w:p>
    <w:p w14:paraId="59AD7188">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F402E"/>
    <w:rsid w:val="2C846657"/>
    <w:rsid w:val="3C556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2026-05-22T05:40:21Z</dcterms:created>
  <dc:creator>ptz</dc:creator>
  <cp:lastModifiedBy>WPS_1181409077</cp:lastModifiedBy>
  <dcterms:modified xsi:type="dcterms:W3CDTF">2026-05-22T06:02:48Z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eyJoZGlkIjoiMzBmN2RkMDUwNzlkMzQ3MDA1ZDgwNGZmMzU5YjlmMGMiLCJ1c2VySWQiOiIxMTgxNDA5MDc3In0=</vt:lpwstr>
  </property>
  <property fmtid="{D5CDD505-2E9C-101B-9397-08002B2CF9AE}" pid="4" name="ICV">
    <vt:lpwstr>3AAE02531D5845F5B9DDE9EC697846F3_12</vt:lpwstr>
  </property>
</Properties>
</file>