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C72EA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</w:rPr>
        <w:t>实验 8：PyTorch 入门与图像分类</w:t>
      </w:r>
    </w:p>
    <w:p w14:paraId="6F3B86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23自动化彭天资2023101137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3C0957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lang w:val="en-US" w:eastAsia="zh-CN"/>
        </w:rPr>
      </w:pPr>
    </w:p>
    <w:p w14:paraId="63A7A5FB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</w:rPr>
      </w:pPr>
      <w:r>
        <w:rPr>
          <w:rFonts w:hint="eastAsia"/>
        </w:rPr>
        <w:t xml:space="preserve">一、 实验目的 </w:t>
      </w:r>
    </w:p>
    <w:p w14:paraId="7DEF20A0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 w:firstLine="420" w:firstLineChars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</w:rPr>
        <w:t>本实验旨在通过 PyTorch 框架完成图像分类任务，完整体验深度学习模型从数据加载、网络构建、模型训练到验证与测试的标准化开发流程。通过实践，深入理解卷积神经网络（CNN）的基本组成与前向传播机制，并掌握优化器选择、网络深度及数据集复杂度对模型分类性能的影响。</w:t>
      </w:r>
    </w:p>
    <w:p w14:paraId="002DD8E7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336DF55A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</w:rPr>
      </w:pPr>
      <w:r>
        <w:rPr>
          <w:rFonts w:hint="eastAsia"/>
        </w:rPr>
        <w:t xml:space="preserve">二、 数据集说明 </w:t>
      </w:r>
    </w:p>
    <w:p w14:paraId="19A6FF1A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</w:rPr>
        <w:t>本次实验涵盖两个标准开源数据集：</w:t>
      </w:r>
    </w:p>
    <w:p w14:paraId="2CFE61CC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 w:firstLine="420" w:firstLineChars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MNIST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 xml:space="preserve">：包含 70,000 张 28×28 像素的灰度手写数字图像（类别 0-9）。实验中划分为：训练集 48,000 张，验证集 12,000 张，测试集 10,000 张。对图像进行了 </w:t>
      </w:r>
      <w:r>
        <w:rPr>
          <w:rStyle w:val="10"/>
          <w:rFonts w:hint="eastAsia" w:ascii="宋体" w:hAnsi="宋体" w:eastAsia="宋体" w:cs="宋体"/>
          <w:color w:val="444746"/>
          <w:sz w:val="24"/>
          <w:szCs w:val="24"/>
        </w:rPr>
        <w:t>ToTensor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 xml:space="preserve"> 和 </w:t>
      </w:r>
      <w:r>
        <w:rPr>
          <w:rStyle w:val="10"/>
          <w:rFonts w:hint="eastAsia" w:ascii="宋体" w:hAnsi="宋体" w:eastAsia="宋体" w:cs="宋体"/>
          <w:color w:val="444746"/>
          <w:sz w:val="24"/>
          <w:szCs w:val="24"/>
        </w:rPr>
        <w:t>Normalize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 xml:space="preserve"> 标准化处理（归一化至 [-1, 1] 区间）。</w:t>
      </w:r>
    </w:p>
    <w:p w14:paraId="3CA4E676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 w:firstLine="420" w:firstLineChars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CIFAR-10（进阶任务）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>：包含 60,000 张 32×32 像素的 RGB 彩色自然图像，涵盖 10 个类别（如飞机、汽车、鸟类等）。数据划分比例与预处理逻辑同上，但标准化针对三通道分别进行。</w:t>
      </w:r>
    </w:p>
    <w:p w14:paraId="15441F6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240" w:lineRule="atLeast"/>
        <w:ind w:left="0" w:right="0" w:hanging="36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53A9D90C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</w:rPr>
      </w:pPr>
      <w:r>
        <w:rPr>
          <w:rFonts w:hint="eastAsia"/>
        </w:rPr>
        <w:t xml:space="preserve">三、 CNN 模型结构 </w:t>
      </w:r>
    </w:p>
    <w:p w14:paraId="2AF8BAF1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</w:rPr>
        <w:t>实验中设计了两种不同深度的卷积神经网络，具体结构如下：</w:t>
      </w:r>
    </w:p>
    <w:p w14:paraId="0BED7EFA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1. 基础 CNN 模型（用于 MNIST 基础分类任务）：</w:t>
      </w:r>
    </w:p>
    <w:p w14:paraId="4CC45F77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输入层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>：1 通道，28×28。</w:t>
      </w:r>
    </w:p>
    <w:p w14:paraId="3322A7BB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卷积层 1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>：16 个 3×3 卷积核，步长 1，填充 1，激活函数 ReLU。</w:t>
      </w:r>
    </w:p>
    <w:p w14:paraId="7E3F82D5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池化层 1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>：2×2 最大池化。</w:t>
      </w:r>
    </w:p>
    <w:p w14:paraId="171A0AEE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卷积层 2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>：32 个 3×3 卷积核，步长 1，填充 1，激活函数 ReLU。</w:t>
      </w:r>
    </w:p>
    <w:p w14:paraId="05E3A1C9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池化层 2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>：2×2 最大池化。</w:t>
      </w:r>
    </w:p>
    <w:p w14:paraId="03D1BEBE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全连接层 1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>：输入维度 32×7×7，输出维度 128，激活函数 ReLU。</w:t>
      </w:r>
    </w:p>
    <w:p w14:paraId="26817AE4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全连接层 2（输出层）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>：输入维度 128，输出类别数 10。</w:t>
      </w:r>
    </w:p>
    <w:p w14:paraId="0435089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240" w:lineRule="atLeast"/>
        <w:ind w:right="0" w:rightChars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0E30D55C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2. 进阶 CNN 模型（引入更深层级与 Dropout 防过拟合）：</w:t>
      </w:r>
    </w:p>
    <w:p w14:paraId="4FFF4243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 w:firstLine="420" w:firstLineChars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</w:rPr>
        <w:t>相较于基础网络，进阶结构扩展至 3 层卷积（通道数分别为 32, 64, 128），并在全连接层（256个神经元）前引入了丢弃率为 0.5 的 Dropout 层，以增强在 CIFAR-10 等复杂数据集上的特征提取与泛化能力。</w:t>
      </w:r>
    </w:p>
    <w:p w14:paraId="2B377D7B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0337C333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10FA5C0F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27D34E91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33B7A931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</w:rPr>
      </w:pPr>
      <w:r>
        <w:rPr>
          <w:rFonts w:hint="eastAsia"/>
        </w:rPr>
        <w:t xml:space="preserve">四、 训练参数设置 </w:t>
      </w:r>
    </w:p>
    <w:p w14:paraId="75CC2DEE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</w:rPr>
        <w:t>批处理大小 (Batch Size)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</w:rPr>
        <w:t>：64</w:t>
      </w:r>
    </w:p>
    <w:p w14:paraId="68979771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</w:rPr>
        <w:t>损失函数 (Loss Function)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</w:rPr>
        <w:t>：交叉熵损失函数 (CrossEntropyLoss)</w:t>
      </w:r>
    </w:p>
    <w:p w14:paraId="2D495456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</w:rPr>
        <w:t>优化器 (Optimizer)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</w:rPr>
        <w:t>：Adam / SGD (动量设置为 0.9)</w:t>
      </w:r>
    </w:p>
    <w:p w14:paraId="634E39F1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</w:rPr>
        <w:t>学习率 (Learning Rate)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</w:rPr>
        <w:t>：Adam 设置为 0.001，SGD 设置为 0.01</w:t>
      </w:r>
    </w:p>
    <w:p w14:paraId="18663D83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</w:rPr>
        <w:t>训练轮次 (Epochs)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</w:rPr>
        <w:t>：5 轮</w:t>
      </w:r>
    </w:p>
    <w:p w14:paraId="2A4D5089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</w:rPr>
        <w:t>计算设备</w:t>
      </w:r>
      <w:r>
        <w:rPr>
          <w:rFonts w:hint="eastAsia" w:ascii="宋体" w:hAnsi="宋体" w:eastAsia="宋体" w:cs="宋体"/>
          <w:b w:val="0"/>
          <w:bCs w:val="0"/>
          <w:color w:val="1F1F1F"/>
          <w:sz w:val="24"/>
          <w:szCs w:val="24"/>
        </w:rPr>
        <w:t>：NVIDIA GeForce RTX 4060 Laptop GPU (CUDA 加速)</w:t>
      </w:r>
    </w:p>
    <w:p w14:paraId="4895D90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240" w:lineRule="atLeast"/>
        <w:ind w:left="-360" w:leftChars="0" w:right="0" w:rightChars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22639A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240" w:lineRule="atLeast"/>
        <w:ind w:left="-360" w:leftChars="0" w:right="0" w:rightChars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6483F6A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240" w:lineRule="atLeast"/>
        <w:ind w:left="-360" w:leftChars="0" w:right="0" w:rightChars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4AFCDB2A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</w:rPr>
      </w:pPr>
      <w:r>
        <w:rPr>
          <w:rFonts w:hint="eastAsia"/>
        </w:rPr>
        <w:t xml:space="preserve">五、 </w:t>
      </w:r>
      <w:r>
        <w:rPr>
          <w:rFonts w:hint="eastAsia"/>
          <w:lang w:val="en-US" w:eastAsia="zh-CN"/>
        </w:rPr>
        <w:t>基础</w:t>
      </w:r>
      <w:r>
        <w:rPr>
          <w:rFonts w:hint="eastAsia"/>
        </w:rPr>
        <w:t xml:space="preserve">训练与验证结果 </w:t>
      </w:r>
    </w:p>
    <w:p w14:paraId="0FBAF56C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Loss 与 Accuracy 结果记录（基于 MNIST + Adam 优化器）</w:t>
      </w:r>
    </w:p>
    <w:p w14:paraId="37572B93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</w:rPr>
        <w:t>从终端实测数据可知，模型在 5 个 Epoch 内表现出极佳的收敛性：</w:t>
      </w:r>
    </w:p>
    <w:p w14:paraId="6697DA2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240" w:lineRule="atLeast"/>
        <w:ind w:right="0" w:rightChars="0"/>
        <w:textAlignment w:val="auto"/>
        <w:rPr>
          <w:rFonts w:hint="eastAsia" w:ascii="宋体" w:hAnsi="宋体" w:eastAsia="宋体" w:cs="宋体"/>
          <w:color w:val="1F1F1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1F1F"/>
          <w:kern w:val="0"/>
          <w:sz w:val="24"/>
          <w:szCs w:val="24"/>
          <w:lang w:val="en-US" w:eastAsia="zh-CN" w:bidi="ar"/>
        </w:rPr>
        <w:t>Epoch [1/5] | Train Loss: 0.2179, Train Acc: 93.54% | Val Loss: 0.0771, Val Acc: 97.72%</w:t>
      </w:r>
    </w:p>
    <w:p w14:paraId="59185A4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240" w:lineRule="atLeast"/>
        <w:ind w:right="0" w:rightChars="0"/>
        <w:textAlignment w:val="auto"/>
        <w:rPr>
          <w:rFonts w:hint="eastAsia" w:ascii="宋体" w:hAnsi="宋体" w:eastAsia="宋体" w:cs="宋体"/>
          <w:color w:val="1F1F1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1F1F"/>
          <w:kern w:val="0"/>
          <w:sz w:val="24"/>
          <w:szCs w:val="24"/>
          <w:lang w:val="en-US" w:eastAsia="zh-CN" w:bidi="ar"/>
        </w:rPr>
        <w:t>Epoch [2/5] | Train Loss: 0.0577, Train Acc: 98.19% | Val Loss: 0.0553, Val Acc: 98.38%</w:t>
      </w:r>
    </w:p>
    <w:p w14:paraId="3A7D572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240" w:lineRule="atLeast"/>
        <w:ind w:right="0" w:rightChars="0"/>
        <w:textAlignment w:val="auto"/>
        <w:rPr>
          <w:rFonts w:hint="eastAsia" w:ascii="宋体" w:hAnsi="宋体" w:eastAsia="宋体" w:cs="宋体"/>
          <w:color w:val="1F1F1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1F1F"/>
          <w:kern w:val="0"/>
          <w:sz w:val="24"/>
          <w:szCs w:val="24"/>
          <w:lang w:val="en-US" w:eastAsia="zh-CN" w:bidi="ar"/>
        </w:rPr>
        <w:t>Epoch [3/5] | Train Loss: 0.0390, Train Acc: 98.85% | Val Loss: 0.0587, Val Acc: 98.31%</w:t>
      </w:r>
    </w:p>
    <w:p w14:paraId="420B624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240" w:lineRule="atLeast"/>
        <w:ind w:right="0" w:rightChars="0"/>
        <w:textAlignment w:val="auto"/>
        <w:rPr>
          <w:rFonts w:hint="eastAsia" w:ascii="宋体" w:hAnsi="宋体" w:eastAsia="宋体" w:cs="宋体"/>
          <w:color w:val="1F1F1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1F1F"/>
          <w:kern w:val="0"/>
          <w:sz w:val="24"/>
          <w:szCs w:val="24"/>
          <w:lang w:val="en-US" w:eastAsia="zh-CN" w:bidi="ar"/>
        </w:rPr>
        <w:t>Epoch [4/5] | Train Loss: 0.0295, Train Acc: 99.04% | Val Loss: 0.0483, Val Acc: 98.58%</w:t>
      </w:r>
    </w:p>
    <w:p w14:paraId="7EF4C0F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240" w:lineRule="atLeast"/>
        <w:ind w:right="0" w:rightChars="0"/>
        <w:textAlignment w:val="auto"/>
        <w:rPr>
          <w:rFonts w:hint="eastAsia" w:ascii="宋体" w:hAnsi="宋体" w:eastAsia="宋体" w:cs="宋体"/>
          <w:color w:val="1F1F1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1F1F"/>
          <w:kern w:val="0"/>
          <w:sz w:val="24"/>
          <w:szCs w:val="24"/>
          <w:lang w:val="en-US" w:eastAsia="zh-CN" w:bidi="ar"/>
        </w:rPr>
        <w:t>Epoch [5/5] | Train Loss: 0.0244, Train Acc: 99.22% | Val Loss: 0.0498, Val Acc: 98.55%</w:t>
      </w:r>
    </w:p>
    <w:p w14:paraId="763F73F6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65D8A014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508B844B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</w:rPr>
      </w:pPr>
      <w:r>
        <w:rPr>
          <w:rFonts w:hint="eastAsia"/>
        </w:rPr>
        <w:t xml:space="preserve">六、 </w:t>
      </w:r>
      <w:r>
        <w:rPr>
          <w:rFonts w:hint="eastAsia"/>
          <w:lang w:val="en-US" w:eastAsia="zh-CN"/>
        </w:rPr>
        <w:t>基础</w:t>
      </w:r>
      <w:r>
        <w:rPr>
          <w:rFonts w:hint="eastAsia"/>
        </w:rPr>
        <w:t xml:space="preserve">测试集评估与结果展示 </w:t>
      </w:r>
    </w:p>
    <w:p w14:paraId="7EBE6F3E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 w:firstLine="420" w:firstLineChars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测试集最终表现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 xml:space="preserve">：在未参与训练与验证的 10,000 张测试集图像上，基础 CNN 模型最终取得了 </w:t>
      </w: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Loss: 0.0428, Accuracy: 98.70%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 xml:space="preserve"> 的优异成绩 。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 xml:space="preserve"> </w:t>
      </w:r>
    </w:p>
    <w:p w14:paraId="49470417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02A6A92B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60204C73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6BE6AB9E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0C93B7D2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7F741551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049D9F6E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jc w:val="center"/>
        <w:textAlignment w:val="auto"/>
        <w:rPr>
          <w:rFonts w:hint="eastAsia" w:ascii="宋体" w:hAnsi="宋体" w:eastAsia="宋体" w:cs="宋体"/>
          <w:color w:val="1F1F1F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lang w:eastAsia="zh-CN"/>
        </w:rPr>
        <w:drawing>
          <wp:inline distT="0" distB="0" distL="114300" distR="114300">
            <wp:extent cx="5266690" cy="3511550"/>
            <wp:effectExtent l="0" t="0" r="3810" b="6350"/>
            <wp:docPr id="2" name="图片 2" descr="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av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8C81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  <w:lang w:eastAsia="zh-CN"/>
        </w:rPr>
      </w:pPr>
    </w:p>
    <w:p w14:paraId="4F38EAE8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  <w:lang w:eastAsia="zh-CN"/>
        </w:rPr>
      </w:pPr>
    </w:p>
    <w:p w14:paraId="1A568A0C">
      <w:pPr>
        <w:pStyle w:val="4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</w:rPr>
      </w:pPr>
      <w:r>
        <w:rPr>
          <w:rFonts w:hint="eastAsia"/>
        </w:rPr>
        <w:t xml:space="preserve">进阶任务对比记录 </w:t>
      </w:r>
    </w:p>
    <w:p w14:paraId="3C4CC2C5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基础网络测试准确率: 98.63%</w:t>
      </w:r>
    </w:p>
    <w:p w14:paraId="26218260">
      <w:pPr>
        <w:numPr>
          <w:ilvl w:val="0"/>
          <w:numId w:val="0"/>
        </w:numPr>
        <w:bidi w:val="0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</w:rPr>
        <w:t>进阶网络测试准确率: 99.26%</w:t>
      </w:r>
    </w:p>
    <w:p w14:paraId="11731A8F">
      <w:pPr>
        <w:numPr>
          <w:ilvl w:val="0"/>
          <w:numId w:val="0"/>
        </w:numPr>
        <w:bidi w:val="0"/>
        <w:rPr>
          <w:rFonts w:hint="eastAsia"/>
        </w:rPr>
      </w:pPr>
    </w:p>
    <w:p w14:paraId="53E3D807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表 1：优化器比较记录表（基于基础网络，MNIST 数据集）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 xml:space="preserve">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CC4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6AB01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Optimizer</w:t>
            </w:r>
          </w:p>
        </w:tc>
        <w:tc>
          <w:tcPr>
            <w:tcW w:w="28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66E85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Learning Rate</w:t>
            </w:r>
          </w:p>
        </w:tc>
        <w:tc>
          <w:tcPr>
            <w:tcW w:w="28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A0842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Test Accuracy</w:t>
            </w:r>
          </w:p>
        </w:tc>
      </w:tr>
      <w:tr w14:paraId="0CAC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340F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SGD</w:t>
            </w:r>
          </w:p>
        </w:tc>
        <w:tc>
          <w:tcPr>
            <w:tcW w:w="28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BCAA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0.01</w:t>
            </w:r>
          </w:p>
        </w:tc>
        <w:tc>
          <w:tcPr>
            <w:tcW w:w="28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79E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98.81%</w:t>
            </w:r>
          </w:p>
        </w:tc>
      </w:tr>
      <w:tr w14:paraId="403B1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2A863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Adam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B403C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0.001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F939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98.63%</w:t>
            </w:r>
          </w:p>
        </w:tc>
      </w:tr>
    </w:tbl>
    <w:p w14:paraId="64A0169E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1F1F1F"/>
          <w:sz w:val="24"/>
          <w:szCs w:val="24"/>
        </w:rPr>
      </w:pPr>
    </w:p>
    <w:p w14:paraId="780670B2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i w:val="0"/>
          <w:iCs w:val="0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F1F1F"/>
          <w:sz w:val="24"/>
          <w:szCs w:val="24"/>
        </w:rPr>
        <w:t>表 2：MNIST 与 CIFAR-10 比较记录表（基于进阶网络）</w:t>
      </w:r>
      <w:r>
        <w:rPr>
          <w:rFonts w:hint="eastAsia" w:ascii="宋体" w:hAnsi="宋体" w:eastAsia="宋体" w:cs="宋体"/>
          <w:i w:val="0"/>
          <w:iCs w:val="0"/>
          <w:color w:val="1F1F1F"/>
          <w:sz w:val="24"/>
          <w:szCs w:val="24"/>
        </w:rPr>
        <w:t xml:space="preserve">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6BA9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E495F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数据集</w:t>
            </w:r>
          </w:p>
        </w:tc>
        <w:tc>
          <w:tcPr>
            <w:tcW w:w="17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24E6E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图像类型</w:t>
            </w:r>
          </w:p>
        </w:tc>
        <w:tc>
          <w:tcPr>
            <w:tcW w:w="17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D805E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类别数</w:t>
            </w:r>
          </w:p>
        </w:tc>
        <w:tc>
          <w:tcPr>
            <w:tcW w:w="170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64796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测试准确率</w:t>
            </w:r>
          </w:p>
        </w:tc>
        <w:tc>
          <w:tcPr>
            <w:tcW w:w="170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3EB62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难度</w:t>
            </w:r>
          </w:p>
        </w:tc>
      </w:tr>
      <w:tr w14:paraId="5426B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EFF6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MNIST</w:t>
            </w:r>
          </w:p>
        </w:tc>
        <w:tc>
          <w:tcPr>
            <w:tcW w:w="17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7E46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灰度手写数字</w:t>
            </w:r>
          </w:p>
        </w:tc>
        <w:tc>
          <w:tcPr>
            <w:tcW w:w="17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F0AD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70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1B4C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99.26% </w:t>
            </w:r>
          </w:p>
        </w:tc>
        <w:tc>
          <w:tcPr>
            <w:tcW w:w="170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0209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低</w:t>
            </w:r>
          </w:p>
        </w:tc>
      </w:tr>
      <w:tr w14:paraId="3C739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31019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CIFAR-10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7ADEA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彩色自然图像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A2CEA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77791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74.33% 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636C1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高</w:t>
            </w:r>
          </w:p>
        </w:tc>
      </w:tr>
    </w:tbl>
    <w:p w14:paraId="5F78CF1F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2870A6C0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155224EC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1198486A"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八、 结果分析与总结 </w:t>
      </w:r>
    </w:p>
    <w:p w14:paraId="32174C84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</w:rPr>
        <w:t>根据实验过程与数据采集，对关键问题分析如下：</w:t>
      </w:r>
    </w:p>
    <w:p w14:paraId="173E87BB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 w:firstLine="420" w:firstLineChars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训练与验证趋势分析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>：训练 Loss 随着 Epoch 的增加呈现稳步下降的趋势 。同时，验证集的 Accuracy 在初期快速上升，但在后期提升逐渐放缓 。</w:t>
      </w:r>
    </w:p>
    <w:p w14:paraId="4273AF23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 w:firstLine="420" w:firstLineChars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过拟合现象观察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>：在本次基于 MNIST 的 5 轮训练中，训练 Accuracy（99.22%）与验证 Accuracy（98.70%）差距极小。如果后续增加 Epoch，可能出现训练集准确率逼近 100% 而验证集准确率停滞甚至下降的现象，这通常是由模型过拟合（Overfitting）所导致的 。</w:t>
      </w:r>
      <w:bookmarkStart w:id="0" w:name="_GoBack"/>
      <w:bookmarkEnd w:id="0"/>
    </w:p>
    <w:p w14:paraId="058E88E1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 w:firstLine="420" w:firstLineChars="0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易混淆类别分析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>：观察测试集预测结果，视觉结构具有高度相似性的数字最容易被模型误判，例如“3”与“8”、“4”与“9”以及“1”与“7” 。</w:t>
      </w:r>
    </w:p>
    <w:p w14:paraId="145535AE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right="0" w:firstLine="420" w:firstLineChars="0"/>
        <w:jc w:val="left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lang w:val="en-US" w:eastAsia="zh-CN"/>
        </w:rPr>
        <w:t>4、</w:t>
      </w: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数据集难度与网络结构的关联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>：CIFAR-10 的分类难度显著高于 MNIST 。MNIST 背景单一且特征维度低；而 CIFAR-10 包含复杂的自然背景干扰，且具备极高的类内方差（Intra-class variance）。在处理 CIFAR-10 时，增加卷积层数、提升通道维度并引入 Dro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 xml:space="preserve">pout 操作，能够显著增强模型在高维特征空间中的特征表达和抗过拟合能力。 </w:t>
      </w:r>
    </w:p>
    <w:p w14:paraId="25685804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 w:firstLine="420" w:firstLineChars="0"/>
        <w:jc w:val="left"/>
        <w:textAlignment w:val="auto"/>
        <w:rPr>
          <w:rFonts w:hint="eastAsia" w:ascii="宋体" w:hAnsi="宋体" w:eastAsia="宋体" w:cs="宋体"/>
          <w:color w:val="1F1F1F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lang w:val="en-US" w:eastAsia="zh-CN"/>
        </w:rPr>
        <w:t>5、</w:t>
      </w: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网络结构修改与性能分析</w:t>
      </w:r>
      <w:r>
        <w:rPr>
          <w:rFonts w:hint="eastAsia" w:ascii="宋体" w:hAnsi="宋体" w:eastAsia="宋体" w:cs="宋体"/>
          <w:color w:val="1F1F1F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>测试准确率的提升程度取决于所使用的数据集。在 MNIST 这样相对简单的灰度手写数字集上，由于基础网络的准确率已经接近性能瓶颈（通常在 98% 以上），进阶网络带来的准确率提升幅度相对有限（可能仅提升 0.2% 到 0.5%）；但如果是处理 CIFAR-10 这样特征复杂的彩色自然图像，进阶结构的准确率将获得显著且幅度更大的提升 。</w:t>
      </w:r>
      <w:r>
        <w:rPr>
          <w:rFonts w:hint="eastAsia" w:ascii="宋体" w:hAnsi="宋体" w:eastAsia="宋体" w:cs="宋体"/>
          <w:color w:val="1F1F1F"/>
          <w:sz w:val="24"/>
          <w:szCs w:val="24"/>
          <w:lang w:val="en-US" w:eastAsia="zh-CN"/>
        </w:rPr>
        <w:t>原因是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>增加卷积层数和通道数扩展了模型的参数容量和感受野，使得网络能够从底层边缘特征过渡到提取更深层次、更复杂的全局语义特征，从而增强了模型的表达能力 。在全连接层前引入 Dropout 机制，能够让神经元在训练过程中以设定的概率随机失活。这打破了网络节点之间的过度协同适应，强迫模型学习更加独立、鲁棒的特征，有效抑制了深层网络容易出现的过拟合现象，从而显著提高了模型在未见过的测试集上的泛化能力</w:t>
      </w:r>
      <w:r>
        <w:rPr>
          <w:rFonts w:hint="eastAsia" w:ascii="宋体" w:hAnsi="宋体" w:eastAsia="宋体" w:cs="宋体"/>
          <w:color w:val="1F1F1F"/>
          <w:sz w:val="24"/>
          <w:szCs w:val="24"/>
          <w:lang w:eastAsia="zh-CN"/>
        </w:rPr>
        <w:t>。</w:t>
      </w:r>
    </w:p>
    <w:p w14:paraId="7BF43776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 w:firstLine="420" w:firstLineChars="0"/>
        <w:jc w:val="left"/>
        <w:textAlignment w:val="auto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F1F1F"/>
          <w:sz w:val="24"/>
          <w:szCs w:val="24"/>
          <w:lang w:val="en-US" w:eastAsia="zh-CN"/>
        </w:rPr>
        <w:t>6、</w:t>
      </w:r>
      <w:r>
        <w:rPr>
          <w:rFonts w:hint="eastAsia" w:ascii="宋体" w:hAnsi="宋体" w:eastAsia="宋体" w:cs="宋体"/>
          <w:b/>
          <w:bCs/>
          <w:color w:val="1F1F1F"/>
          <w:sz w:val="24"/>
          <w:szCs w:val="24"/>
        </w:rPr>
        <w:t>不同优化器对训练效果的影响</w:t>
      </w:r>
      <w:r>
        <w:rPr>
          <w:rFonts w:hint="eastAsia" w:ascii="宋体" w:hAnsi="宋体" w:eastAsia="宋体" w:cs="宋体"/>
          <w:color w:val="1F1F1F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1F1F1F"/>
          <w:sz w:val="24"/>
          <w:szCs w:val="24"/>
        </w:rPr>
        <w:t>Adam 优化器在训练初期的收敛速度通常远快于 SGD。由于本实验仅设置了较短的 5 个 Epoch 训练周期，Adam 往往能迅速将 Loss 降至较低水平并取得较高的测试准确率。而 SGD 在缺乏多阶段学习率调度的情况下，前几轮的更新步伐相对保守，准确率上升较为缓慢，因此在短轮次测试中的表现通常劣于 Adam 。Adam 能够根据梯度的一阶矩估计和二阶矩估计，为网络中的每个参数动态、自适应地计算独立的学习率。因此它不仅训练高效，而且对初始学习率不那么敏感（通常设定为 0.001 即可实现极佳效果） 。SGD 则是对所有参数应用相同的全局学习率。它的训练效果极其依赖于初始学习率的设定（通常需要设定较大的值如 0.01）和动量参数 。如果学习率过大，容易在最优点附近剧烈震荡；如果过小，则容易陷入局部最优且更新极慢。</w:t>
      </w:r>
    </w:p>
    <w:p w14:paraId="7557F887">
      <w:pPr>
        <w:pStyle w:val="5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0" w:line="240" w:lineRule="atLeast"/>
        <w:ind w:left="0" w:right="0"/>
        <w:jc w:val="left"/>
        <w:textAlignment w:val="auto"/>
        <w:rPr>
          <w:rFonts w:hint="eastAsia" w:ascii="宋体" w:hAnsi="宋体" w:eastAsia="宋体" w:cs="宋体"/>
          <w:color w:val="1F1F1F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77D058"/>
    <w:multiLevelType w:val="multilevel"/>
    <w:tmpl w:val="E177D0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CF90C42"/>
    <w:multiLevelType w:val="singleLevel"/>
    <w:tmpl w:val="0CF90C42"/>
    <w:lvl w:ilvl="0" w:tentative="0">
      <w:start w:val="7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7A4B55"/>
    <w:rsid w:val="5E690C50"/>
    <w:rsid w:val="64DC1D80"/>
    <w:rsid w:val="69BB533F"/>
    <w:rsid w:val="6A18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tLeast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2070</Words>
  <Characters>2930</Characters>
  <Lines>0</Lines>
  <Paragraphs>0</Paragraphs>
  <TotalTime>11</TotalTime>
  <ScaleCrop>false</ScaleCrop>
  <LinksUpToDate>false</LinksUpToDate>
  <CharactersWithSpaces>3225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2026-05-15T06:25:00Z</dcterms:created>
  <dc:creator>ptz</dc:creator>
  <cp:lastModifiedBy>WPS_1181409077</cp:lastModifiedBy>
  <dcterms:modified xsi:type="dcterms:W3CDTF">2026-05-15T07:30:04Z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eyJoZGlkIjoiMzBmN2RkMDUwNzlkMzQ3MDA1ZDgwNGZmMzU5YjlmMGMiLCJ1c2VySWQiOiIxMTgxNDA5MDc3In0=</vt:lpwstr>
  </property>
  <property fmtid="{D5CDD505-2E9C-101B-9397-08002B2CF9AE}" pid="4" name="ICV">
    <vt:lpwstr>AF730ED83839448C80524161333BD41A_12</vt:lpwstr>
  </property>
</Properties>
</file>