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1E3A7B">
      <w:pPr>
        <w:ind w:left="0" w:leftChars="0" w:firstLine="0" w:firstLineChars="0"/>
        <w:jc w:val="center"/>
      </w:pPr>
      <w:r>
        <w:rPr>
          <w:rFonts w:ascii="宋体" w:hAnsi="宋体" w:eastAsia="宋体"/>
          <w:b/>
          <w:color w:val="000000"/>
          <w:sz w:val="32"/>
        </w:rPr>
        <w:t>第10次实验报告：CNN训练过程与模型分析</w:t>
      </w:r>
    </w:p>
    <w:p w14:paraId="649B7F7A">
      <w:pPr>
        <w:ind w:left="0" w:leftChars="0" w:firstLine="0" w:firstLineChars="0"/>
        <w:jc w:val="center"/>
      </w:pPr>
      <w:r>
        <w:rPr>
          <w:rFonts w:ascii="宋体" w:hAnsi="宋体" w:eastAsia="宋体"/>
          <w:color w:val="000000"/>
          <w:sz w:val="21"/>
        </w:rPr>
        <w:t>姓名：沈嘉克    学号：2023101143</w:t>
      </w:r>
    </w:p>
    <w:p w14:paraId="190D9444">
      <w:pPr>
        <w:pStyle w:val="3"/>
        <w:ind w:left="0" w:leftChars="0" w:firstLine="0" w:firstLineChars="0"/>
      </w:pPr>
      <w:r>
        <w:rPr>
          <w:rFonts w:ascii="宋体" w:hAnsi="宋体" w:eastAsia="宋体"/>
          <w:b/>
          <w:color w:val="000000"/>
        </w:rPr>
        <w:t>一、实验目的</w:t>
      </w:r>
    </w:p>
    <w:p w14:paraId="54F75F4C">
      <w:r>
        <w:rPr>
          <w:rFonts w:ascii="宋体" w:hAnsi="宋体" w:eastAsia="宋体"/>
          <w:color w:val="000000"/>
        </w:rPr>
        <w:t>本实验在上次 CNN 图像分类实验基础上，使用 MNIST 数据集和相同 CNN 结构，比较不同优化器与学习率对训练效果的影响，并通过卷积核、feature maps、错误样本和混淆矩阵分析模型表现。</w:t>
      </w:r>
      <w:bookmarkStart w:id="0" w:name="_GoBack"/>
      <w:bookmarkEnd w:id="0"/>
    </w:p>
    <w:p w14:paraId="4DDBB5DF">
      <w:pPr>
        <w:pStyle w:val="3"/>
        <w:ind w:left="0" w:leftChars="0" w:firstLine="0" w:firstLineChars="0"/>
      </w:pPr>
      <w:r>
        <w:rPr>
          <w:rFonts w:ascii="宋体" w:hAnsi="宋体" w:eastAsia="宋体"/>
          <w:b/>
          <w:color w:val="000000"/>
        </w:rPr>
        <w:t>二、实验环境与模型</w:t>
      </w:r>
    </w:p>
    <w:p w14:paraId="66B6D36D">
      <w:r>
        <w:rPr>
          <w:rFonts w:ascii="宋体" w:hAnsi="宋体" w:eastAsia="宋体"/>
          <w:color w:val="000000"/>
        </w:rPr>
        <w:t>运行设备为 cpu，训练轮数为 5，batch size 为 64，验证集大小为 10000。</w:t>
      </w:r>
    </w:p>
    <w:p w14:paraId="1807ED70">
      <w:r>
        <w:rPr>
          <w:rFonts w:ascii="宋体" w:hAnsi="宋体" w:eastAsia="宋体"/>
          <w:color w:val="000000"/>
        </w:rPr>
        <w:t>模型结构保持不变：两层卷积层分别输出 16 和 32 个通道，每层卷积后接 ReLU 和最大池化；分类器由 Flatten、128 维全连接层、ReLU、Dropout 和 10 类输出层组成。</w:t>
      </w:r>
    </w:p>
    <w:p w14:paraId="5FDADE2A">
      <w:r>
        <w:rPr>
          <w:rFonts w:ascii="宋体" w:hAnsi="宋体" w:eastAsia="宋体"/>
          <w:color w:val="000000"/>
        </w:rPr>
        <w:t>为了使优化器和学习率的影响可以直接比较，实验中除优化器类型或学习率外，其余条件均保持一致，包括数据集划分、训练轮数、batch size、损失函数和网络结构。训练集用于更新模型参数，验证集用于观察训练过程中的泛化表现，测试集只在每组训练完成后用于最终评价。这样可以尽量减少无关变量对结果的影响，使表格和曲线反映的主要差异来自训练策略本身。</w:t>
      </w:r>
    </w:p>
    <w:p w14:paraId="1EA9410A">
      <w:pPr>
        <w:jc w:val="center"/>
      </w:pPr>
      <w:r>
        <w:rPr>
          <w:rFonts w:ascii="宋体" w:hAnsi="宋体" w:eastAsia="宋体"/>
          <w:color w:val="000000"/>
        </w:rPr>
        <w:drawing>
          <wp:inline distT="0" distB="0" distL="114300" distR="114300">
            <wp:extent cx="5120640" cy="2047875"/>
            <wp:effectExtent l="0" t="0" r="1016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120640" cy="2048256"/>
                    </a:xfrm>
                    <a:prstGeom prst="rect">
                      <a:avLst/>
                    </a:prstGeom>
                  </pic:spPr>
                </pic:pic>
              </a:graphicData>
            </a:graphic>
          </wp:inline>
        </w:drawing>
      </w:r>
    </w:p>
    <w:p w14:paraId="106F0E21">
      <w:pPr>
        <w:pStyle w:val="3"/>
        <w:ind w:left="0" w:leftChars="0" w:firstLine="0" w:firstLineChars="0"/>
      </w:pPr>
      <w:r>
        <w:rPr>
          <w:rFonts w:ascii="宋体" w:hAnsi="宋体" w:eastAsia="宋体"/>
          <w:b/>
          <w:color w:val="000000"/>
        </w:rPr>
        <w:t>三、优化器对比</w:t>
      </w:r>
      <w:r>
        <w:rPr>
          <w:rFonts w:ascii="宋体" w:hAnsi="宋体" w:eastAsia="宋体"/>
          <w:b/>
          <w:color w:val="000000"/>
        </w:rPr>
        <w:br w:type="textWrapping"/>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4"/>
        <w:gridCol w:w="1234"/>
        <w:gridCol w:w="1234"/>
        <w:gridCol w:w="1234"/>
        <w:gridCol w:w="1234"/>
        <w:gridCol w:w="1234"/>
        <w:gridCol w:w="1234"/>
      </w:tblGrid>
      <w:tr w14:paraId="46041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2E7965ED">
            <w:pPr>
              <w:spacing w:after="0" w:line="240" w:lineRule="auto"/>
              <w:rPr>
                <w:sz w:val="21"/>
                <w:szCs w:val="22"/>
              </w:rPr>
            </w:pPr>
            <w:r>
              <w:rPr>
                <w:rFonts w:ascii="宋体" w:hAnsi="宋体" w:eastAsia="宋体"/>
                <w:color w:val="000000"/>
                <w:sz w:val="16"/>
                <w:szCs w:val="22"/>
              </w:rPr>
              <w:t>优化器</w:t>
            </w:r>
          </w:p>
        </w:tc>
        <w:tc>
          <w:tcPr>
            <w:tcW w:w="792" w:type="dxa"/>
          </w:tcPr>
          <w:p w14:paraId="581DBAB0">
            <w:pPr>
              <w:spacing w:after="0" w:line="240" w:lineRule="auto"/>
              <w:rPr>
                <w:rFonts w:hint="eastAsia" w:eastAsia="宋体"/>
                <w:sz w:val="21"/>
                <w:szCs w:val="22"/>
                <w:lang w:val="en-US" w:eastAsia="zh-CN"/>
              </w:rPr>
            </w:pPr>
            <w:r>
              <w:rPr>
                <w:rFonts w:hint="eastAsia"/>
                <w:color w:val="000000"/>
                <w:sz w:val="16"/>
                <w:szCs w:val="22"/>
                <w:lang w:val="en-US" w:eastAsia="zh-CN"/>
              </w:rPr>
              <w:t>学习率</w:t>
            </w:r>
          </w:p>
        </w:tc>
        <w:tc>
          <w:tcPr>
            <w:tcW w:w="1181" w:type="dxa"/>
          </w:tcPr>
          <w:p w14:paraId="41324DF3">
            <w:pPr>
              <w:spacing w:after="0" w:line="240" w:lineRule="auto"/>
              <w:rPr>
                <w:sz w:val="21"/>
                <w:szCs w:val="22"/>
              </w:rPr>
            </w:pPr>
            <w:r>
              <w:rPr>
                <w:rFonts w:ascii="宋体" w:hAnsi="宋体" w:eastAsia="宋体"/>
                <w:color w:val="000000"/>
                <w:sz w:val="16"/>
                <w:szCs w:val="22"/>
              </w:rPr>
              <w:t>训练Loss</w:t>
            </w:r>
          </w:p>
        </w:tc>
        <w:tc>
          <w:tcPr>
            <w:tcW w:w="1181" w:type="dxa"/>
          </w:tcPr>
          <w:p w14:paraId="5F5E3ADC">
            <w:pPr>
              <w:spacing w:after="0" w:line="240" w:lineRule="auto"/>
              <w:rPr>
                <w:sz w:val="21"/>
                <w:szCs w:val="22"/>
              </w:rPr>
            </w:pPr>
            <w:r>
              <w:rPr>
                <w:rFonts w:ascii="宋体" w:hAnsi="宋体" w:eastAsia="宋体"/>
                <w:color w:val="000000"/>
                <w:sz w:val="16"/>
                <w:szCs w:val="22"/>
              </w:rPr>
              <w:t>验证Loss</w:t>
            </w:r>
          </w:p>
        </w:tc>
        <w:tc>
          <w:tcPr>
            <w:tcW w:w="1123" w:type="dxa"/>
          </w:tcPr>
          <w:p w14:paraId="34F16793">
            <w:pPr>
              <w:spacing w:after="0" w:line="240" w:lineRule="auto"/>
              <w:rPr>
                <w:sz w:val="21"/>
                <w:szCs w:val="22"/>
              </w:rPr>
            </w:pPr>
            <w:r>
              <w:rPr>
                <w:rFonts w:ascii="宋体" w:hAnsi="宋体" w:eastAsia="宋体"/>
                <w:color w:val="000000"/>
                <w:sz w:val="16"/>
                <w:szCs w:val="22"/>
              </w:rPr>
              <w:t>训练Acc</w:t>
            </w:r>
          </w:p>
        </w:tc>
        <w:tc>
          <w:tcPr>
            <w:tcW w:w="1123" w:type="dxa"/>
          </w:tcPr>
          <w:p w14:paraId="1BBFDABF">
            <w:pPr>
              <w:spacing w:after="0" w:line="240" w:lineRule="auto"/>
              <w:rPr>
                <w:sz w:val="21"/>
                <w:szCs w:val="22"/>
              </w:rPr>
            </w:pPr>
            <w:r>
              <w:rPr>
                <w:rFonts w:ascii="宋体" w:hAnsi="宋体" w:eastAsia="宋体"/>
                <w:color w:val="000000"/>
                <w:sz w:val="16"/>
                <w:szCs w:val="22"/>
              </w:rPr>
              <w:t>验证Acc</w:t>
            </w:r>
          </w:p>
        </w:tc>
        <w:tc>
          <w:tcPr>
            <w:tcW w:w="1123" w:type="dxa"/>
          </w:tcPr>
          <w:p w14:paraId="56AE90D5">
            <w:pPr>
              <w:spacing w:after="0" w:line="240" w:lineRule="auto"/>
              <w:rPr>
                <w:sz w:val="21"/>
                <w:szCs w:val="22"/>
              </w:rPr>
            </w:pPr>
            <w:r>
              <w:rPr>
                <w:rFonts w:ascii="宋体" w:hAnsi="宋体" w:eastAsia="宋体"/>
                <w:color w:val="000000"/>
                <w:sz w:val="16"/>
                <w:szCs w:val="22"/>
              </w:rPr>
              <w:t>测试Acc</w:t>
            </w:r>
          </w:p>
        </w:tc>
      </w:tr>
      <w:tr w14:paraId="0A16A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2CF4547E">
            <w:pPr>
              <w:spacing w:after="0" w:line="240" w:lineRule="auto"/>
              <w:rPr>
                <w:sz w:val="21"/>
                <w:szCs w:val="22"/>
              </w:rPr>
            </w:pPr>
            <w:r>
              <w:rPr>
                <w:rFonts w:ascii="宋体" w:hAnsi="宋体" w:eastAsia="宋体"/>
                <w:color w:val="000000"/>
                <w:sz w:val="16"/>
                <w:szCs w:val="22"/>
              </w:rPr>
              <w:t>SGD</w:t>
            </w:r>
          </w:p>
        </w:tc>
        <w:tc>
          <w:tcPr>
            <w:tcW w:w="792" w:type="dxa"/>
          </w:tcPr>
          <w:p w14:paraId="15DE147B">
            <w:pPr>
              <w:spacing w:after="0" w:line="240" w:lineRule="auto"/>
              <w:rPr>
                <w:sz w:val="21"/>
                <w:szCs w:val="22"/>
              </w:rPr>
            </w:pPr>
            <w:r>
              <w:rPr>
                <w:rFonts w:ascii="宋体" w:hAnsi="宋体" w:eastAsia="宋体"/>
                <w:color w:val="000000"/>
                <w:sz w:val="16"/>
                <w:szCs w:val="22"/>
              </w:rPr>
              <w:t>0.01</w:t>
            </w:r>
          </w:p>
        </w:tc>
        <w:tc>
          <w:tcPr>
            <w:tcW w:w="1181" w:type="dxa"/>
          </w:tcPr>
          <w:p w14:paraId="0CC8ACB4">
            <w:pPr>
              <w:spacing w:after="0" w:line="240" w:lineRule="auto"/>
              <w:rPr>
                <w:sz w:val="21"/>
                <w:szCs w:val="22"/>
              </w:rPr>
            </w:pPr>
            <w:r>
              <w:rPr>
                <w:rFonts w:ascii="宋体" w:hAnsi="宋体" w:eastAsia="宋体"/>
                <w:color w:val="000000"/>
                <w:sz w:val="16"/>
                <w:szCs w:val="22"/>
              </w:rPr>
              <w:t>0.1097</w:t>
            </w:r>
          </w:p>
        </w:tc>
        <w:tc>
          <w:tcPr>
            <w:tcW w:w="1181" w:type="dxa"/>
          </w:tcPr>
          <w:p w14:paraId="6E2C0BCE">
            <w:pPr>
              <w:spacing w:after="0" w:line="240" w:lineRule="auto"/>
              <w:rPr>
                <w:sz w:val="21"/>
                <w:szCs w:val="22"/>
              </w:rPr>
            </w:pPr>
            <w:r>
              <w:rPr>
                <w:rFonts w:ascii="宋体" w:hAnsi="宋体" w:eastAsia="宋体"/>
                <w:color w:val="000000"/>
                <w:sz w:val="16"/>
                <w:szCs w:val="22"/>
              </w:rPr>
              <w:t>0.0883</w:t>
            </w:r>
          </w:p>
        </w:tc>
        <w:tc>
          <w:tcPr>
            <w:tcW w:w="1123" w:type="dxa"/>
          </w:tcPr>
          <w:p w14:paraId="0AABB797">
            <w:pPr>
              <w:spacing w:after="0" w:line="240" w:lineRule="auto"/>
              <w:rPr>
                <w:sz w:val="21"/>
                <w:szCs w:val="22"/>
              </w:rPr>
            </w:pPr>
            <w:r>
              <w:rPr>
                <w:rFonts w:ascii="宋体" w:hAnsi="宋体" w:eastAsia="宋体"/>
                <w:color w:val="000000"/>
                <w:sz w:val="16"/>
                <w:szCs w:val="22"/>
              </w:rPr>
              <w:t>96.67%</w:t>
            </w:r>
          </w:p>
        </w:tc>
        <w:tc>
          <w:tcPr>
            <w:tcW w:w="1123" w:type="dxa"/>
          </w:tcPr>
          <w:p w14:paraId="0E52D725">
            <w:pPr>
              <w:spacing w:after="0" w:line="240" w:lineRule="auto"/>
              <w:rPr>
                <w:sz w:val="21"/>
                <w:szCs w:val="22"/>
              </w:rPr>
            </w:pPr>
            <w:r>
              <w:rPr>
                <w:rFonts w:ascii="宋体" w:hAnsi="宋体" w:eastAsia="宋体"/>
                <w:color w:val="000000"/>
                <w:sz w:val="16"/>
                <w:szCs w:val="22"/>
              </w:rPr>
              <w:t>97.26%</w:t>
            </w:r>
          </w:p>
        </w:tc>
        <w:tc>
          <w:tcPr>
            <w:tcW w:w="1123" w:type="dxa"/>
          </w:tcPr>
          <w:p w14:paraId="0ACE8FEF">
            <w:pPr>
              <w:spacing w:after="0" w:line="240" w:lineRule="auto"/>
              <w:rPr>
                <w:sz w:val="21"/>
                <w:szCs w:val="22"/>
              </w:rPr>
            </w:pPr>
            <w:r>
              <w:rPr>
                <w:rFonts w:ascii="宋体" w:hAnsi="宋体" w:eastAsia="宋体"/>
                <w:color w:val="000000"/>
                <w:sz w:val="16"/>
                <w:szCs w:val="22"/>
              </w:rPr>
              <w:t>97.84%</w:t>
            </w:r>
          </w:p>
        </w:tc>
      </w:tr>
      <w:tr w14:paraId="4A371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1BAB454C">
            <w:pPr>
              <w:spacing w:after="0" w:line="240" w:lineRule="auto"/>
              <w:rPr>
                <w:sz w:val="21"/>
                <w:szCs w:val="22"/>
              </w:rPr>
            </w:pPr>
            <w:r>
              <w:rPr>
                <w:rFonts w:ascii="宋体" w:hAnsi="宋体" w:eastAsia="宋体"/>
                <w:color w:val="000000"/>
                <w:sz w:val="16"/>
                <w:szCs w:val="22"/>
              </w:rPr>
              <w:t>SGD+动量</w:t>
            </w:r>
          </w:p>
        </w:tc>
        <w:tc>
          <w:tcPr>
            <w:tcW w:w="792" w:type="dxa"/>
          </w:tcPr>
          <w:p w14:paraId="573C2E6B">
            <w:pPr>
              <w:spacing w:after="0" w:line="240" w:lineRule="auto"/>
              <w:rPr>
                <w:sz w:val="21"/>
                <w:szCs w:val="22"/>
              </w:rPr>
            </w:pPr>
            <w:r>
              <w:rPr>
                <w:rFonts w:ascii="宋体" w:hAnsi="宋体" w:eastAsia="宋体"/>
                <w:color w:val="000000"/>
                <w:sz w:val="16"/>
                <w:szCs w:val="22"/>
              </w:rPr>
              <w:t>0.01</w:t>
            </w:r>
          </w:p>
        </w:tc>
        <w:tc>
          <w:tcPr>
            <w:tcW w:w="1181" w:type="dxa"/>
          </w:tcPr>
          <w:p w14:paraId="31D3EE31">
            <w:pPr>
              <w:spacing w:after="0" w:line="240" w:lineRule="auto"/>
              <w:rPr>
                <w:sz w:val="21"/>
                <w:szCs w:val="22"/>
              </w:rPr>
            </w:pPr>
            <w:r>
              <w:rPr>
                <w:rFonts w:ascii="宋体" w:hAnsi="宋体" w:eastAsia="宋体"/>
                <w:color w:val="000000"/>
                <w:sz w:val="16"/>
                <w:szCs w:val="22"/>
              </w:rPr>
              <w:t>0.0398</w:t>
            </w:r>
          </w:p>
        </w:tc>
        <w:tc>
          <w:tcPr>
            <w:tcW w:w="1181" w:type="dxa"/>
          </w:tcPr>
          <w:p w14:paraId="0452E115">
            <w:pPr>
              <w:spacing w:after="0" w:line="240" w:lineRule="auto"/>
              <w:rPr>
                <w:sz w:val="21"/>
                <w:szCs w:val="22"/>
              </w:rPr>
            </w:pPr>
            <w:r>
              <w:rPr>
                <w:rFonts w:ascii="宋体" w:hAnsi="宋体" w:eastAsia="宋体"/>
                <w:color w:val="000000"/>
                <w:sz w:val="16"/>
                <w:szCs w:val="22"/>
              </w:rPr>
              <w:t>0.0410</w:t>
            </w:r>
          </w:p>
        </w:tc>
        <w:tc>
          <w:tcPr>
            <w:tcW w:w="1123" w:type="dxa"/>
          </w:tcPr>
          <w:p w14:paraId="10DD7C60">
            <w:pPr>
              <w:spacing w:after="0" w:line="240" w:lineRule="auto"/>
              <w:rPr>
                <w:sz w:val="21"/>
                <w:szCs w:val="22"/>
              </w:rPr>
            </w:pPr>
            <w:r>
              <w:rPr>
                <w:rFonts w:ascii="宋体" w:hAnsi="宋体" w:eastAsia="宋体"/>
                <w:color w:val="000000"/>
                <w:sz w:val="16"/>
                <w:szCs w:val="22"/>
              </w:rPr>
              <w:t>98.72%</w:t>
            </w:r>
          </w:p>
        </w:tc>
        <w:tc>
          <w:tcPr>
            <w:tcW w:w="1123" w:type="dxa"/>
          </w:tcPr>
          <w:p w14:paraId="39694E43">
            <w:pPr>
              <w:spacing w:after="0" w:line="240" w:lineRule="auto"/>
              <w:rPr>
                <w:sz w:val="21"/>
                <w:szCs w:val="22"/>
              </w:rPr>
            </w:pPr>
            <w:r>
              <w:rPr>
                <w:rFonts w:ascii="宋体" w:hAnsi="宋体" w:eastAsia="宋体"/>
                <w:color w:val="000000"/>
                <w:sz w:val="16"/>
                <w:szCs w:val="22"/>
              </w:rPr>
              <w:t>98.75%</w:t>
            </w:r>
          </w:p>
        </w:tc>
        <w:tc>
          <w:tcPr>
            <w:tcW w:w="1123" w:type="dxa"/>
          </w:tcPr>
          <w:p w14:paraId="08E7ABF1">
            <w:pPr>
              <w:spacing w:after="0" w:line="240" w:lineRule="auto"/>
              <w:rPr>
                <w:sz w:val="21"/>
                <w:szCs w:val="22"/>
              </w:rPr>
            </w:pPr>
            <w:r>
              <w:rPr>
                <w:rFonts w:ascii="宋体" w:hAnsi="宋体" w:eastAsia="宋体"/>
                <w:color w:val="000000"/>
                <w:sz w:val="16"/>
                <w:szCs w:val="22"/>
              </w:rPr>
              <w:t>99.06%</w:t>
            </w:r>
          </w:p>
        </w:tc>
      </w:tr>
      <w:tr w14:paraId="15FB1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6D1232FF">
            <w:pPr>
              <w:spacing w:after="0" w:line="240" w:lineRule="auto"/>
              <w:rPr>
                <w:sz w:val="21"/>
                <w:szCs w:val="22"/>
              </w:rPr>
            </w:pPr>
            <w:r>
              <w:rPr>
                <w:rFonts w:ascii="宋体" w:hAnsi="宋体" w:eastAsia="宋体"/>
                <w:color w:val="000000"/>
                <w:sz w:val="16"/>
                <w:szCs w:val="22"/>
              </w:rPr>
              <w:t>Adam</w:t>
            </w:r>
          </w:p>
        </w:tc>
        <w:tc>
          <w:tcPr>
            <w:tcW w:w="792" w:type="dxa"/>
          </w:tcPr>
          <w:p w14:paraId="1D66E430">
            <w:pPr>
              <w:spacing w:after="0" w:line="240" w:lineRule="auto"/>
              <w:rPr>
                <w:sz w:val="21"/>
                <w:szCs w:val="22"/>
              </w:rPr>
            </w:pPr>
            <w:r>
              <w:rPr>
                <w:rFonts w:ascii="宋体" w:hAnsi="宋体" w:eastAsia="宋体"/>
                <w:color w:val="000000"/>
                <w:sz w:val="16"/>
                <w:szCs w:val="22"/>
              </w:rPr>
              <w:t>0.01</w:t>
            </w:r>
          </w:p>
        </w:tc>
        <w:tc>
          <w:tcPr>
            <w:tcW w:w="1181" w:type="dxa"/>
          </w:tcPr>
          <w:p w14:paraId="78A42869">
            <w:pPr>
              <w:spacing w:after="0" w:line="240" w:lineRule="auto"/>
              <w:rPr>
                <w:sz w:val="21"/>
                <w:szCs w:val="22"/>
              </w:rPr>
            </w:pPr>
            <w:r>
              <w:rPr>
                <w:rFonts w:ascii="宋体" w:hAnsi="宋体" w:eastAsia="宋体"/>
                <w:color w:val="000000"/>
                <w:sz w:val="16"/>
                <w:szCs w:val="22"/>
              </w:rPr>
              <w:t>0.0941</w:t>
            </w:r>
          </w:p>
        </w:tc>
        <w:tc>
          <w:tcPr>
            <w:tcW w:w="1181" w:type="dxa"/>
          </w:tcPr>
          <w:p w14:paraId="287123DF">
            <w:pPr>
              <w:spacing w:after="0" w:line="240" w:lineRule="auto"/>
              <w:rPr>
                <w:sz w:val="21"/>
                <w:szCs w:val="22"/>
              </w:rPr>
            </w:pPr>
            <w:r>
              <w:rPr>
                <w:rFonts w:ascii="宋体" w:hAnsi="宋体" w:eastAsia="宋体"/>
                <w:color w:val="000000"/>
                <w:sz w:val="16"/>
                <w:szCs w:val="22"/>
              </w:rPr>
              <w:t>0.0920</w:t>
            </w:r>
          </w:p>
        </w:tc>
        <w:tc>
          <w:tcPr>
            <w:tcW w:w="1123" w:type="dxa"/>
          </w:tcPr>
          <w:p w14:paraId="0766BB60">
            <w:pPr>
              <w:spacing w:after="0" w:line="240" w:lineRule="auto"/>
              <w:rPr>
                <w:sz w:val="21"/>
                <w:szCs w:val="22"/>
              </w:rPr>
            </w:pPr>
            <w:r>
              <w:rPr>
                <w:rFonts w:ascii="宋体" w:hAnsi="宋体" w:eastAsia="宋体"/>
                <w:color w:val="000000"/>
                <w:sz w:val="16"/>
                <w:szCs w:val="22"/>
              </w:rPr>
              <w:t>97.36%</w:t>
            </w:r>
          </w:p>
        </w:tc>
        <w:tc>
          <w:tcPr>
            <w:tcW w:w="1123" w:type="dxa"/>
          </w:tcPr>
          <w:p w14:paraId="6534C71C">
            <w:pPr>
              <w:spacing w:after="0" w:line="240" w:lineRule="auto"/>
              <w:rPr>
                <w:sz w:val="21"/>
                <w:szCs w:val="22"/>
              </w:rPr>
            </w:pPr>
            <w:r>
              <w:rPr>
                <w:rFonts w:ascii="宋体" w:hAnsi="宋体" w:eastAsia="宋体"/>
                <w:color w:val="000000"/>
                <w:sz w:val="16"/>
                <w:szCs w:val="22"/>
              </w:rPr>
              <w:t>97.62%</w:t>
            </w:r>
          </w:p>
        </w:tc>
        <w:tc>
          <w:tcPr>
            <w:tcW w:w="1123" w:type="dxa"/>
          </w:tcPr>
          <w:p w14:paraId="4B33A54C">
            <w:pPr>
              <w:spacing w:after="0" w:line="240" w:lineRule="auto"/>
              <w:rPr>
                <w:sz w:val="21"/>
                <w:szCs w:val="22"/>
              </w:rPr>
            </w:pPr>
            <w:r>
              <w:rPr>
                <w:rFonts w:ascii="宋体" w:hAnsi="宋体" w:eastAsia="宋体"/>
                <w:color w:val="000000"/>
                <w:sz w:val="16"/>
                <w:szCs w:val="22"/>
              </w:rPr>
              <w:t>97.84%</w:t>
            </w:r>
          </w:p>
        </w:tc>
      </w:tr>
    </w:tbl>
    <w:p w14:paraId="62762F71">
      <w:pPr>
        <w:ind w:firstLine="643"/>
      </w:pPr>
      <w:r>
        <w:rPr>
          <w:rFonts w:ascii="宋体" w:hAnsi="宋体" w:eastAsia="宋体"/>
          <w:color w:val="000000"/>
        </w:rPr>
        <w:br w:type="textWrapping"/>
      </w:r>
      <w:r>
        <w:rPr>
          <w:rFonts w:hint="eastAsia"/>
          <w:color w:val="000000"/>
          <w:lang w:val="en-US" w:eastAsia="zh-CN"/>
        </w:rPr>
        <w:t xml:space="preserve">    </w:t>
      </w:r>
      <w:r>
        <w:rPr>
          <w:rFonts w:ascii="宋体" w:hAnsi="宋体" w:eastAsia="宋体"/>
          <w:color w:val="000000"/>
        </w:rPr>
        <w:t>在相同 CNN 结构和相同数据集上，三种优化器的学习率均设为 0.01。从训练损失看，SGD 第 5 轮训练 Loss 为 0.1097，验证 Loss 为 0.0883，收敛稳定但下降速度偏慢；SGD+Momentum 第 5 轮训练 Loss 降至 0.0398，验证 Loss 为 0.0410，测试准确率达到 99.06%，说明动量项能够利用历史梯度方向，加快收敛并取得更好的泛化效果；Adam 在学习率 0.01 下训练 Loss 为 0.0941，验证 Loss 为 0.0920，测试准确率为 97.84%，虽然自适应更新可以较快进入可用状态，但在本实验设置下不如 SGD+Momentum 稳定。综合比较，SGD+Momentum 在损失、验证准确率和测试准确率上都最优。</w:t>
      </w:r>
    </w:p>
    <w:p w14:paraId="63FB98C0">
      <w:r>
        <w:rPr>
          <w:rFonts w:ascii="宋体" w:hAnsi="宋体" w:eastAsia="宋体"/>
          <w:color w:val="000000"/>
        </w:rPr>
        <w:t>从曲线趋势看，SGD 的训练 Loss 和验证 Loss 都在持续下降，说明模型能够正常学习，但到第 5 轮时测试准确率为 97.84%，仍低于 SGD+Momentum。原因是普通 SGD 每次主要沿当前 mini-batch 梯度方向更新，当梯度方向存在抖动时，参数下降路径会比较曲折，因此前期收敛速度相对慢。</w:t>
      </w:r>
    </w:p>
    <w:p w14:paraId="09CC7558">
      <w:r>
        <w:rPr>
          <w:rFonts w:ascii="宋体" w:hAnsi="宋体" w:eastAsia="宋体"/>
          <w:color w:val="000000"/>
        </w:rPr>
        <w:t>SGD+Momentum 的优势体现在两个方面：一是训练 Loss 从最终数值看低于 SGD，二是验证 Loss 也保持在 0.0410，没有出现明显的训练集下降而验证集恶化现象。动量项相当于在更新时加入历史梯度的累积方向，能够增强稳定下降方向，削弱局部震荡，因此在本实验的 5 轮训练内就取得了最高的验证准确率和测试准确率。</w:t>
      </w:r>
    </w:p>
    <w:p w14:paraId="145BCB73">
      <w:r>
        <w:rPr>
          <w:rFonts w:ascii="宋体" w:hAnsi="宋体" w:eastAsia="宋体"/>
          <w:color w:val="000000"/>
        </w:rPr>
        <w:t>Adam 在学习率 0.01 下的测试准确率为 97.84%，与 SGD 接近，但低于 SGD+Momentum。这说明自适应学习率并不一定在所有设置下都优于动量 SGD。对于本实验这样结构较浅、数据较规整的 MNIST 分类任务，较大的 Adam 学习率会使更新步长偏激进，训练后期曲线波动更明显，因此最终效果没有 0.001 学习率下的 Adam 稳定。</w:t>
      </w:r>
    </w:p>
    <w:p w14:paraId="043B94D4">
      <w:pPr>
        <w:jc w:val="center"/>
      </w:pPr>
      <w:r>
        <w:rPr>
          <w:rFonts w:ascii="宋体" w:hAnsi="宋体" w:eastAsia="宋体"/>
          <w:color w:val="000000"/>
        </w:rPr>
        <w:drawing>
          <wp:inline distT="0" distB="0" distL="114300" distR="114300">
            <wp:extent cx="5303520" cy="3181985"/>
            <wp:effectExtent l="0" t="0" r="508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3182112"/>
                    </a:xfrm>
                    <a:prstGeom prst="rect">
                      <a:avLst/>
                    </a:prstGeom>
                  </pic:spPr>
                </pic:pic>
              </a:graphicData>
            </a:graphic>
          </wp:inline>
        </w:drawing>
      </w:r>
    </w:p>
    <w:p w14:paraId="0EAAF730">
      <w:pPr>
        <w:jc w:val="center"/>
      </w:pPr>
      <w:r>
        <w:rPr>
          <w:rFonts w:ascii="宋体" w:hAnsi="宋体" w:eastAsia="宋体"/>
          <w:color w:val="000000"/>
        </w:rPr>
        <w:drawing>
          <wp:inline distT="0" distB="0" distL="114300" distR="114300">
            <wp:extent cx="5303520" cy="3181985"/>
            <wp:effectExtent l="0" t="0" r="508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3182112"/>
                    </a:xfrm>
                    <a:prstGeom prst="rect">
                      <a:avLst/>
                    </a:prstGeom>
                  </pic:spPr>
                </pic:pic>
              </a:graphicData>
            </a:graphic>
          </wp:inline>
        </w:drawing>
      </w:r>
    </w:p>
    <w:p w14:paraId="2A8BD81E">
      <w:pPr>
        <w:pStyle w:val="3"/>
        <w:ind w:left="0" w:leftChars="0" w:firstLine="0" w:firstLineChars="0"/>
      </w:pPr>
      <w:r>
        <w:rPr>
          <w:rFonts w:ascii="宋体" w:hAnsi="宋体" w:eastAsia="宋体"/>
          <w:b/>
          <w:color w:val="000000"/>
        </w:rPr>
        <w:t>四、学习率对比</w:t>
      </w:r>
      <w:r>
        <w:rPr>
          <w:rFonts w:ascii="宋体" w:hAnsi="宋体" w:eastAsia="宋体"/>
          <w:b/>
          <w:color w:val="000000"/>
        </w:rPr>
        <w:br w:type="textWrapping"/>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4"/>
        <w:gridCol w:w="1234"/>
        <w:gridCol w:w="1234"/>
        <w:gridCol w:w="1234"/>
        <w:gridCol w:w="1234"/>
        <w:gridCol w:w="1234"/>
        <w:gridCol w:w="1234"/>
      </w:tblGrid>
      <w:tr w14:paraId="4C76D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13755DB1">
            <w:pPr>
              <w:spacing w:after="0" w:line="240" w:lineRule="auto"/>
            </w:pPr>
            <w:r>
              <w:rPr>
                <w:rFonts w:ascii="宋体" w:hAnsi="宋体" w:eastAsia="宋体"/>
                <w:color w:val="000000"/>
                <w:sz w:val="16"/>
              </w:rPr>
              <w:t>优化器</w:t>
            </w:r>
          </w:p>
        </w:tc>
        <w:tc>
          <w:tcPr>
            <w:tcW w:w="792" w:type="dxa"/>
          </w:tcPr>
          <w:p w14:paraId="3C762A3A">
            <w:pPr>
              <w:spacing w:after="0" w:line="240" w:lineRule="auto"/>
              <w:rPr>
                <w:rFonts w:hint="eastAsia" w:eastAsia="宋体"/>
                <w:lang w:val="en-US" w:eastAsia="zh-CN"/>
              </w:rPr>
            </w:pPr>
            <w:r>
              <w:rPr>
                <w:rFonts w:hint="eastAsia"/>
                <w:color w:val="000000"/>
                <w:sz w:val="16"/>
                <w:lang w:val="en-US" w:eastAsia="zh-CN"/>
              </w:rPr>
              <w:t>学习率</w:t>
            </w:r>
          </w:p>
        </w:tc>
        <w:tc>
          <w:tcPr>
            <w:tcW w:w="1181" w:type="dxa"/>
          </w:tcPr>
          <w:p w14:paraId="4B8B8C9F">
            <w:pPr>
              <w:spacing w:after="0" w:line="240" w:lineRule="auto"/>
            </w:pPr>
            <w:r>
              <w:rPr>
                <w:rFonts w:ascii="宋体" w:hAnsi="宋体" w:eastAsia="宋体"/>
                <w:color w:val="000000"/>
                <w:sz w:val="16"/>
              </w:rPr>
              <w:t>训练Loss</w:t>
            </w:r>
          </w:p>
        </w:tc>
        <w:tc>
          <w:tcPr>
            <w:tcW w:w="1181" w:type="dxa"/>
          </w:tcPr>
          <w:p w14:paraId="6ABF15BB">
            <w:pPr>
              <w:spacing w:after="0" w:line="240" w:lineRule="auto"/>
            </w:pPr>
            <w:r>
              <w:rPr>
                <w:rFonts w:ascii="宋体" w:hAnsi="宋体" w:eastAsia="宋体"/>
                <w:color w:val="000000"/>
                <w:sz w:val="16"/>
              </w:rPr>
              <w:t>验证Loss</w:t>
            </w:r>
          </w:p>
        </w:tc>
        <w:tc>
          <w:tcPr>
            <w:tcW w:w="1123" w:type="dxa"/>
          </w:tcPr>
          <w:p w14:paraId="0CDC4E8C">
            <w:pPr>
              <w:spacing w:after="0" w:line="240" w:lineRule="auto"/>
            </w:pPr>
            <w:r>
              <w:rPr>
                <w:rFonts w:ascii="宋体" w:hAnsi="宋体" w:eastAsia="宋体"/>
                <w:color w:val="000000"/>
                <w:sz w:val="16"/>
              </w:rPr>
              <w:t>训练Acc</w:t>
            </w:r>
          </w:p>
        </w:tc>
        <w:tc>
          <w:tcPr>
            <w:tcW w:w="1123" w:type="dxa"/>
          </w:tcPr>
          <w:p w14:paraId="7F734D55">
            <w:pPr>
              <w:spacing w:after="0" w:line="240" w:lineRule="auto"/>
            </w:pPr>
            <w:r>
              <w:rPr>
                <w:rFonts w:ascii="宋体" w:hAnsi="宋体" w:eastAsia="宋体"/>
                <w:color w:val="000000"/>
                <w:sz w:val="16"/>
              </w:rPr>
              <w:t>验证Acc</w:t>
            </w:r>
          </w:p>
        </w:tc>
        <w:tc>
          <w:tcPr>
            <w:tcW w:w="1123" w:type="dxa"/>
          </w:tcPr>
          <w:p w14:paraId="50ACD7D2">
            <w:pPr>
              <w:spacing w:after="0" w:line="240" w:lineRule="auto"/>
            </w:pPr>
            <w:r>
              <w:rPr>
                <w:rFonts w:ascii="宋体" w:hAnsi="宋体" w:eastAsia="宋体"/>
                <w:color w:val="000000"/>
                <w:sz w:val="16"/>
              </w:rPr>
              <w:t>测试Acc</w:t>
            </w:r>
          </w:p>
        </w:tc>
      </w:tr>
      <w:tr w14:paraId="6762E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7B5FA283">
            <w:pPr>
              <w:spacing w:after="0" w:line="240" w:lineRule="auto"/>
            </w:pPr>
            <w:r>
              <w:rPr>
                <w:rFonts w:ascii="宋体" w:hAnsi="宋体" w:eastAsia="宋体"/>
                <w:color w:val="000000"/>
                <w:sz w:val="16"/>
              </w:rPr>
              <w:t>Adam</w:t>
            </w:r>
          </w:p>
        </w:tc>
        <w:tc>
          <w:tcPr>
            <w:tcW w:w="792" w:type="dxa"/>
          </w:tcPr>
          <w:p w14:paraId="04E870E1">
            <w:pPr>
              <w:spacing w:after="0" w:line="240" w:lineRule="auto"/>
            </w:pPr>
            <w:r>
              <w:rPr>
                <w:rFonts w:ascii="宋体" w:hAnsi="宋体" w:eastAsia="宋体"/>
                <w:color w:val="000000"/>
                <w:sz w:val="16"/>
              </w:rPr>
              <w:t>0.1</w:t>
            </w:r>
          </w:p>
        </w:tc>
        <w:tc>
          <w:tcPr>
            <w:tcW w:w="1181" w:type="dxa"/>
          </w:tcPr>
          <w:p w14:paraId="22556FD2">
            <w:pPr>
              <w:spacing w:after="0" w:line="240" w:lineRule="auto"/>
            </w:pPr>
            <w:r>
              <w:rPr>
                <w:rFonts w:ascii="宋体" w:hAnsi="宋体" w:eastAsia="宋体"/>
                <w:color w:val="000000"/>
                <w:sz w:val="16"/>
              </w:rPr>
              <w:t>2.3115</w:t>
            </w:r>
          </w:p>
        </w:tc>
        <w:tc>
          <w:tcPr>
            <w:tcW w:w="1181" w:type="dxa"/>
          </w:tcPr>
          <w:p w14:paraId="787C7B70">
            <w:pPr>
              <w:spacing w:after="0" w:line="240" w:lineRule="auto"/>
            </w:pPr>
            <w:r>
              <w:rPr>
                <w:rFonts w:ascii="宋体" w:hAnsi="宋体" w:eastAsia="宋体"/>
                <w:color w:val="000000"/>
                <w:sz w:val="16"/>
              </w:rPr>
              <w:t>2.3060</w:t>
            </w:r>
          </w:p>
        </w:tc>
        <w:tc>
          <w:tcPr>
            <w:tcW w:w="1123" w:type="dxa"/>
          </w:tcPr>
          <w:p w14:paraId="01EB4E99">
            <w:pPr>
              <w:spacing w:after="0" w:line="240" w:lineRule="auto"/>
            </w:pPr>
            <w:r>
              <w:rPr>
                <w:rFonts w:ascii="宋体" w:hAnsi="宋体" w:eastAsia="宋体"/>
                <w:color w:val="000000"/>
                <w:sz w:val="16"/>
              </w:rPr>
              <w:t>10.21%</w:t>
            </w:r>
          </w:p>
        </w:tc>
        <w:tc>
          <w:tcPr>
            <w:tcW w:w="1123" w:type="dxa"/>
          </w:tcPr>
          <w:p w14:paraId="2C814A28">
            <w:pPr>
              <w:spacing w:after="0" w:line="240" w:lineRule="auto"/>
            </w:pPr>
            <w:r>
              <w:rPr>
                <w:rFonts w:ascii="宋体" w:hAnsi="宋体" w:eastAsia="宋体"/>
                <w:color w:val="000000"/>
                <w:sz w:val="16"/>
              </w:rPr>
              <w:t>11.29%</w:t>
            </w:r>
          </w:p>
        </w:tc>
        <w:tc>
          <w:tcPr>
            <w:tcW w:w="1123" w:type="dxa"/>
          </w:tcPr>
          <w:p w14:paraId="232AF529">
            <w:pPr>
              <w:spacing w:after="0" w:line="240" w:lineRule="auto"/>
            </w:pPr>
            <w:r>
              <w:rPr>
                <w:rFonts w:ascii="宋体" w:hAnsi="宋体" w:eastAsia="宋体"/>
                <w:color w:val="000000"/>
                <w:sz w:val="16"/>
              </w:rPr>
              <w:t>11.35%</w:t>
            </w:r>
          </w:p>
        </w:tc>
      </w:tr>
      <w:tr w14:paraId="5CACB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4017145D">
            <w:pPr>
              <w:spacing w:after="0" w:line="240" w:lineRule="auto"/>
            </w:pPr>
            <w:r>
              <w:rPr>
                <w:rFonts w:ascii="宋体" w:hAnsi="宋体" w:eastAsia="宋体"/>
                <w:color w:val="000000"/>
                <w:sz w:val="16"/>
              </w:rPr>
              <w:t>Adam</w:t>
            </w:r>
          </w:p>
        </w:tc>
        <w:tc>
          <w:tcPr>
            <w:tcW w:w="792" w:type="dxa"/>
          </w:tcPr>
          <w:p w14:paraId="00B373EA">
            <w:pPr>
              <w:spacing w:after="0" w:line="240" w:lineRule="auto"/>
            </w:pPr>
            <w:r>
              <w:rPr>
                <w:rFonts w:ascii="宋体" w:hAnsi="宋体" w:eastAsia="宋体"/>
                <w:color w:val="000000"/>
                <w:sz w:val="16"/>
              </w:rPr>
              <w:t>0.01</w:t>
            </w:r>
          </w:p>
        </w:tc>
        <w:tc>
          <w:tcPr>
            <w:tcW w:w="1181" w:type="dxa"/>
          </w:tcPr>
          <w:p w14:paraId="375560AA">
            <w:pPr>
              <w:spacing w:after="0" w:line="240" w:lineRule="auto"/>
            </w:pPr>
            <w:r>
              <w:rPr>
                <w:rFonts w:ascii="宋体" w:hAnsi="宋体" w:eastAsia="宋体"/>
                <w:color w:val="000000"/>
                <w:sz w:val="16"/>
              </w:rPr>
              <w:t>0.0941</w:t>
            </w:r>
          </w:p>
        </w:tc>
        <w:tc>
          <w:tcPr>
            <w:tcW w:w="1181" w:type="dxa"/>
          </w:tcPr>
          <w:p w14:paraId="68A6254B">
            <w:pPr>
              <w:spacing w:after="0" w:line="240" w:lineRule="auto"/>
            </w:pPr>
            <w:r>
              <w:rPr>
                <w:rFonts w:ascii="宋体" w:hAnsi="宋体" w:eastAsia="宋体"/>
                <w:color w:val="000000"/>
                <w:sz w:val="16"/>
              </w:rPr>
              <w:t>0.0920</w:t>
            </w:r>
          </w:p>
        </w:tc>
        <w:tc>
          <w:tcPr>
            <w:tcW w:w="1123" w:type="dxa"/>
          </w:tcPr>
          <w:p w14:paraId="2C6ADBC3">
            <w:pPr>
              <w:spacing w:after="0" w:line="240" w:lineRule="auto"/>
            </w:pPr>
            <w:r>
              <w:rPr>
                <w:rFonts w:ascii="宋体" w:hAnsi="宋体" w:eastAsia="宋体"/>
                <w:color w:val="000000"/>
                <w:sz w:val="16"/>
              </w:rPr>
              <w:t>97.36%</w:t>
            </w:r>
          </w:p>
        </w:tc>
        <w:tc>
          <w:tcPr>
            <w:tcW w:w="1123" w:type="dxa"/>
          </w:tcPr>
          <w:p w14:paraId="3A06ACC8">
            <w:pPr>
              <w:spacing w:after="0" w:line="240" w:lineRule="auto"/>
            </w:pPr>
            <w:r>
              <w:rPr>
                <w:rFonts w:ascii="宋体" w:hAnsi="宋体" w:eastAsia="宋体"/>
                <w:color w:val="000000"/>
                <w:sz w:val="16"/>
              </w:rPr>
              <w:t>97.62%</w:t>
            </w:r>
          </w:p>
        </w:tc>
        <w:tc>
          <w:tcPr>
            <w:tcW w:w="1123" w:type="dxa"/>
          </w:tcPr>
          <w:p w14:paraId="7DADDA8D">
            <w:pPr>
              <w:spacing w:after="0" w:line="240" w:lineRule="auto"/>
            </w:pPr>
            <w:r>
              <w:rPr>
                <w:rFonts w:ascii="宋体" w:hAnsi="宋体" w:eastAsia="宋体"/>
                <w:color w:val="000000"/>
                <w:sz w:val="16"/>
              </w:rPr>
              <w:t>97.84%</w:t>
            </w:r>
          </w:p>
        </w:tc>
      </w:tr>
      <w:tr w14:paraId="5703E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1DEB14A4">
            <w:pPr>
              <w:spacing w:after="0" w:line="240" w:lineRule="auto"/>
            </w:pPr>
            <w:r>
              <w:rPr>
                <w:rFonts w:ascii="宋体" w:hAnsi="宋体" w:eastAsia="宋体"/>
                <w:color w:val="000000"/>
                <w:sz w:val="16"/>
              </w:rPr>
              <w:t>Adam</w:t>
            </w:r>
          </w:p>
        </w:tc>
        <w:tc>
          <w:tcPr>
            <w:tcW w:w="792" w:type="dxa"/>
          </w:tcPr>
          <w:p w14:paraId="38CA5A0B">
            <w:pPr>
              <w:spacing w:after="0" w:line="240" w:lineRule="auto"/>
            </w:pPr>
            <w:r>
              <w:rPr>
                <w:rFonts w:ascii="宋体" w:hAnsi="宋体" w:eastAsia="宋体"/>
                <w:color w:val="000000"/>
                <w:sz w:val="16"/>
              </w:rPr>
              <w:t>0.001</w:t>
            </w:r>
          </w:p>
        </w:tc>
        <w:tc>
          <w:tcPr>
            <w:tcW w:w="1181" w:type="dxa"/>
          </w:tcPr>
          <w:p w14:paraId="73BF61CB">
            <w:pPr>
              <w:spacing w:after="0" w:line="240" w:lineRule="auto"/>
            </w:pPr>
            <w:r>
              <w:rPr>
                <w:rFonts w:ascii="宋体" w:hAnsi="宋体" w:eastAsia="宋体"/>
                <w:color w:val="000000"/>
                <w:sz w:val="16"/>
              </w:rPr>
              <w:t>0.0342</w:t>
            </w:r>
          </w:p>
        </w:tc>
        <w:tc>
          <w:tcPr>
            <w:tcW w:w="1181" w:type="dxa"/>
          </w:tcPr>
          <w:p w14:paraId="73EAE148">
            <w:pPr>
              <w:spacing w:after="0" w:line="240" w:lineRule="auto"/>
            </w:pPr>
            <w:r>
              <w:rPr>
                <w:rFonts w:ascii="宋体" w:hAnsi="宋体" w:eastAsia="宋体"/>
                <w:color w:val="000000"/>
                <w:sz w:val="16"/>
              </w:rPr>
              <w:t>0.0454</w:t>
            </w:r>
          </w:p>
        </w:tc>
        <w:tc>
          <w:tcPr>
            <w:tcW w:w="1123" w:type="dxa"/>
          </w:tcPr>
          <w:p w14:paraId="30C2322F">
            <w:pPr>
              <w:spacing w:after="0" w:line="240" w:lineRule="auto"/>
            </w:pPr>
            <w:r>
              <w:rPr>
                <w:rFonts w:ascii="宋体" w:hAnsi="宋体" w:eastAsia="宋体"/>
                <w:color w:val="000000"/>
                <w:sz w:val="16"/>
              </w:rPr>
              <w:t>98.87%</w:t>
            </w:r>
          </w:p>
        </w:tc>
        <w:tc>
          <w:tcPr>
            <w:tcW w:w="1123" w:type="dxa"/>
          </w:tcPr>
          <w:p w14:paraId="6B0F5407">
            <w:pPr>
              <w:spacing w:after="0" w:line="240" w:lineRule="auto"/>
            </w:pPr>
            <w:r>
              <w:rPr>
                <w:rFonts w:ascii="宋体" w:hAnsi="宋体" w:eastAsia="宋体"/>
                <w:color w:val="000000"/>
                <w:sz w:val="16"/>
              </w:rPr>
              <w:t>98.77%</w:t>
            </w:r>
          </w:p>
        </w:tc>
        <w:tc>
          <w:tcPr>
            <w:tcW w:w="1123" w:type="dxa"/>
          </w:tcPr>
          <w:p w14:paraId="57E0018F">
            <w:pPr>
              <w:spacing w:after="0" w:line="240" w:lineRule="auto"/>
            </w:pPr>
            <w:r>
              <w:rPr>
                <w:rFonts w:ascii="宋体" w:hAnsi="宋体" w:eastAsia="宋体"/>
                <w:color w:val="000000"/>
                <w:sz w:val="16"/>
              </w:rPr>
              <w:t>98.77%</w:t>
            </w:r>
          </w:p>
        </w:tc>
      </w:tr>
    </w:tbl>
    <w:p w14:paraId="004ECC82">
      <w:pPr>
        <w:rPr>
          <w:rFonts w:ascii="宋体" w:hAnsi="宋体" w:eastAsia="宋体"/>
          <w:color w:val="000000"/>
        </w:rPr>
      </w:pPr>
    </w:p>
    <w:p w14:paraId="682921EE">
      <w:r>
        <w:rPr>
          <w:rFonts w:ascii="宋体" w:hAnsi="宋体" w:eastAsia="宋体"/>
          <w:color w:val="000000"/>
        </w:rPr>
        <w:t>固定优化器为 Adam，分别尝试学习率 0.1、0.01 和 0.001。学习率为 0.1 时，训练 Loss 最终仍高达 2.3115，验证 Loss 为 2.3060，测试准确率只有 11.35%，说明步长过大导致参数更新震荡，模型几乎无法有效收敛；学习率为 0.01 时，训练 Loss 下降到 0.0941，验证 Loss 为 0.0920，测试准确率为 97.84%，相较 0.1 有明显改善，但曲线波动仍然较大；学习率为 0.001 时，训练 Loss 为 0.0342，验证 Loss 为 0.0454，测试准确率为 98.77%，收敛过程更平滑，最终表现也最好。因此在 Adam 优化器下，0.001 是本实验中更合适的学习率。</w:t>
      </w:r>
    </w:p>
    <w:p w14:paraId="46773669">
      <w:r>
        <w:rPr>
          <w:rFonts w:ascii="宋体" w:hAnsi="宋体" w:eastAsia="宋体"/>
          <w:color w:val="000000"/>
        </w:rPr>
        <w:t>学习率 0.1 的 Loss 曲线基本维持在 2.30 附近，准确率也接近随机猜测水平。MNIST 是 10 类分类问题，随机猜测的准确率约为 10%，而该组测试准确率只有 11.35%，说明模型没有形成有效的数字判别边界。主要原因是学习率过大时，参数每次更新跨越过远，可能在最优点附近来回震荡，甚至无法进入有效下降区域。</w:t>
      </w:r>
    </w:p>
    <w:p w14:paraId="518EE634">
      <w:r>
        <w:rPr>
          <w:rFonts w:ascii="宋体" w:hAnsi="宋体" w:eastAsia="宋体"/>
          <w:color w:val="000000"/>
        </w:rPr>
        <w:t>学习率 0.01 相比 0.1 有明显改善，最终训练准确率达到 97.36%，验证准确率达到 97.62%，说明模型已经学到了主要的笔画结构。但是从验证曲线看，该组在后期存在一定波动，说明步长仍然偏大，模型参数在接近较优区域时不够细致，因此测试准确率停留在 97.84%。</w:t>
      </w:r>
    </w:p>
    <w:p w14:paraId="45D454C4">
      <w:r>
        <w:rPr>
          <w:rFonts w:ascii="宋体" w:hAnsi="宋体" w:eastAsia="宋体"/>
          <w:color w:val="000000"/>
        </w:rPr>
        <w:t>学习率 0.001 的训练 Loss 最低，验证 Loss 也低至 0.0454，测试准确率达98.77%。该组曲线下降更平滑，说明较小学习率使 Adam 的自适应更新更加稳定。虽然小学习率可能需要更多轮数才能达到最优，但在本实验 5 轮训练内，它已经在收敛速度和稳定性之间取得了更好的平衡。</w:t>
      </w:r>
    </w:p>
    <w:p w14:paraId="5A2E891E">
      <w:pPr>
        <w:jc w:val="center"/>
      </w:pPr>
      <w:r>
        <w:rPr>
          <w:rFonts w:ascii="宋体" w:hAnsi="宋体" w:eastAsia="宋体"/>
          <w:color w:val="000000"/>
        </w:rPr>
        <w:drawing>
          <wp:inline distT="0" distB="0" distL="114300" distR="114300">
            <wp:extent cx="5303520" cy="3181985"/>
            <wp:effectExtent l="0" t="0" r="508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3182112"/>
                    </a:xfrm>
                    <a:prstGeom prst="rect">
                      <a:avLst/>
                    </a:prstGeom>
                  </pic:spPr>
                </pic:pic>
              </a:graphicData>
            </a:graphic>
          </wp:inline>
        </w:drawing>
      </w:r>
    </w:p>
    <w:p w14:paraId="4605C421">
      <w:pPr>
        <w:jc w:val="center"/>
      </w:pPr>
      <w:r>
        <w:rPr>
          <w:rFonts w:ascii="宋体" w:hAnsi="宋体" w:eastAsia="宋体"/>
          <w:color w:val="000000"/>
        </w:rPr>
        <w:drawing>
          <wp:inline distT="0" distB="0" distL="114300" distR="114300">
            <wp:extent cx="5303520" cy="3181985"/>
            <wp:effectExtent l="0" t="0" r="508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03520" cy="3182112"/>
                    </a:xfrm>
                    <a:prstGeom prst="rect">
                      <a:avLst/>
                    </a:prstGeom>
                  </pic:spPr>
                </pic:pic>
              </a:graphicData>
            </a:graphic>
          </wp:inline>
        </w:drawing>
      </w:r>
    </w:p>
    <w:p w14:paraId="69F22693">
      <w:pPr>
        <w:pStyle w:val="3"/>
        <w:ind w:left="0" w:leftChars="0" w:firstLine="0" w:firstLineChars="0"/>
      </w:pPr>
      <w:r>
        <w:rPr>
          <w:rFonts w:ascii="宋体" w:hAnsi="宋体" w:eastAsia="宋体"/>
          <w:b/>
          <w:color w:val="000000"/>
        </w:rPr>
        <w:t>五、卷积核可视化</w:t>
      </w:r>
    </w:p>
    <w:p w14:paraId="1EB22B85">
      <w:pPr>
        <w:jc w:val="center"/>
      </w:pPr>
      <w:r>
        <w:rPr>
          <w:rFonts w:ascii="宋体" w:hAnsi="宋体" w:eastAsia="宋体"/>
          <w:color w:val="000000"/>
        </w:rPr>
        <w:drawing>
          <wp:inline distT="0" distB="0" distL="114300" distR="114300">
            <wp:extent cx="5120640" cy="2687955"/>
            <wp:effectExtent l="0" t="0" r="1016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120640" cy="2688336"/>
                    </a:xfrm>
                    <a:prstGeom prst="rect">
                      <a:avLst/>
                    </a:prstGeom>
                  </pic:spPr>
                </pic:pic>
              </a:graphicData>
            </a:graphic>
          </wp:inline>
        </w:drawing>
      </w:r>
    </w:p>
    <w:p w14:paraId="7E77A469">
      <w:r>
        <w:rPr>
          <w:rFonts w:ascii="宋体" w:hAnsi="宋体" w:eastAsia="宋体"/>
          <w:color w:val="000000"/>
        </w:rPr>
        <w:t>从图中的 8 个第一层卷积核可以看出，训练后的卷积核已经呈现出一定的边缘、方向和局部纹理特征，并不是完全随机的噪声块。Kernel 0 左上区域较强、右上和左下区域较弱，具有明显的斜向明暗变化，更像是在检测斜向笔画边缘；Kernel 1 和 Kernel 3 在中心及下方区域响应较强，可以对笔画主体或较粗的局部区域产生响应；Kernel 4 中间列相对更强，两侧较弱，呈现出接近竖直方向的边缘或条状特征；Kernel 6 上方响应较强、下方响应较弱，体现出近似水平边缘检测的效果；Kernel 5 和 Kernel 7 则具有较明显的对角线强弱分布，可能对弯折、斜线或局部转角更敏感。</w:t>
      </w:r>
    </w:p>
    <w:p w14:paraId="25D1AAAC">
      <w:r>
        <w:rPr>
          <w:rFonts w:ascii="宋体" w:hAnsi="宋体" w:eastAsia="宋体"/>
          <w:color w:val="000000"/>
        </w:rPr>
        <w:t>因此，可以认为第一层卷积核主要学习到的是低级视觉特征：一类核负责捕捉横向、竖向或斜向边缘，另一类核负责捕捉笔画端点、局部粗细变化、角点和转折区域。MNIST 数字由笔画组成，数字类别之间的差异往往体现在笔画方向、弯曲程度、闭合区域和交叉位置上，所以这些边缘和纹理特征对后续分类是有意义的。第一层卷积核本身不直接给出“这是数字几”的判断，而是先把原始灰度像素转换为边缘、方向和局部形状响应，再交给后面的卷积层和全连接层组合成更完整的数字结构。</w:t>
      </w:r>
    </w:p>
    <w:p w14:paraId="3049BFA5">
      <w:r>
        <w:rPr>
          <w:rFonts w:ascii="宋体" w:hAnsi="宋体" w:eastAsia="宋体"/>
          <w:color w:val="000000"/>
        </w:rPr>
        <w:t>训练初始时卷积核通常是随机参数，无法稳定提取有意义的边缘或纹理。随着前向传播计算预测结果、损失函数衡量预测误差，反向传播会把误差梯度传回卷积核参数，使能够降低分类损失的局部模式被保留下来并不断强化。因此，训练后的卷积核可以看作模型自动学习到的数字笔画局部特征提取器。</w:t>
      </w:r>
    </w:p>
    <w:p w14:paraId="6E63178C">
      <w:pPr>
        <w:pStyle w:val="3"/>
        <w:ind w:left="0" w:leftChars="0" w:firstLine="0" w:firstLineChars="0"/>
      </w:pPr>
      <w:r>
        <w:rPr>
          <w:rFonts w:ascii="宋体" w:hAnsi="宋体" w:eastAsia="宋体"/>
          <w:b/>
          <w:color w:val="000000"/>
        </w:rPr>
        <w:t>六、Feature Map 可视化</w:t>
      </w:r>
    </w:p>
    <w:p w14:paraId="64A59860">
      <w:pPr>
        <w:jc w:val="center"/>
      </w:pPr>
      <w:r>
        <w:rPr>
          <w:rFonts w:ascii="宋体" w:hAnsi="宋体" w:eastAsia="宋体"/>
          <w:color w:val="000000"/>
        </w:rPr>
        <w:drawing>
          <wp:inline distT="0" distB="0" distL="114300" distR="114300">
            <wp:extent cx="5120640" cy="2687955"/>
            <wp:effectExtent l="0" t="0" r="1016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120640" cy="2688336"/>
                    </a:xfrm>
                    <a:prstGeom prst="rect">
                      <a:avLst/>
                    </a:prstGeom>
                  </pic:spPr>
                </pic:pic>
              </a:graphicData>
            </a:graphic>
          </wp:inline>
        </w:drawing>
      </w:r>
    </w:p>
    <w:p w14:paraId="63BA41D4">
      <w:r>
        <w:rPr>
          <w:rFonts w:ascii="宋体" w:hAnsi="宋体" w:eastAsia="宋体"/>
          <w:color w:val="000000"/>
        </w:rPr>
        <w:t>本次 feature map 可视化选取的测试样本真实标签为 7。观察图中 8 张第一层 feature maps 可以发现，强响应区域并不是均匀分布在整张图上，而是集中在数字 7 的关键笔画位置，包括上方横笔画、右侧向下的斜笔画、左上起笔端点以及下方收笔附近。这说明卷积层确实在对数字的局部结构进行选择性响应。</w:t>
      </w:r>
    </w:p>
    <w:p w14:paraId="7100CEF6">
      <w:r>
        <w:rPr>
          <w:rFonts w:ascii="宋体" w:hAnsi="宋体" w:eastAsia="宋体"/>
          <w:color w:val="000000"/>
        </w:rPr>
        <w:t>具体来看，Map 0 在上横笔画和斜笔画连接处响应较强，说明对应卷积核对斜向边缘和笔画转折比较敏感；Map 1 和 Map 4 在右侧斜笔画以及下方收笔区域出现连续高亮，说明它们更关注数字 7 的主斜线结构；Map 3、Map 6 和 Map 7 在上方横笔画区域响应明显，尤其是横笔画右端和中部较亮，说明这些卷积核更擅长提取水平边缘或横向笔画；Map 5 的响应相对分散，但仍能在上横和斜线局部看到亮区，说明它可能提取的是较弱的局部端点、断续笔画或细节纹理。</w:t>
      </w:r>
    </w:p>
    <w:p w14:paraId="1F9A51CB">
      <w:r>
        <w:rPr>
          <w:rFonts w:ascii="宋体" w:hAnsi="宋体" w:eastAsia="宋体"/>
          <w:color w:val="000000"/>
        </w:rPr>
        <w:t>Map 2 的显示方式与其他图不同，背景区域整体较亮而数字笔画区域较暗，说明对应卷积核可能对笔画区域产生抑制响应，或者更关注背景与笔画之间的反向对比关系。这类 feature map 同样有意义，因为分类时不仅需要知道哪些位置存在笔画，也需要利用笔画与空白区域之间的边界关系来判断数字轮廓。</w:t>
      </w:r>
    </w:p>
    <w:p w14:paraId="6911D313">
      <w:r>
        <w:rPr>
          <w:rFonts w:ascii="宋体" w:hAnsi="宋体" w:eastAsia="宋体"/>
          <w:color w:val="000000"/>
        </w:rPr>
        <w:t>由此可以说明，不同卷积核提取的图像特征并不相同：有的卷积核主要提取横向笔画，有的主要提取斜向边缘，有的对端点、转角或笔画粗细变化更敏感，还有的体现背景和笔画的对比关系。第一层 feature maps 展示的是这些低级特征在原图中的位置分布；后续卷积层会进一步组合这些局部响应，例如把“上横 + 右斜线 + 起笔端点”组合成数字 7 的整体形状特征。</w:t>
      </w:r>
    </w:p>
    <w:p w14:paraId="4B1C0E8A">
      <w:pPr>
        <w:pStyle w:val="3"/>
        <w:ind w:left="0" w:leftChars="0" w:firstLine="0" w:firstLineChars="0"/>
      </w:pPr>
      <w:r>
        <w:rPr>
          <w:rFonts w:ascii="宋体" w:hAnsi="宋体" w:eastAsia="宋体"/>
          <w:b/>
          <w:color w:val="000000"/>
        </w:rPr>
        <w:t>七、错误分类样本分析</w:t>
      </w:r>
    </w:p>
    <w:p w14:paraId="4DE5C2C8">
      <w:pPr>
        <w:jc w:val="center"/>
      </w:pPr>
      <w:r>
        <w:rPr>
          <w:rFonts w:ascii="宋体" w:hAnsi="宋体" w:eastAsia="宋体"/>
          <w:color w:val="000000"/>
        </w:rPr>
        <w:drawing>
          <wp:inline distT="0" distB="0" distL="114300" distR="114300">
            <wp:extent cx="5303520" cy="2828290"/>
            <wp:effectExtent l="0" t="0" r="508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303520" cy="2828544"/>
                    </a:xfrm>
                    <a:prstGeom prst="rect">
                      <a:avLst/>
                    </a:prstGeom>
                  </pic:spPr>
                </pic:pic>
              </a:graphicData>
            </a:graphic>
          </wp:inline>
        </w:drawing>
      </w:r>
    </w:p>
    <w:p w14:paraId="6F4C3C50">
      <w:r>
        <w:rPr>
          <w:rFonts w:ascii="宋体" w:hAnsi="宋体" w:eastAsia="宋体"/>
          <w:color w:val="000000"/>
        </w:rPr>
        <w:t>错误样本通常具有笔画变形、书写倾斜、局部缺失或与其他数字形状相似等特点。例如 4/9、3/5、7/9、8/9 等类别在手写形态接近时更容易被混淆。</w:t>
      </w:r>
    </w:p>
    <w:p w14:paraId="2281EDD7">
      <w:r>
        <w:rPr>
          <w:rFonts w:ascii="宋体" w:hAnsi="宋体" w:eastAsia="宋体"/>
          <w:color w:val="000000"/>
        </w:rPr>
        <w:t>结合混淆矩阵统计，本次最明显的单向错误是真实数字 3 被预测成 5，共 6 个样本。这类错误通常不是模型完全没有学习到类别特征，而是样本本身存在模糊性：例如笔画连接方式异常、关键笔画过短、书写倾斜导致整体轮廓接近另一个数字，或者图像中某些局部区域与错误类别的典型特征更相似。</w:t>
      </w:r>
    </w:p>
    <w:p w14:paraId="4E8D1093">
      <w:r>
        <w:rPr>
          <w:rFonts w:ascii="宋体" w:hAnsi="宋体" w:eastAsia="宋体"/>
          <w:color w:val="000000"/>
        </w:rPr>
        <w:t>从模型角度看，错误分类常发生在类间边界附近。CNN 主要依赖局部笔画特征进行判断，当两个数字共享较多局部结构时，例如弧线、竖线、闭合区域或交叉点相似，模型就可能把局部强响应组合成错误的整体类别。这说明仅看总体准确率还不够，还需要观察错分样本，才能发现模型在哪些书写形态上鲁棒性不足。</w:t>
      </w:r>
    </w:p>
    <w:p w14:paraId="2207F146">
      <w:r>
        <w:rPr>
          <w:rFonts w:ascii="宋体" w:hAnsi="宋体" w:eastAsia="宋体"/>
          <w:color w:val="000000"/>
        </w:rPr>
        <w:t>提高准确率可以从三个方向改进：数据方面可增加数据增强、平衡困难样本；模型方面可增加卷积通道、加入 BatchNorm 或更深层结构；训练方面可使用学习率调度、更长训练轮数或正则化策略。</w:t>
      </w:r>
    </w:p>
    <w:p w14:paraId="2967E968">
      <w:r>
        <w:rPr>
          <w:rFonts w:ascii="宋体" w:hAnsi="宋体" w:eastAsia="宋体"/>
          <w:color w:val="000000"/>
        </w:rPr>
        <w:t>更具体地说，数据方面可以加入随机旋转、平移、缩放、轻微仿射变换等增强方式，使模型见到更多倾斜和变形笔画；模型方面可以适当增加卷积层深度或通道数，让网络获得更强的复杂形状表达能力；训练方面可以使用学习率衰减、早停策略或更长训练轮数，在避免过拟合的同时进一步降低困难样本的错误率。</w:t>
      </w:r>
    </w:p>
    <w:p w14:paraId="01FFD273">
      <w:pPr>
        <w:pStyle w:val="3"/>
        <w:ind w:left="0" w:leftChars="0" w:firstLine="0" w:firstLineChars="0"/>
      </w:pPr>
      <w:r>
        <w:rPr>
          <w:rFonts w:ascii="宋体" w:hAnsi="宋体" w:eastAsia="宋体"/>
          <w:b/>
          <w:color w:val="000000"/>
        </w:rPr>
        <w:t>八、混淆矩阵分析</w:t>
      </w:r>
    </w:p>
    <w:p w14:paraId="26AE1543">
      <w:pPr>
        <w:jc w:val="center"/>
      </w:pPr>
      <w:r>
        <w:rPr>
          <w:rFonts w:ascii="宋体" w:hAnsi="宋体" w:eastAsia="宋体"/>
          <w:color w:val="000000"/>
        </w:rPr>
        <w:drawing>
          <wp:inline distT="0" distB="0" distL="114300" distR="114300">
            <wp:extent cx="5029200" cy="43103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029200" cy="4310743"/>
                    </a:xfrm>
                    <a:prstGeom prst="rect">
                      <a:avLst/>
                    </a:prstGeom>
                  </pic:spPr>
                </pic:pic>
              </a:graphicData>
            </a:graphic>
          </wp:inline>
        </w:drawing>
      </w:r>
    </w:p>
    <w:p w14:paraId="6477FCEF">
      <w:r>
        <w:rPr>
          <w:rFonts w:ascii="宋体" w:hAnsi="宋体" w:eastAsia="宋体"/>
          <w:color w:val="000000"/>
        </w:rPr>
        <w:t>混淆矩阵的对角线元素表示真实类别与预测类别相同的样本数量，数值越高说明该类别识别越准确；非对角线元素表示真实类别被误判为其他类别的数量。</w:t>
      </w:r>
    </w:p>
    <w:p w14:paraId="2BFA7C81">
      <w:r>
        <w:rPr>
          <w:rFonts w:ascii="宋体" w:hAnsi="宋体" w:eastAsia="宋体"/>
          <w:color w:val="000000"/>
        </w:rPr>
        <w:t>本次实验中，最严重的单向混淆为真实类别 3 被预测为 5，数量为 6。</w:t>
      </w:r>
    </w:p>
    <w:p w14:paraId="530396A4">
      <w:r>
        <w:rPr>
          <w:rFonts w:ascii="宋体" w:hAnsi="宋体" w:eastAsia="宋体"/>
          <w:color w:val="000000"/>
        </w:rPr>
        <w:t>从各类别准确率看，相对较低的类别包括 9类(98.41%)、6类(98.54%)、8类(98.67%)。这些类别的准确率虽然仍然较高，但相比其他数字更容易受到书写风格影响。混淆矩阵中的非对角线数值可以帮助定位具体错误方向，例如某一类经常被预测成另一类，就说明这两个类别在模型学到的特征空间中距离较近。</w:t>
      </w:r>
    </w:p>
    <w:p w14:paraId="4008AFF8">
      <w:r>
        <w:rPr>
          <w:rFonts w:ascii="宋体" w:hAnsi="宋体" w:eastAsia="宋体"/>
          <w:color w:val="000000"/>
        </w:rPr>
        <w:t>因此，混淆矩阵比单一测试准确率提供了更细的评价信息：总体准确率说明模型整体性能，对角线分布说明各类别是否均衡，非对角线高值则指出后续优化应重点关注的类别组合。在实际改进中，可以针对这些高混淆类别补充样本、增强数据或调整模型结构，而不是盲目增加所有类别的数据。</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ind w:firstLine="420"/>
      </w:pPr>
      <w:r>
        <w:separator/>
      </w:r>
    </w:p>
  </w:footnote>
  <w:footnote w:type="continuationSeparator" w:id="1">
    <w:p>
      <w:pPr>
        <w:spacing w:before="0" w:after="0" w:line="276" w:lineRule="auto"/>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DAF43A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ind w:firstLine="643" w:firstLineChars="200"/>
    </w:pPr>
    <w:rPr>
      <w:rFonts w:ascii="宋体" w:hAnsi="宋体" w:eastAsia="宋体" w:cstheme="minorBidi"/>
      <w:color w:val="000000"/>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000000"/>
      <w:spacing w:val="15"/>
      <w:sz w:val="21"/>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3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3722</Words>
  <Characters>4501</Characters>
  <Lines>0</Lines>
  <Paragraphs>0</Paragraphs>
  <TotalTime>11</TotalTime>
  <ScaleCrop>false</ScaleCrop>
  <LinksUpToDate>false</LinksUpToDate>
  <CharactersWithSpaces>4747</CharactersWithSpaces>
  <Application>WPS Office_12.1.0.26373_F1E327BC-269C-435d-A152-05C5408002CA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konan_192666258</cp:lastModifiedBy>
  <dcterms:modified xsi:type="dcterms:W3CDTF">2026-05-23T03:09:24Z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eyJoZGlkIjoiNjA2MDlmYWNhNGUyNzdjODM1NTExNmM1ZGVkY2JjMjYiLCJ1c2VySWQiOiIxOTI2NjYyNTgifQ==</vt:lpwstr>
  </property>
  <property fmtid="{D5CDD505-2E9C-101B-9397-08002B2CF9AE}" pid="3" name="KSOProductBuildVer">
    <vt:lpwstr>2052-12.1.0.26373</vt:lpwstr>
  </property>
  <property fmtid="{D5CDD505-2E9C-101B-9397-08002B2CF9AE}" pid="4" name="ICV">
    <vt:lpwstr>793E5D0B194045089649DD8BB0DB793A_12</vt:lpwstr>
  </property>
</Properties>
</file>