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D122F">
      <w:pPr>
        <w:widowControl w:val="0"/>
        <w:spacing w:before="480" w:after="480" w:line="288" w:lineRule="auto"/>
        <w:ind w:left="0"/>
        <w:jc w:val="center"/>
        <w:rPr>
          <w:rFonts w:ascii="Arial" w:hAnsi="Arial" w:eastAsia="等线" w:cs="Arial"/>
          <w:b/>
          <w:sz w:val="52"/>
        </w:rPr>
      </w:pPr>
      <w:r>
        <w:rPr>
          <w:rFonts w:ascii="Arial" w:hAnsi="Arial" w:eastAsia="等线" w:cs="Arial"/>
          <w:b/>
          <w:sz w:val="52"/>
        </w:rPr>
        <w:t>第七课 实验报告</w:t>
      </w:r>
      <w:bookmarkStart w:id="0" w:name="_GoBack"/>
      <w:bookmarkEnd w:id="0"/>
    </w:p>
    <w:p w14:paraId="4A42288C">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一、实验目的</w:t>
      </w:r>
    </w:p>
    <w:p w14:paraId="531C297B">
      <w:pPr>
        <w:spacing w:line="300" w:lineRule="auto"/>
        <w:ind w:firstLine="420"/>
      </w:pPr>
      <w:r>
        <w:rPr>
          <w:rFonts w:ascii="宋体" w:hAnsi="宋体" w:eastAsia="宋体"/>
          <w:sz w:val="21"/>
        </w:rPr>
        <w:t>本实验使用 OpenCV 对 box.png 与 box_in_scene.png 进行局部特征检测、描述、匹配和目标定位。实验目标包括：掌握 ORB 特征点与二进制描述子的提取方法；理解使用 Hamming distance 进行暴力匹配的过程；通过 RANSAC 与 Homography 剔除错误匹配并估计两幅图像之间的平面映射关系；观察 ORB 参数 nfeatures 对匹配数量、内点比例和定位效果的影响；在 OpenCV 支持 SIFT 的情况下完成 SIFT 对比实验。</w:t>
      </w:r>
    </w:p>
    <w:p w14:paraId="6613DAE0">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二、实验环境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2BB1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32EE1E8">
            <w:pPr>
              <w:spacing w:after="0" w:line="240" w:lineRule="auto"/>
            </w:pPr>
            <w:r>
              <w:rPr>
                <w:rFonts w:ascii="宋体" w:hAnsi="宋体" w:eastAsia="宋体"/>
                <w:sz w:val="21"/>
              </w:rPr>
              <w:t>项目</w:t>
            </w:r>
          </w:p>
        </w:tc>
        <w:tc>
          <w:tcPr>
            <w:tcW w:w="4824" w:type="dxa"/>
          </w:tcPr>
          <w:p w14:paraId="6FAB5DE3">
            <w:pPr>
              <w:spacing w:after="0" w:line="240" w:lineRule="auto"/>
            </w:pPr>
            <w:r>
              <w:rPr>
                <w:rFonts w:ascii="宋体" w:hAnsi="宋体" w:eastAsia="宋体"/>
                <w:sz w:val="21"/>
              </w:rPr>
              <w:t>内容</w:t>
            </w:r>
          </w:p>
        </w:tc>
      </w:tr>
      <w:tr w14:paraId="7BD7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A2DDC3D">
            <w:pPr>
              <w:spacing w:after="0" w:line="240" w:lineRule="auto"/>
            </w:pPr>
            <w:r>
              <w:rPr>
                <w:rFonts w:ascii="宋体" w:hAnsi="宋体" w:eastAsia="宋体"/>
                <w:sz w:val="21"/>
              </w:rPr>
              <w:t>操作系统</w:t>
            </w:r>
          </w:p>
        </w:tc>
        <w:tc>
          <w:tcPr>
            <w:tcW w:w="4824" w:type="dxa"/>
          </w:tcPr>
          <w:p w14:paraId="3D7C308E">
            <w:pPr>
              <w:spacing w:after="0" w:line="240" w:lineRule="auto"/>
            </w:pPr>
            <w:r>
              <w:rPr>
                <w:rFonts w:ascii="宋体" w:hAnsi="宋体" w:eastAsia="宋体"/>
                <w:sz w:val="21"/>
              </w:rPr>
              <w:t>Windows</w:t>
            </w:r>
          </w:p>
        </w:tc>
      </w:tr>
      <w:tr w14:paraId="0BA1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E5CB505">
            <w:pPr>
              <w:spacing w:after="0" w:line="240" w:lineRule="auto"/>
            </w:pPr>
            <w:r>
              <w:rPr>
                <w:rFonts w:ascii="宋体" w:hAnsi="宋体" w:eastAsia="宋体"/>
                <w:sz w:val="21"/>
              </w:rPr>
              <w:t>编程语言</w:t>
            </w:r>
          </w:p>
        </w:tc>
        <w:tc>
          <w:tcPr>
            <w:tcW w:w="4824" w:type="dxa"/>
          </w:tcPr>
          <w:p w14:paraId="5BFF78A1">
            <w:pPr>
              <w:spacing w:after="0" w:line="240" w:lineRule="auto"/>
            </w:pPr>
            <w:r>
              <w:rPr>
                <w:rFonts w:ascii="宋体" w:hAnsi="宋体" w:eastAsia="宋体"/>
                <w:sz w:val="21"/>
              </w:rPr>
              <w:t>Python 3.7</w:t>
            </w:r>
          </w:p>
        </w:tc>
      </w:tr>
      <w:tr w14:paraId="3F50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F51653E">
            <w:pPr>
              <w:spacing w:after="0" w:line="240" w:lineRule="auto"/>
            </w:pPr>
            <w:r>
              <w:rPr>
                <w:rFonts w:ascii="宋体" w:hAnsi="宋体" w:eastAsia="宋体"/>
                <w:sz w:val="21"/>
              </w:rPr>
              <w:t>主要库</w:t>
            </w:r>
          </w:p>
        </w:tc>
        <w:tc>
          <w:tcPr>
            <w:tcW w:w="4824" w:type="dxa"/>
          </w:tcPr>
          <w:p w14:paraId="33EDA64C">
            <w:pPr>
              <w:spacing w:after="0" w:line="240" w:lineRule="auto"/>
            </w:pPr>
            <w:r>
              <w:rPr>
                <w:rFonts w:ascii="宋体" w:hAnsi="宋体" w:eastAsia="宋体"/>
                <w:sz w:val="21"/>
              </w:rPr>
              <w:t>OpenCV 4.6.0、NumPy 1.21.6、python-docx 0.8.11</w:t>
            </w:r>
          </w:p>
        </w:tc>
      </w:tr>
      <w:tr w14:paraId="759F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D4207FB">
            <w:pPr>
              <w:spacing w:after="0" w:line="240" w:lineRule="auto"/>
            </w:pPr>
            <w:r>
              <w:rPr>
                <w:rFonts w:ascii="宋体" w:hAnsi="宋体" w:eastAsia="宋体"/>
                <w:sz w:val="21"/>
              </w:rPr>
              <w:t>输入图像</w:t>
            </w:r>
          </w:p>
        </w:tc>
        <w:tc>
          <w:tcPr>
            <w:tcW w:w="4824" w:type="dxa"/>
          </w:tcPr>
          <w:p w14:paraId="68602EA4">
            <w:pPr>
              <w:spacing w:after="0" w:line="240" w:lineRule="auto"/>
            </w:pPr>
            <w:r>
              <w:rPr>
                <w:rFonts w:ascii="宋体" w:hAnsi="宋体" w:eastAsia="宋体"/>
                <w:sz w:val="21"/>
              </w:rPr>
              <w:t>box.png、box_in_scene.png</w:t>
            </w:r>
          </w:p>
        </w:tc>
      </w:tr>
      <w:tr w14:paraId="5DDB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6DCF359">
            <w:pPr>
              <w:spacing w:after="0" w:line="240" w:lineRule="auto"/>
            </w:pPr>
            <w:r>
              <w:rPr>
                <w:rFonts w:ascii="宋体" w:hAnsi="宋体" w:eastAsia="宋体"/>
                <w:sz w:val="21"/>
              </w:rPr>
              <w:t>主要程序</w:t>
            </w:r>
          </w:p>
        </w:tc>
        <w:tc>
          <w:tcPr>
            <w:tcW w:w="4824" w:type="dxa"/>
          </w:tcPr>
          <w:p w14:paraId="6DD7FF57">
            <w:pPr>
              <w:spacing w:after="0" w:line="240" w:lineRule="auto"/>
            </w:pPr>
            <w:r>
              <w:rPr>
                <w:rFonts w:ascii="宋体" w:hAnsi="宋体" w:eastAsia="宋体"/>
                <w:sz w:val="21"/>
              </w:rPr>
              <w:t>feature_matching_homework.py</w:t>
            </w:r>
          </w:p>
        </w:tc>
      </w:tr>
      <w:tr w14:paraId="5AE3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72E1AF0">
            <w:pPr>
              <w:spacing w:after="0" w:line="240" w:lineRule="auto"/>
            </w:pPr>
            <w:r>
              <w:rPr>
                <w:rFonts w:ascii="宋体" w:hAnsi="宋体" w:eastAsia="宋体"/>
                <w:sz w:val="21"/>
              </w:rPr>
              <w:t>输出目录</w:t>
            </w:r>
          </w:p>
        </w:tc>
        <w:tc>
          <w:tcPr>
            <w:tcW w:w="4824" w:type="dxa"/>
          </w:tcPr>
          <w:p w14:paraId="2A0B449B">
            <w:pPr>
              <w:spacing w:after="0" w:line="240" w:lineRule="auto"/>
            </w:pPr>
            <w:r>
              <w:rPr>
                <w:rFonts w:ascii="宋体" w:hAnsi="宋体" w:eastAsia="宋体"/>
                <w:sz w:val="21"/>
              </w:rPr>
              <w:t>union/outputs</w:t>
            </w:r>
          </w:p>
        </w:tc>
      </w:tr>
    </w:tbl>
    <w:p w14:paraId="67FE72D4">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三、实验原理</w:t>
      </w:r>
    </w:p>
    <w:p w14:paraId="4DA04B87">
      <w:pPr>
        <w:spacing w:line="300" w:lineRule="auto"/>
        <w:ind w:firstLine="420"/>
      </w:pPr>
      <w:r>
        <w:rPr>
          <w:rFonts w:ascii="宋体" w:hAnsi="宋体" w:eastAsia="宋体"/>
          <w:sz w:val="21"/>
        </w:rPr>
        <w:t>局部特征匹配的核心思想是在图像中寻找具有区分性的稳定局部区域，并用描述子表示这些区域的局部灰度或结构信息。ORB 由 FAST 关键点检测和 BRIEF 描述子改进而来，它通过方向估计增强旋转鲁棒性，并利用图像金字塔获得一定尺度鲁棒性。ORB 描述子是二进制向量，因此匹配时通常使用 Hamming distance 计算两个二进制串中不同位的数量。</w:t>
      </w:r>
    </w:p>
    <w:p w14:paraId="556E8AB8">
      <w:pPr>
        <w:spacing w:line="300" w:lineRule="auto"/>
        <w:ind w:firstLine="420"/>
      </w:pPr>
      <w:r>
        <w:rPr>
          <w:rFonts w:ascii="宋体" w:hAnsi="宋体" w:eastAsia="宋体"/>
          <w:sz w:val="21"/>
        </w:rPr>
        <w:t>初始描述子匹配只考虑局部相似性，容易受到重复纹理、背景干扰和相似图案影响。RANSAC 根据几何一致性反复抽样估计 Homography，把满足同一几何变换的匹配作为内点，将不符合整体几何关系的匹配视为外点。Homography 是 3×3 单应矩阵，适合描述两幅图像中同一平面目标在透视成像下的映射关系。</w:t>
      </w:r>
    </w:p>
    <w:p w14:paraId="1035F37D">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四、ORB 关键点检测</w:t>
      </w:r>
    </w:p>
    <w:p w14:paraId="2995FC6C">
      <w:pPr>
        <w:spacing w:line="300" w:lineRule="auto"/>
        <w:ind w:firstLine="420"/>
      </w:pPr>
      <w:r>
        <w:rPr>
          <w:rFonts w:ascii="宋体" w:hAnsi="宋体" w:eastAsia="宋体"/>
          <w:sz w:val="21"/>
        </w:rPr>
        <w:t>实验使用 cv2.ORB_create(nfeatures=1000) 创建检测器，并通过 detectAndCompute() 同时得到关键点和描述子。box.png 检测到 865 个关键点，描述子维度为 (865, 32)；box_in_scene.png 检测到 1000 个关键点，描述子维度为 (1000, 32)。</w:t>
      </w:r>
    </w:p>
    <w:p w14:paraId="762404E4">
      <w:pPr>
        <w:jc w:val="center"/>
      </w:pPr>
      <w:r>
        <w:drawing>
          <wp:inline distT="0" distB="0" distL="114300" distR="114300">
            <wp:extent cx="3840480" cy="264287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840480" cy="2643293"/>
                    </a:xfrm>
                    <a:prstGeom prst="rect">
                      <a:avLst/>
                    </a:prstGeom>
                  </pic:spPr>
                </pic:pic>
              </a:graphicData>
            </a:graphic>
          </wp:inline>
        </w:drawing>
      </w:r>
    </w:p>
    <w:p w14:paraId="71CC2EBB">
      <w:pPr>
        <w:jc w:val="center"/>
      </w:pPr>
      <w:r>
        <w:t>图1 box.png 的 ORB 特征点可视化</w:t>
      </w:r>
    </w:p>
    <w:p w14:paraId="6536EE56">
      <w:pPr>
        <w:jc w:val="center"/>
      </w:pPr>
      <w:r>
        <w:drawing>
          <wp:inline distT="0" distB="0" distL="114300" distR="114300">
            <wp:extent cx="5303520" cy="3977640"/>
            <wp:effectExtent l="0" t="0" r="508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3977640"/>
                    </a:xfrm>
                    <a:prstGeom prst="rect">
                      <a:avLst/>
                    </a:prstGeom>
                  </pic:spPr>
                </pic:pic>
              </a:graphicData>
            </a:graphic>
          </wp:inline>
        </w:drawing>
      </w:r>
    </w:p>
    <w:p w14:paraId="2D2B914E">
      <w:pPr>
        <w:jc w:val="center"/>
      </w:pPr>
      <w:r>
        <w:t>图2 box_in_scene.png 的 ORB 特征点可视化</w:t>
      </w:r>
    </w:p>
    <w:p w14:paraId="6AB4293C">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五、ORB 特征匹配</w:t>
      </w:r>
    </w:p>
    <w:p w14:paraId="5FA8D18A">
      <w:pPr>
        <w:spacing w:line="300" w:lineRule="auto"/>
        <w:ind w:firstLine="420"/>
      </w:pPr>
      <w:r>
        <w:rPr>
          <w:rFonts w:ascii="宋体" w:hAnsi="宋体" w:eastAsia="宋体"/>
          <w:sz w:val="21"/>
        </w:rPr>
        <w:t>ORB 描述子为二进制描述子，因此本实验使用 cv2.BFMatcher(cv2.NORM_HAMMING, crossCheck=True) 进行暴力匹配，并按照匹配距离从小到大排序。nfeatures=1000 时，总匹配数量为 287，报告中显示前 50 个匹配结果。</w:t>
      </w:r>
    </w:p>
    <w:p w14:paraId="2F1501E0">
      <w:pPr>
        <w:jc w:val="center"/>
      </w:pPr>
      <w:r>
        <w:drawing>
          <wp:inline distT="0" distB="0" distL="114300" distR="114300">
            <wp:extent cx="5669280" cy="26035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2604071"/>
                    </a:xfrm>
                    <a:prstGeom prst="rect">
                      <a:avLst/>
                    </a:prstGeom>
                  </pic:spPr>
                </pic:pic>
              </a:graphicData>
            </a:graphic>
          </wp:inline>
        </w:drawing>
      </w:r>
    </w:p>
    <w:p w14:paraId="2BA491E2">
      <w:pPr>
        <w:jc w:val="center"/>
      </w:pPr>
      <w:r>
        <w:t>图3 ORB 初始前 50 个匹配结果</w:t>
      </w:r>
    </w:p>
    <w:p w14:paraId="321DF6F9">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六、RANSAC 剔除错误匹配</w:t>
      </w:r>
    </w:p>
    <w:p w14:paraId="475DCB38">
      <w:pPr>
        <w:spacing w:line="300" w:lineRule="auto"/>
        <w:ind w:firstLine="420"/>
      </w:pPr>
      <w:r>
        <w:rPr>
          <w:rFonts w:ascii="宋体" w:hAnsi="宋体" w:eastAsia="宋体"/>
          <w:sz w:val="21"/>
        </w:rPr>
        <w:t>从匹配结果中提取两幅图像的对应点坐标后，使用 cv2.findHomography(src_points, dst_points, cv2.RANSAC, 5.0) 估计 Homography。RANSAC 后内点数量为 52，总匹配数量为 287，内点比例为 0.1812。</w:t>
      </w:r>
    </w:p>
    <w:p w14:paraId="356465CA">
      <w:pPr>
        <w:spacing w:line="300" w:lineRule="auto"/>
        <w:ind w:firstLine="420"/>
      </w:pPr>
      <w:r>
        <w:rPr>
          <w:rFonts w:ascii="宋体" w:hAnsi="宋体" w:eastAsia="宋体"/>
          <w:sz w:val="21"/>
        </w:rPr>
        <w:t>Homography 矩阵如下：</w:t>
      </w:r>
    </w:p>
    <w:p w14:paraId="04F1238B">
      <w:pPr>
        <w:ind w:left="360"/>
      </w:pPr>
      <w:r>
        <w:rPr>
          <w:rFonts w:ascii="Consolas" w:hAnsi="Consolas"/>
          <w:sz w:val="18"/>
        </w:rPr>
        <w:t>[[  0.4344    -0.127125 117.960351]</w:t>
      </w:r>
      <w:r>
        <w:rPr>
          <w:rFonts w:ascii="Consolas" w:hAnsi="Consolas"/>
          <w:sz w:val="18"/>
        </w:rPr>
        <w:br w:type="textWrapping"/>
      </w:r>
      <w:r>
        <w:rPr>
          <w:rFonts w:ascii="Consolas" w:hAnsi="Consolas"/>
          <w:sz w:val="18"/>
        </w:rPr>
        <w:t xml:space="preserve"> [ -0.017338   0.462979 160.111717]</w:t>
      </w:r>
      <w:r>
        <w:rPr>
          <w:rFonts w:ascii="Consolas" w:hAnsi="Consolas"/>
          <w:sz w:val="18"/>
        </w:rPr>
        <w:br w:type="textWrapping"/>
      </w:r>
      <w:r>
        <w:rPr>
          <w:rFonts w:ascii="Consolas" w:hAnsi="Consolas"/>
          <w:sz w:val="18"/>
        </w:rPr>
        <w:t xml:space="preserve"> [ -0.000337  -0.000127   1.      ]]</w:t>
      </w:r>
    </w:p>
    <w:p w14:paraId="502BF556">
      <w:pPr>
        <w:jc w:val="center"/>
      </w:pPr>
      <w:r>
        <w:drawing>
          <wp:inline distT="0" distB="0" distL="114300" distR="114300">
            <wp:extent cx="5669280" cy="26035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2604071"/>
                    </a:xfrm>
                    <a:prstGeom prst="rect">
                      <a:avLst/>
                    </a:prstGeom>
                  </pic:spPr>
                </pic:pic>
              </a:graphicData>
            </a:graphic>
          </wp:inline>
        </w:drawing>
      </w:r>
    </w:p>
    <w:p w14:paraId="5DAEA7DD">
      <w:pPr>
        <w:jc w:val="center"/>
      </w:pPr>
      <w:r>
        <w:t>图4 RANSAC 后的 ORB 内点匹配结果</w:t>
      </w:r>
    </w:p>
    <w:p w14:paraId="1A890D9F">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七、Homography 目标定位</w:t>
      </w:r>
    </w:p>
    <w:p w14:paraId="17585D16">
      <w:pPr>
        <w:spacing w:line="300" w:lineRule="auto"/>
        <w:ind w:firstLine="420"/>
      </w:pPr>
      <w:r>
        <w:rPr>
          <w:rFonts w:ascii="宋体" w:hAnsi="宋体" w:eastAsia="宋体"/>
          <w:sz w:val="21"/>
        </w:rPr>
        <w:t>根据估计出的 Homography，将模板图 box.png 的四个角点通过 cv2.perspectiveTransform() 投影到场景图中，并使用 cv2.polylines() 绘制四边形边框。实验结果显示目标定位成功，边框能够较准确地覆盖场景中的盒子目标。</w:t>
      </w:r>
    </w:p>
    <w:p w14:paraId="4CCE6470">
      <w:pPr>
        <w:jc w:val="center"/>
      </w:pPr>
      <w:r>
        <w:drawing>
          <wp:inline distT="0" distB="0" distL="114300" distR="114300">
            <wp:extent cx="5303520" cy="3977640"/>
            <wp:effectExtent l="0" t="0" r="50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03520" cy="3977640"/>
                    </a:xfrm>
                    <a:prstGeom prst="rect">
                      <a:avLst/>
                    </a:prstGeom>
                  </pic:spPr>
                </pic:pic>
              </a:graphicData>
            </a:graphic>
          </wp:inline>
        </w:drawing>
      </w:r>
    </w:p>
    <w:p w14:paraId="78486B29">
      <w:pPr>
        <w:jc w:val="center"/>
      </w:pPr>
      <w:r>
        <w:t>图5 ORB + RANSAC + Homography 目标定位结果</w:t>
      </w:r>
    </w:p>
    <w:p w14:paraId="3E930166">
      <w:pPr>
        <w:pStyle w:val="3"/>
      </w:pPr>
      <w:r>
        <w:rPr>
          <w:rFonts w:ascii="Arial" w:hAnsi="Arial" w:eastAsia="等线" w:cs="Arial"/>
          <w:b/>
          <w:bCs w:val="0"/>
          <w:color w:val="auto"/>
          <w:sz w:val="32"/>
          <w:szCs w:val="22"/>
          <w:lang w:val="en-US" w:eastAsia="en-US" w:bidi="ar-SA"/>
        </w:rPr>
        <w:t>八、nfeatures 参数对比实验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1378"/>
        <w:gridCol w:w="1378"/>
        <w:gridCol w:w="1378"/>
        <w:gridCol w:w="1378"/>
        <w:gridCol w:w="1378"/>
        <w:gridCol w:w="1378"/>
      </w:tblGrid>
      <w:tr w14:paraId="19EB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8" w:type="dxa"/>
          </w:tcPr>
          <w:p w14:paraId="39D4A440">
            <w:pPr>
              <w:spacing w:after="0" w:line="240" w:lineRule="auto"/>
            </w:pPr>
            <w:r>
              <w:rPr>
                <w:rFonts w:ascii="宋体" w:hAnsi="宋体" w:eastAsia="宋体"/>
                <w:sz w:val="21"/>
              </w:rPr>
              <w:t>nfeatures</w:t>
            </w:r>
          </w:p>
        </w:tc>
        <w:tc>
          <w:tcPr>
            <w:tcW w:w="1378" w:type="dxa"/>
          </w:tcPr>
          <w:p w14:paraId="729E56FF">
            <w:pPr>
              <w:spacing w:after="0" w:line="240" w:lineRule="auto"/>
            </w:pPr>
            <w:r>
              <w:rPr>
                <w:rFonts w:ascii="宋体" w:hAnsi="宋体" w:eastAsia="宋体"/>
                <w:sz w:val="21"/>
              </w:rPr>
              <w:t>模板图关键点数</w:t>
            </w:r>
          </w:p>
        </w:tc>
        <w:tc>
          <w:tcPr>
            <w:tcW w:w="1378" w:type="dxa"/>
          </w:tcPr>
          <w:p w14:paraId="578B0E70">
            <w:pPr>
              <w:spacing w:after="0" w:line="240" w:lineRule="auto"/>
            </w:pPr>
            <w:r>
              <w:rPr>
                <w:rFonts w:ascii="宋体" w:hAnsi="宋体" w:eastAsia="宋体"/>
                <w:sz w:val="21"/>
              </w:rPr>
              <w:t>场景图关键点数</w:t>
            </w:r>
          </w:p>
        </w:tc>
        <w:tc>
          <w:tcPr>
            <w:tcW w:w="1378" w:type="dxa"/>
          </w:tcPr>
          <w:p w14:paraId="136CAEAD">
            <w:pPr>
              <w:spacing w:after="0" w:line="240" w:lineRule="auto"/>
            </w:pPr>
            <w:r>
              <w:rPr>
                <w:rFonts w:ascii="宋体" w:hAnsi="宋体" w:eastAsia="宋体"/>
                <w:sz w:val="21"/>
              </w:rPr>
              <w:t>匹配数量</w:t>
            </w:r>
          </w:p>
        </w:tc>
        <w:tc>
          <w:tcPr>
            <w:tcW w:w="1378" w:type="dxa"/>
          </w:tcPr>
          <w:p w14:paraId="3D6FC667">
            <w:pPr>
              <w:spacing w:after="0" w:line="240" w:lineRule="auto"/>
            </w:pPr>
            <w:r>
              <w:rPr>
                <w:rFonts w:ascii="宋体" w:hAnsi="宋体" w:eastAsia="宋体"/>
                <w:sz w:val="21"/>
              </w:rPr>
              <w:t>RANSAC 内点数</w:t>
            </w:r>
          </w:p>
        </w:tc>
        <w:tc>
          <w:tcPr>
            <w:tcW w:w="1378" w:type="dxa"/>
          </w:tcPr>
          <w:p w14:paraId="6D150151">
            <w:pPr>
              <w:spacing w:after="0" w:line="240" w:lineRule="auto"/>
            </w:pPr>
            <w:r>
              <w:rPr>
                <w:rFonts w:ascii="宋体" w:hAnsi="宋体" w:eastAsia="宋体"/>
                <w:sz w:val="21"/>
              </w:rPr>
              <w:t>内点比例</w:t>
            </w:r>
          </w:p>
        </w:tc>
        <w:tc>
          <w:tcPr>
            <w:tcW w:w="1378" w:type="dxa"/>
          </w:tcPr>
          <w:p w14:paraId="5ADE0B30">
            <w:pPr>
              <w:spacing w:after="0" w:line="240" w:lineRule="auto"/>
            </w:pPr>
            <w:r>
              <w:rPr>
                <w:rFonts w:ascii="宋体" w:hAnsi="宋体" w:eastAsia="宋体"/>
                <w:sz w:val="21"/>
              </w:rPr>
              <w:t>是否成功定位</w:t>
            </w:r>
          </w:p>
        </w:tc>
      </w:tr>
      <w:tr w14:paraId="5A07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8" w:type="dxa"/>
          </w:tcPr>
          <w:p w14:paraId="64CA9447">
            <w:pPr>
              <w:spacing w:after="0" w:line="240" w:lineRule="auto"/>
            </w:pPr>
            <w:r>
              <w:rPr>
                <w:rFonts w:ascii="宋体" w:hAnsi="宋体" w:eastAsia="宋体"/>
                <w:sz w:val="21"/>
              </w:rPr>
              <w:t>500</w:t>
            </w:r>
          </w:p>
        </w:tc>
        <w:tc>
          <w:tcPr>
            <w:tcW w:w="1378" w:type="dxa"/>
          </w:tcPr>
          <w:p w14:paraId="5F015F70">
            <w:pPr>
              <w:spacing w:after="0" w:line="240" w:lineRule="auto"/>
            </w:pPr>
            <w:r>
              <w:rPr>
                <w:rFonts w:ascii="宋体" w:hAnsi="宋体" w:eastAsia="宋体"/>
                <w:sz w:val="21"/>
              </w:rPr>
              <w:t>453</w:t>
            </w:r>
          </w:p>
        </w:tc>
        <w:tc>
          <w:tcPr>
            <w:tcW w:w="1378" w:type="dxa"/>
          </w:tcPr>
          <w:p w14:paraId="16FD37A7">
            <w:pPr>
              <w:spacing w:after="0" w:line="240" w:lineRule="auto"/>
            </w:pPr>
            <w:r>
              <w:rPr>
                <w:rFonts w:ascii="宋体" w:hAnsi="宋体" w:eastAsia="宋体"/>
                <w:sz w:val="21"/>
              </w:rPr>
              <w:t>500</w:t>
            </w:r>
          </w:p>
        </w:tc>
        <w:tc>
          <w:tcPr>
            <w:tcW w:w="1378" w:type="dxa"/>
          </w:tcPr>
          <w:p w14:paraId="58EE8BC5">
            <w:pPr>
              <w:spacing w:after="0" w:line="240" w:lineRule="auto"/>
            </w:pPr>
            <w:r>
              <w:rPr>
                <w:rFonts w:ascii="宋体" w:hAnsi="宋体" w:eastAsia="宋体"/>
                <w:sz w:val="21"/>
              </w:rPr>
              <w:t>149</w:t>
            </w:r>
          </w:p>
        </w:tc>
        <w:tc>
          <w:tcPr>
            <w:tcW w:w="1378" w:type="dxa"/>
          </w:tcPr>
          <w:p w14:paraId="58041909">
            <w:pPr>
              <w:spacing w:after="0" w:line="240" w:lineRule="auto"/>
            </w:pPr>
            <w:r>
              <w:rPr>
                <w:rFonts w:ascii="宋体" w:hAnsi="宋体" w:eastAsia="宋体"/>
                <w:sz w:val="21"/>
              </w:rPr>
              <w:t>32</w:t>
            </w:r>
          </w:p>
        </w:tc>
        <w:tc>
          <w:tcPr>
            <w:tcW w:w="1378" w:type="dxa"/>
          </w:tcPr>
          <w:p w14:paraId="0F6C533F">
            <w:pPr>
              <w:spacing w:after="0" w:line="240" w:lineRule="auto"/>
            </w:pPr>
            <w:r>
              <w:rPr>
                <w:rFonts w:ascii="宋体" w:hAnsi="宋体" w:eastAsia="宋体"/>
                <w:sz w:val="21"/>
              </w:rPr>
              <w:t>0.2148</w:t>
            </w:r>
          </w:p>
        </w:tc>
        <w:tc>
          <w:tcPr>
            <w:tcW w:w="1378" w:type="dxa"/>
          </w:tcPr>
          <w:p w14:paraId="5D267857">
            <w:pPr>
              <w:spacing w:after="0" w:line="240" w:lineRule="auto"/>
            </w:pPr>
            <w:r>
              <w:rPr>
                <w:rFonts w:hint="eastAsia"/>
                <w:sz w:val="21"/>
                <w:lang w:val="en-US" w:eastAsia="zh-CN"/>
              </w:rPr>
              <w:t>是</w:t>
            </w:r>
          </w:p>
        </w:tc>
      </w:tr>
      <w:tr w14:paraId="7610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8" w:type="dxa"/>
          </w:tcPr>
          <w:p w14:paraId="56EC94C0">
            <w:pPr>
              <w:spacing w:after="0" w:line="240" w:lineRule="auto"/>
            </w:pPr>
            <w:r>
              <w:rPr>
                <w:rFonts w:ascii="宋体" w:hAnsi="宋体" w:eastAsia="宋体"/>
                <w:sz w:val="21"/>
              </w:rPr>
              <w:t>1000</w:t>
            </w:r>
          </w:p>
        </w:tc>
        <w:tc>
          <w:tcPr>
            <w:tcW w:w="1378" w:type="dxa"/>
          </w:tcPr>
          <w:p w14:paraId="665203D6">
            <w:pPr>
              <w:spacing w:after="0" w:line="240" w:lineRule="auto"/>
            </w:pPr>
            <w:r>
              <w:rPr>
                <w:rFonts w:ascii="宋体" w:hAnsi="宋体" w:eastAsia="宋体"/>
                <w:sz w:val="21"/>
              </w:rPr>
              <w:t>865</w:t>
            </w:r>
          </w:p>
        </w:tc>
        <w:tc>
          <w:tcPr>
            <w:tcW w:w="1378" w:type="dxa"/>
          </w:tcPr>
          <w:p w14:paraId="62149E5F">
            <w:pPr>
              <w:spacing w:after="0" w:line="240" w:lineRule="auto"/>
            </w:pPr>
            <w:r>
              <w:rPr>
                <w:rFonts w:ascii="宋体" w:hAnsi="宋体" w:eastAsia="宋体"/>
                <w:sz w:val="21"/>
              </w:rPr>
              <w:t>1000</w:t>
            </w:r>
          </w:p>
        </w:tc>
        <w:tc>
          <w:tcPr>
            <w:tcW w:w="1378" w:type="dxa"/>
          </w:tcPr>
          <w:p w14:paraId="4F073E8B">
            <w:pPr>
              <w:spacing w:after="0" w:line="240" w:lineRule="auto"/>
            </w:pPr>
            <w:r>
              <w:rPr>
                <w:rFonts w:ascii="宋体" w:hAnsi="宋体" w:eastAsia="宋体"/>
                <w:sz w:val="21"/>
              </w:rPr>
              <w:t>287</w:t>
            </w:r>
          </w:p>
        </w:tc>
        <w:tc>
          <w:tcPr>
            <w:tcW w:w="1378" w:type="dxa"/>
          </w:tcPr>
          <w:p w14:paraId="50FD4A9E">
            <w:pPr>
              <w:spacing w:after="0" w:line="240" w:lineRule="auto"/>
            </w:pPr>
            <w:r>
              <w:rPr>
                <w:rFonts w:ascii="宋体" w:hAnsi="宋体" w:eastAsia="宋体"/>
                <w:sz w:val="21"/>
              </w:rPr>
              <w:t>52</w:t>
            </w:r>
          </w:p>
        </w:tc>
        <w:tc>
          <w:tcPr>
            <w:tcW w:w="1378" w:type="dxa"/>
          </w:tcPr>
          <w:p w14:paraId="3D0EFC40">
            <w:pPr>
              <w:spacing w:after="0" w:line="240" w:lineRule="auto"/>
            </w:pPr>
            <w:r>
              <w:rPr>
                <w:rFonts w:ascii="宋体" w:hAnsi="宋体" w:eastAsia="宋体"/>
                <w:sz w:val="21"/>
              </w:rPr>
              <w:t>0.1812</w:t>
            </w:r>
          </w:p>
        </w:tc>
        <w:tc>
          <w:tcPr>
            <w:tcW w:w="1378" w:type="dxa"/>
          </w:tcPr>
          <w:p w14:paraId="5FD39236">
            <w:pPr>
              <w:spacing w:after="0" w:line="240" w:lineRule="auto"/>
            </w:pPr>
            <w:r>
              <w:rPr>
                <w:rFonts w:hint="eastAsia"/>
                <w:sz w:val="21"/>
                <w:lang w:val="en-US" w:eastAsia="zh-CN"/>
              </w:rPr>
              <w:t>是</w:t>
            </w:r>
          </w:p>
        </w:tc>
      </w:tr>
      <w:tr w14:paraId="33C3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8" w:type="dxa"/>
          </w:tcPr>
          <w:p w14:paraId="43615A05">
            <w:pPr>
              <w:spacing w:after="0" w:line="240" w:lineRule="auto"/>
            </w:pPr>
            <w:r>
              <w:rPr>
                <w:rFonts w:ascii="宋体" w:hAnsi="宋体" w:eastAsia="宋体"/>
                <w:sz w:val="21"/>
              </w:rPr>
              <w:t>2000</w:t>
            </w:r>
          </w:p>
        </w:tc>
        <w:tc>
          <w:tcPr>
            <w:tcW w:w="1378" w:type="dxa"/>
          </w:tcPr>
          <w:p w14:paraId="7036B2A7">
            <w:pPr>
              <w:spacing w:after="0" w:line="240" w:lineRule="auto"/>
            </w:pPr>
            <w:r>
              <w:rPr>
                <w:rFonts w:ascii="宋体" w:hAnsi="宋体" w:eastAsia="宋体"/>
                <w:sz w:val="21"/>
              </w:rPr>
              <w:t>1589</w:t>
            </w:r>
          </w:p>
        </w:tc>
        <w:tc>
          <w:tcPr>
            <w:tcW w:w="1378" w:type="dxa"/>
          </w:tcPr>
          <w:p w14:paraId="51A09C6C">
            <w:pPr>
              <w:spacing w:after="0" w:line="240" w:lineRule="auto"/>
            </w:pPr>
            <w:r>
              <w:rPr>
                <w:rFonts w:ascii="宋体" w:hAnsi="宋体" w:eastAsia="宋体"/>
                <w:sz w:val="21"/>
              </w:rPr>
              <w:t>1999</w:t>
            </w:r>
          </w:p>
        </w:tc>
        <w:tc>
          <w:tcPr>
            <w:tcW w:w="1378" w:type="dxa"/>
          </w:tcPr>
          <w:p w14:paraId="781C822D">
            <w:pPr>
              <w:spacing w:after="0" w:line="240" w:lineRule="auto"/>
            </w:pPr>
            <w:r>
              <w:rPr>
                <w:rFonts w:ascii="宋体" w:hAnsi="宋体" w:eastAsia="宋体"/>
                <w:sz w:val="21"/>
              </w:rPr>
              <w:t>511</w:t>
            </w:r>
          </w:p>
        </w:tc>
        <w:tc>
          <w:tcPr>
            <w:tcW w:w="1378" w:type="dxa"/>
          </w:tcPr>
          <w:p w14:paraId="73D1A470">
            <w:pPr>
              <w:spacing w:after="0" w:line="240" w:lineRule="auto"/>
            </w:pPr>
            <w:r>
              <w:rPr>
                <w:rFonts w:ascii="宋体" w:hAnsi="宋体" w:eastAsia="宋体"/>
                <w:sz w:val="21"/>
              </w:rPr>
              <w:t>66</w:t>
            </w:r>
          </w:p>
        </w:tc>
        <w:tc>
          <w:tcPr>
            <w:tcW w:w="1378" w:type="dxa"/>
          </w:tcPr>
          <w:p w14:paraId="1D2910D8">
            <w:pPr>
              <w:spacing w:after="0" w:line="240" w:lineRule="auto"/>
            </w:pPr>
            <w:r>
              <w:rPr>
                <w:rFonts w:ascii="宋体" w:hAnsi="宋体" w:eastAsia="宋体"/>
                <w:sz w:val="21"/>
              </w:rPr>
              <w:t>0.1292</w:t>
            </w:r>
          </w:p>
        </w:tc>
        <w:tc>
          <w:tcPr>
            <w:tcW w:w="1378" w:type="dxa"/>
          </w:tcPr>
          <w:p w14:paraId="5AC4DE1A">
            <w:pPr>
              <w:spacing w:after="0" w:line="240" w:lineRule="auto"/>
            </w:pPr>
            <w:r>
              <w:rPr>
                <w:rFonts w:hint="eastAsia"/>
                <w:sz w:val="21"/>
                <w:lang w:val="en-US" w:eastAsia="zh-CN"/>
              </w:rPr>
              <w:t>是</w:t>
            </w:r>
          </w:p>
        </w:tc>
      </w:tr>
    </w:tbl>
    <w:p w14:paraId="1036C3D1">
      <w:pPr>
        <w:spacing w:line="300" w:lineRule="auto"/>
        <w:ind w:firstLine="420"/>
      </w:pPr>
      <w:r>
        <w:rPr>
          <w:rFonts w:ascii="宋体" w:hAnsi="宋体" w:eastAsia="宋体"/>
          <w:sz w:val="21"/>
        </w:rPr>
        <w:t>从表中可以看到，nfeatures 从 500 增加到 2000 时，模板图和场景图检测到的关键点数量明显增加，匹配数量也从 149 增加到 511，说明更多候选特征通常会带来更多初始匹配。但是内点比例从 0.2148 下降到 0.1292，说明特征点越多并不一定使匹配质量更高，因为新增特征中可能包含较多不稳定点、重复纹理点或背景干扰点。三组参数都能成功定位目标，但 nfeatures=1000 在匹配数量和计算开销之间较为均衡。</w:t>
      </w:r>
    </w:p>
    <w:p w14:paraId="554986BD">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九、SIFT 选做对比</w:t>
      </w:r>
    </w:p>
    <w:p w14:paraId="56F6994E">
      <w:pPr>
        <w:spacing w:line="300" w:lineRule="auto"/>
        <w:ind w:firstLine="420"/>
      </w:pPr>
      <w:r>
        <w:rPr>
          <w:rFonts w:ascii="宋体" w:hAnsi="宋体" w:eastAsia="宋体"/>
          <w:sz w:val="21"/>
        </w:rPr>
        <w:t>本机 OpenCV 支持 cv2.SIFT_create()，因此完成了 SIFT 选做实验。SIFT 使用 NORM_L2 距离进行 KNN matching，并通过 Lowe ratio test 筛选匹配，再使用 RANSAC + Homography 完成定位。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5CDE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E801B0A">
            <w:pPr>
              <w:spacing w:after="0" w:line="240" w:lineRule="auto"/>
            </w:pPr>
            <w:r>
              <w:rPr>
                <w:rFonts w:ascii="宋体" w:hAnsi="宋体" w:eastAsia="宋体"/>
                <w:sz w:val="21"/>
              </w:rPr>
              <w:t>方法</w:t>
            </w:r>
          </w:p>
        </w:tc>
        <w:tc>
          <w:tcPr>
            <w:tcW w:w="1608" w:type="dxa"/>
          </w:tcPr>
          <w:p w14:paraId="60D4FD42">
            <w:pPr>
              <w:spacing w:after="0" w:line="240" w:lineRule="auto"/>
            </w:pPr>
            <w:r>
              <w:rPr>
                <w:rFonts w:ascii="宋体" w:hAnsi="宋体" w:eastAsia="宋体"/>
                <w:sz w:val="21"/>
              </w:rPr>
              <w:t>匹配数量</w:t>
            </w:r>
          </w:p>
        </w:tc>
        <w:tc>
          <w:tcPr>
            <w:tcW w:w="1608" w:type="dxa"/>
          </w:tcPr>
          <w:p w14:paraId="298789BA">
            <w:pPr>
              <w:spacing w:after="0" w:line="240" w:lineRule="auto"/>
            </w:pPr>
            <w:r>
              <w:rPr>
                <w:rFonts w:ascii="宋体" w:hAnsi="宋体" w:eastAsia="宋体"/>
                <w:sz w:val="21"/>
              </w:rPr>
              <w:t>RANSAC 内点数</w:t>
            </w:r>
          </w:p>
        </w:tc>
        <w:tc>
          <w:tcPr>
            <w:tcW w:w="1608" w:type="dxa"/>
          </w:tcPr>
          <w:p w14:paraId="5F99B3B4">
            <w:pPr>
              <w:spacing w:after="0" w:line="240" w:lineRule="auto"/>
            </w:pPr>
            <w:r>
              <w:rPr>
                <w:rFonts w:ascii="宋体" w:hAnsi="宋体" w:eastAsia="宋体"/>
                <w:sz w:val="21"/>
              </w:rPr>
              <w:t>内点比例</w:t>
            </w:r>
          </w:p>
        </w:tc>
        <w:tc>
          <w:tcPr>
            <w:tcW w:w="1608" w:type="dxa"/>
          </w:tcPr>
          <w:p w14:paraId="7300A432">
            <w:pPr>
              <w:spacing w:after="0" w:line="240" w:lineRule="auto"/>
            </w:pPr>
            <w:r>
              <w:rPr>
                <w:rFonts w:ascii="宋体" w:hAnsi="宋体" w:eastAsia="宋体"/>
                <w:sz w:val="21"/>
              </w:rPr>
              <w:t>是否成功定位</w:t>
            </w:r>
          </w:p>
        </w:tc>
        <w:tc>
          <w:tcPr>
            <w:tcW w:w="1608" w:type="dxa"/>
          </w:tcPr>
          <w:p w14:paraId="202319CD">
            <w:pPr>
              <w:spacing w:after="0" w:line="240" w:lineRule="auto"/>
            </w:pPr>
            <w:r>
              <w:rPr>
                <w:rFonts w:ascii="宋体" w:hAnsi="宋体" w:eastAsia="宋体"/>
                <w:sz w:val="21"/>
              </w:rPr>
              <w:t>运行速度主观评价</w:t>
            </w:r>
          </w:p>
        </w:tc>
      </w:tr>
      <w:tr w14:paraId="5347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37F3714A">
            <w:pPr>
              <w:spacing w:after="0" w:line="240" w:lineRule="auto"/>
            </w:pPr>
            <w:r>
              <w:rPr>
                <w:rFonts w:ascii="宋体" w:hAnsi="宋体" w:eastAsia="宋体"/>
                <w:sz w:val="21"/>
              </w:rPr>
              <w:t>ORB</w:t>
            </w:r>
          </w:p>
        </w:tc>
        <w:tc>
          <w:tcPr>
            <w:tcW w:w="1608" w:type="dxa"/>
          </w:tcPr>
          <w:p w14:paraId="2161D2EF">
            <w:pPr>
              <w:spacing w:after="0" w:line="240" w:lineRule="auto"/>
            </w:pPr>
            <w:r>
              <w:rPr>
                <w:rFonts w:ascii="宋体" w:hAnsi="宋体" w:eastAsia="宋体"/>
                <w:sz w:val="21"/>
              </w:rPr>
              <w:t>287</w:t>
            </w:r>
          </w:p>
        </w:tc>
        <w:tc>
          <w:tcPr>
            <w:tcW w:w="1608" w:type="dxa"/>
          </w:tcPr>
          <w:p w14:paraId="31DC482A">
            <w:pPr>
              <w:spacing w:after="0" w:line="240" w:lineRule="auto"/>
            </w:pPr>
            <w:r>
              <w:rPr>
                <w:rFonts w:ascii="宋体" w:hAnsi="宋体" w:eastAsia="宋体"/>
                <w:sz w:val="21"/>
              </w:rPr>
              <w:t>52</w:t>
            </w:r>
          </w:p>
        </w:tc>
        <w:tc>
          <w:tcPr>
            <w:tcW w:w="1608" w:type="dxa"/>
          </w:tcPr>
          <w:p w14:paraId="5D2F35ED">
            <w:pPr>
              <w:spacing w:after="0" w:line="240" w:lineRule="auto"/>
            </w:pPr>
            <w:r>
              <w:rPr>
                <w:rFonts w:ascii="宋体" w:hAnsi="宋体" w:eastAsia="宋体"/>
                <w:sz w:val="21"/>
              </w:rPr>
              <w:t>0.1812</w:t>
            </w:r>
          </w:p>
        </w:tc>
        <w:tc>
          <w:tcPr>
            <w:tcW w:w="1608" w:type="dxa"/>
          </w:tcPr>
          <w:p w14:paraId="4FC7C029">
            <w:pPr>
              <w:spacing w:after="0" w:line="240" w:lineRule="auto"/>
              <w:rPr>
                <w:rFonts w:hint="eastAsia" w:eastAsia="宋体"/>
                <w:lang w:eastAsia="zh-CN"/>
              </w:rPr>
            </w:pPr>
            <w:r>
              <w:rPr>
                <w:rFonts w:hint="eastAsia"/>
                <w:sz w:val="21"/>
                <w:lang w:val="en-US" w:eastAsia="zh-CN"/>
              </w:rPr>
              <w:t>是</w:t>
            </w:r>
          </w:p>
        </w:tc>
        <w:tc>
          <w:tcPr>
            <w:tcW w:w="1608" w:type="dxa"/>
          </w:tcPr>
          <w:p w14:paraId="3D87B025">
            <w:pPr>
              <w:spacing w:after="0" w:line="240" w:lineRule="auto"/>
            </w:pPr>
            <w:r>
              <w:rPr>
                <w:rFonts w:ascii="宋体" w:hAnsi="宋体" w:eastAsia="宋体"/>
                <w:sz w:val="21"/>
              </w:rPr>
              <w:t>较快，适合实时场景</w:t>
            </w:r>
          </w:p>
        </w:tc>
      </w:tr>
      <w:tr w14:paraId="08B0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718BD5D">
            <w:pPr>
              <w:spacing w:after="0" w:line="240" w:lineRule="auto"/>
            </w:pPr>
            <w:r>
              <w:rPr>
                <w:rFonts w:ascii="宋体" w:hAnsi="宋体" w:eastAsia="宋体"/>
                <w:sz w:val="21"/>
              </w:rPr>
              <w:t>SIFT</w:t>
            </w:r>
          </w:p>
        </w:tc>
        <w:tc>
          <w:tcPr>
            <w:tcW w:w="1608" w:type="dxa"/>
          </w:tcPr>
          <w:p w14:paraId="5A811936">
            <w:pPr>
              <w:spacing w:after="0" w:line="240" w:lineRule="auto"/>
            </w:pPr>
            <w:r>
              <w:rPr>
                <w:rFonts w:ascii="宋体" w:hAnsi="宋体" w:eastAsia="宋体"/>
                <w:sz w:val="21"/>
              </w:rPr>
              <w:t>80</w:t>
            </w:r>
          </w:p>
        </w:tc>
        <w:tc>
          <w:tcPr>
            <w:tcW w:w="1608" w:type="dxa"/>
          </w:tcPr>
          <w:p w14:paraId="6244BF7A">
            <w:pPr>
              <w:spacing w:after="0" w:line="240" w:lineRule="auto"/>
            </w:pPr>
            <w:r>
              <w:rPr>
                <w:rFonts w:ascii="宋体" w:hAnsi="宋体" w:eastAsia="宋体"/>
                <w:sz w:val="21"/>
              </w:rPr>
              <w:t>75</w:t>
            </w:r>
          </w:p>
        </w:tc>
        <w:tc>
          <w:tcPr>
            <w:tcW w:w="1608" w:type="dxa"/>
          </w:tcPr>
          <w:p w14:paraId="40E69200">
            <w:pPr>
              <w:spacing w:after="0" w:line="240" w:lineRule="auto"/>
            </w:pPr>
            <w:r>
              <w:rPr>
                <w:rFonts w:ascii="宋体" w:hAnsi="宋体" w:eastAsia="宋体"/>
                <w:sz w:val="21"/>
              </w:rPr>
              <w:t>0.9375</w:t>
            </w:r>
          </w:p>
        </w:tc>
        <w:tc>
          <w:tcPr>
            <w:tcW w:w="1608" w:type="dxa"/>
          </w:tcPr>
          <w:p w14:paraId="3872967E">
            <w:pPr>
              <w:spacing w:after="0" w:line="240" w:lineRule="auto"/>
            </w:pPr>
            <w:r>
              <w:rPr>
                <w:rFonts w:hint="eastAsia"/>
                <w:sz w:val="21"/>
                <w:lang w:val="en-US" w:eastAsia="zh-CN"/>
              </w:rPr>
              <w:t>是</w:t>
            </w:r>
          </w:p>
        </w:tc>
        <w:tc>
          <w:tcPr>
            <w:tcW w:w="1608" w:type="dxa"/>
          </w:tcPr>
          <w:p w14:paraId="45034405">
            <w:pPr>
              <w:spacing w:after="0" w:line="240" w:lineRule="auto"/>
            </w:pPr>
            <w:r>
              <w:rPr>
                <w:rFonts w:ascii="宋体" w:hAnsi="宋体" w:eastAsia="宋体"/>
                <w:sz w:val="21"/>
              </w:rPr>
              <w:t>较慢但更稳定，本次耗时约 0.1138 秒</w:t>
            </w:r>
          </w:p>
        </w:tc>
      </w:tr>
    </w:tbl>
    <w:p w14:paraId="26EDBE1F">
      <w:pPr>
        <w:spacing w:line="300" w:lineRule="auto"/>
        <w:ind w:firstLine="420"/>
      </w:pPr>
      <w:r>
        <w:rPr>
          <w:rFonts w:ascii="宋体" w:hAnsi="宋体" w:eastAsia="宋体"/>
          <w:sz w:val="21"/>
        </w:rPr>
        <w:t>本实验中，SIFT 经过 Lowe ratio test 后得到 80 个有效匹配，其中 RANSAC 内点为 75，内点比例为 0.9375，明显高于 ORB 的 0.1812。ORB 的初始匹配数量更多，但错误匹配比例也更高；SIFT 的描述子更长、更稳定，对尺度和旋转变化的适应性更强，因此在本组图像上的几何一致性更好。</w:t>
      </w:r>
    </w:p>
    <w:p w14:paraId="46D31154">
      <w:pPr>
        <w:jc w:val="center"/>
      </w:pPr>
      <w:r>
        <w:drawing>
          <wp:inline distT="0" distB="0" distL="114300" distR="114300">
            <wp:extent cx="5669280" cy="26035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69280" cy="2604071"/>
                    </a:xfrm>
                    <a:prstGeom prst="rect">
                      <a:avLst/>
                    </a:prstGeom>
                  </pic:spPr>
                </pic:pic>
              </a:graphicData>
            </a:graphic>
          </wp:inline>
        </w:drawing>
      </w:r>
    </w:p>
    <w:p w14:paraId="2B114447">
      <w:pPr>
        <w:jc w:val="center"/>
      </w:pPr>
      <w:r>
        <w:t>图6 SIFT + RANSAC 匹配结果</w:t>
      </w:r>
    </w:p>
    <w:p w14:paraId="7225EF64">
      <w:pPr>
        <w:jc w:val="center"/>
      </w:pPr>
      <w:r>
        <w:drawing>
          <wp:inline distT="0" distB="0" distL="114300" distR="114300">
            <wp:extent cx="5303520" cy="3977640"/>
            <wp:effectExtent l="0" t="0" r="508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3977640"/>
                    </a:xfrm>
                    <a:prstGeom prst="rect">
                      <a:avLst/>
                    </a:prstGeom>
                  </pic:spPr>
                </pic:pic>
              </a:graphicData>
            </a:graphic>
          </wp:inline>
        </w:drawing>
      </w:r>
    </w:p>
    <w:p w14:paraId="0D0654C1">
      <w:pPr>
        <w:jc w:val="center"/>
      </w:pPr>
      <w:r>
        <w:t>图7 SIFT 目标定位结果</w:t>
      </w:r>
    </w:p>
    <w:p w14:paraId="5B2AA91D">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十、必答问题</w:t>
      </w:r>
    </w:p>
    <w:p w14:paraId="56DE0F97">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问题1：什么是特征点？</w:t>
      </w:r>
    </w:p>
    <w:p w14:paraId="63D0689C">
      <w:pPr>
        <w:spacing w:line="300" w:lineRule="auto"/>
        <w:ind w:firstLine="420"/>
      </w:pPr>
      <w:r>
        <w:rPr>
          <w:rFonts w:ascii="宋体" w:hAnsi="宋体" w:eastAsia="宋体"/>
          <w:sz w:val="21"/>
        </w:rPr>
        <w:t>特征点是图像中具有明显局部结构、容易被重复检测到的位置，例如角点、边缘交汇处、文字笔画交叉处和纹理丰富区域。结合 box.png 的结果，特征点主要分布在盒子文字、图案边缘、豆子纹理和边框附近。文字、角点、纹理丰富区域灰度变化明显，局部邻域具有较强区分性，所以容易产生特征点；大面积平坦区域灰度变化小，缺少可区分结构，通常没有明显特征点。</w:t>
      </w:r>
    </w:p>
    <w:p w14:paraId="63B1C864">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问题2：什么是特征描述子？</w:t>
      </w:r>
    </w:p>
    <w:p w14:paraId="47DEBE4C">
      <w:pPr>
        <w:spacing w:line="300" w:lineRule="auto"/>
        <w:ind w:firstLine="420"/>
      </w:pPr>
      <w:r>
        <w:rPr>
          <w:rFonts w:ascii="宋体" w:hAnsi="宋体" w:eastAsia="宋体"/>
          <w:sz w:val="21"/>
        </w:rPr>
        <w:t>描述子是对关键点周围局部图像内容的数值化表示。关键点主要表示位置、尺度和方向等信息，描述子则用于描述该位置附近的局部外观。只知道关键点位置无法判断两个点是否对应，因此还需要描述子进行相似性比较。ORB 描述子的输出维度在本实验中为 32 字节，即 256 位。ORB 描述子由二进制强度比较构成，因此属于二进制描述子。</w:t>
      </w:r>
    </w:p>
    <w:p w14:paraId="0E798423">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问题3：为什么 ORB 使用 Hamming distance？</w:t>
      </w:r>
    </w:p>
    <w:p w14:paraId="7A28A9E1">
      <w:pPr>
        <w:spacing w:line="300" w:lineRule="auto"/>
        <w:ind w:firstLine="420"/>
      </w:pPr>
      <w:r>
        <w:rPr>
          <w:rFonts w:ascii="宋体" w:hAnsi="宋体" w:eastAsia="宋体"/>
          <w:sz w:val="21"/>
        </w:rPr>
        <w:t>ORB 描述子的基本结构是由 0 和 1 组成的二进制串，每一位通常来自关键点邻域中一对像素灰度比较结果。Hamming distance 衡量两个二进制串中不同位的数量，非常适合比较 ORB 描述子。欧氏距离更适合连续浮点向量，对二进制位串没有 Hamming distance 直接、高效，因此 ORB 不使用普通欧氏距离作为主要匹配度量。</w:t>
      </w:r>
    </w:p>
    <w:p w14:paraId="7D76B7EB">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问题4：ORB 为什么对旋转、平移和一定尺度变化具有鲁棒性？</w:t>
      </w:r>
    </w:p>
    <w:p w14:paraId="0CBE55F4">
      <w:pPr>
        <w:spacing w:line="300" w:lineRule="auto"/>
        <w:ind w:firstLine="420"/>
      </w:pPr>
      <w:r>
        <w:rPr>
          <w:rFonts w:ascii="宋体" w:hAnsi="宋体" w:eastAsia="宋体"/>
          <w:sz w:val="21"/>
        </w:rPr>
        <w:t>ORB 描述子在关键点局部邻域内计算，因此图像整体平移时，局部邻域内容基本不变，对平移较鲁棒。ORB 会估计关键点方向，并根据方向调整描述子的采样模式，从而增强旋转鲁棒性。ORB 还通过图像金字塔在不同尺度上检测关键点，因此能适应一定尺度变化。但 ORB 不能完全抵抗透视变换，因为大角度视角变化会改变局部形状和相对几何结构。</w:t>
      </w:r>
    </w:p>
    <w:p w14:paraId="597C46E4">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问题5：为什么初始匹配中会有错误匹配？</w:t>
      </w:r>
    </w:p>
    <w:p w14:paraId="3F55DFC3">
      <w:pPr>
        <w:spacing w:line="300" w:lineRule="auto"/>
        <w:ind w:firstLine="420"/>
      </w:pPr>
      <w:r>
        <w:rPr>
          <w:rFonts w:ascii="宋体" w:hAnsi="宋体" w:eastAsia="宋体"/>
          <w:sz w:val="21"/>
        </w:rPr>
        <w:t>初始匹配主要依赖描述子相似性，未考虑整体几何关系，因此会出现错误匹配。错误匹配常出现在重复纹理、相似文字、背景图案和局部外观相近的位置。重复纹理和相似图案会使不同位置的描述子非常接近，背景干扰也可能与目标局部相似。匹配距离越小并不一定代表一定正确，因为局部外观相似不等于真实几何对应。</w:t>
      </w:r>
    </w:p>
    <w:p w14:paraId="314074AD">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问题6：RANSAC 的作用是什么？</w:t>
      </w:r>
    </w:p>
    <w:p w14:paraId="16A9A984">
      <w:pPr>
        <w:widowControl w:val="0"/>
        <w:spacing w:before="320" w:after="120" w:line="288" w:lineRule="auto"/>
        <w:ind w:left="0"/>
        <w:jc w:val="left"/>
        <w:outlineLvl w:val="1"/>
      </w:pPr>
      <w:r>
        <w:rPr>
          <w:rFonts w:ascii="宋体" w:hAnsi="宋体" w:eastAsia="宋体"/>
          <w:sz w:val="21"/>
        </w:rPr>
        <w:t>RANSAC 的作用是在含有大量错误匹配的数据中估计稳定模型，并剔除不符合模型的错误匹配。它反复随机抽取少量匹配点估计 Homography，再统计符合该几何模型的点数。RANSAC 使用的依据是几何一致性，而不是描述子相似性。inlier 是符合估计几何模型的内点，outlier 是不符合模型的外点。RANSAC 后匹配线更合理，是因为多数错误匹配被几何约束过滤掉了。</w:t>
      </w:r>
    </w:p>
    <w:p w14:paraId="2535F1A6">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问题7：Homography 的意义是什么？</w:t>
      </w:r>
    </w:p>
    <w:p w14:paraId="585E45C9">
      <w:pPr>
        <w:spacing w:line="300" w:lineRule="auto"/>
        <w:ind w:firstLine="420"/>
      </w:pPr>
      <w:r>
        <w:rPr>
          <w:rFonts w:ascii="宋体" w:hAnsi="宋体" w:eastAsia="宋体"/>
          <w:sz w:val="21"/>
        </w:rPr>
        <w:t>Homography 描述同一平面在两幅图像之间的投影映射关系，可用于把一幅图中的点变换到另一幅图中。box.png 是平面盒子正面，box_in_scene.png 中的目标也是该平面在场景中的透视成像，因此适合使用 Homography。Homography 更适合平面物体或相机纯旋转场景；如果目标是明显立体物体，不同深度区域无法用同一个平面变换准确描述，定位边框可能出现偏移或变形。</w:t>
      </w:r>
    </w:p>
    <w:p w14:paraId="0D247BE9">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问题8：SIFT 和 ORB 有什么区别？</w:t>
      </w:r>
    </w:p>
    <w:p w14:paraId="20FBF9CA">
      <w:pPr>
        <w:spacing w:line="300" w:lineRule="auto"/>
        <w:ind w:firstLine="420"/>
      </w:pPr>
      <w:r>
        <w:rPr>
          <w:rFonts w:ascii="宋体" w:hAnsi="宋体" w:eastAsia="宋体"/>
          <w:sz w:val="21"/>
        </w:rPr>
        <w:t>ORB 描述子是二进制描述子，维度短、速度快，使用 Hamming distance；SIFT 描述子通常是 128 维浮点向量，描述局部梯度方向分布，使用 L2 distance。SIFT 通常比 ORB 更稳定，因为它的尺度空间检测和梯度直方图描述更细致，对尺度、旋转和光照变化更鲁棒。ORB 通常比 SIFT 更快，因为二进制描述子计算和匹配成本低。本实验中 SIFT 的内点比例为 0.9375，高于 ORB 的 0.1812，因此 SIFT 效果更好；但 ORB 初始匹配数量更多，速度也更适合实时应用。</w:t>
      </w:r>
    </w:p>
    <w:p w14:paraId="5EC46BDA">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问题9：SIFT 是否抗透视变换？</w:t>
      </w:r>
    </w:p>
    <w:p w14:paraId="02CE798C">
      <w:pPr>
        <w:spacing w:line="300" w:lineRule="auto"/>
        <w:ind w:firstLine="420"/>
      </w:pPr>
      <w:r>
        <w:rPr>
          <w:rFonts w:ascii="宋体" w:hAnsi="宋体" w:eastAsia="宋体"/>
          <w:sz w:val="21"/>
        </w:rPr>
        <w:t>SIFT 主要抗尺度变化、旋转变化和一定程度的光照变化，并不严格抗透视变换。小范围视角变化下，局部梯度结构变化不大，因此 SIFT 仍有一定鲁棒性；但大角度透视变化会显著改变局部形状和区域比例，SIFT 仍可能失败。本实验中，真正处理整体透视变化的是 RANSAC + Homography，SIFT 或 ORB 主要负责提供候选匹配点。</w:t>
      </w:r>
    </w:p>
    <w:p w14:paraId="37113C89">
      <w:pPr>
        <w:widowControl w:val="0"/>
        <w:spacing w:before="320" w:after="120" w:line="288" w:lineRule="auto"/>
        <w:ind w:left="0"/>
        <w:jc w:val="left"/>
        <w:outlineLvl w:val="1"/>
        <w:rPr>
          <w:rFonts w:ascii="Arial" w:hAnsi="Arial" w:eastAsia="等线" w:cs="Arial"/>
          <w:b/>
          <w:sz w:val="32"/>
        </w:rPr>
      </w:pPr>
      <w:r>
        <w:rPr>
          <w:rFonts w:ascii="Arial" w:hAnsi="Arial" w:eastAsia="等线" w:cs="Arial"/>
          <w:b/>
          <w:sz w:val="32"/>
        </w:rPr>
        <w:t>问题10：实验总结</w:t>
      </w:r>
    </w:p>
    <w:p w14:paraId="6503567F">
      <w:pPr>
        <w:spacing w:line="300" w:lineRule="auto"/>
        <w:ind w:firstLine="420"/>
      </w:pPr>
      <w:r>
        <w:rPr>
          <w:rFonts w:ascii="宋体" w:hAnsi="宋体" w:eastAsia="宋体"/>
          <w:sz w:val="21"/>
        </w:rPr>
        <w:t>本实验完成了基于 OpenCV 的局部特征检测、描述、匹配和目标定位流程。首先使用 ORB_create(nfeatures=1000) 在 box.png 和 box_in_scene.png 中检测关键点并计算二进制描述子，再用 BFMatcher 和 Hamming distance 完成初始匹配，并显示前 50 个匹配结果。由于初始匹配只依赖局部描述子相似性，存在重复纹理、相似文字和背景干扰造成的错误匹配，因此进一步使用 RANSAC 估计 Homography，通过几何一致性筛选内点。最后将模板图四个角点投影到场景图中，成功框出了目标盒子位置。参数实验表明，nfeatures 增大会增加关键点数和匹配数，但内点比例不一定提高，特征点越多并不必然带来更好的定位效果。SIFT 对比实验中内点比例更高，说明其描述子稳定性更强，但计算成本也更高。通过本实验可以认识到，鲁棒匹配不仅依赖局部特征描述，还需要 RANSAC 和 Homography 等几何约束共同保证定位结果的可靠性。</w:t>
      </w:r>
    </w:p>
    <w:sectPr>
      <w:foot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明朝">
    <w:altName w:val="SWComp"/>
    <w:panose1 w:val="00000000000000000000"/>
    <w:charset w:val="00"/>
    <w:family w:val="auto"/>
    <w:pitch w:val="default"/>
    <w:sig w:usb0="00000000" w:usb1="00000000" w:usb2="00000000" w:usb3="00000000" w:csb0="00000000" w:csb1="00000000"/>
  </w:font>
  <w:font w:name="SWComp">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E2AA2">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B63070"/>
    <w:rsid w:val="73A577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3099</Words>
  <Characters>4385</Characters>
  <Lines>0</Lines>
  <Paragraphs>0</Paragraphs>
  <TotalTime>4</TotalTime>
  <ScaleCrop>false</ScaleCrop>
  <LinksUpToDate>false</LinksUpToDate>
  <CharactersWithSpaces>4688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弈语星河</cp:lastModifiedBy>
  <dcterms:modified xsi:type="dcterms:W3CDTF">2026-04-27T16:34:50Z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eyJoZGlkIjoiOWE0YjQ2YzYxM2M4ZjE1YjZjYjM4OWFlYzc1NmE3ZWYiLCJ1c2VySWQiOiIxMzg0Nzk0ODgxIn0=</vt:lpwstr>
  </property>
  <property fmtid="{D5CDD505-2E9C-101B-9397-08002B2CF9AE}" pid="3" name="KSOProductBuildVer">
    <vt:lpwstr>2052-12.1.0.21915</vt:lpwstr>
  </property>
  <property fmtid="{D5CDD505-2E9C-101B-9397-08002B2CF9AE}" pid="4" name="ICV">
    <vt:lpwstr>5B5F88653AB348FABB561198CFDD1F1D_12</vt:lpwstr>
  </property>
</Properties>
</file>