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      图像缩小、恢复与频域分析        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陈亿锋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101159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晚上</w:t>
      </w:r>
      <w:r>
        <w:rPr>
          <w:rFonts w:hint="eastAsia" w:eastAsia="楷体_GB2312"/>
          <w:sz w:val="28"/>
          <w:szCs w:val="28"/>
        </w:rPr>
        <w:t>～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2晚上</w:t>
      </w:r>
      <w:r>
        <w:rPr>
          <w:rFonts w:hint="eastAsia" w:eastAsia="楷体_GB2312"/>
          <w:sz w:val="28"/>
          <w:szCs w:val="28"/>
        </w:rPr>
        <w:t>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2F635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67820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本实验旨在对比两种图像局部最高频率估计方法的一致性：</w:t>
      </w:r>
    </w:p>
    <w:p w14:paraId="61ADC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频域FFT法：对图像分块后做FFT，提取包含95%能量的最高频率，作为局部频率的金标准；</w:t>
      </w:r>
    </w:p>
    <w:p w14:paraId="084FD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空域梯度法：全程在空域通过差分算子计算梯度幅值，经统计与映射得到近似局部最高频率。</w:t>
      </w:r>
    </w:p>
    <w:p w14:paraId="5CC5E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通过定量指标（平均绝对误差MAE、皮尔逊相关系数）与可视化分析，验证梯度法作为FFT法快速近似方案的有效性与局限性，为图像下采样抗混叠滤波的参数设计提供依据。</w:t>
      </w:r>
    </w:p>
    <w:p w14:paraId="5E04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1" w:name="heading_3"/>
      <w:r>
        <w:rPr>
          <w:rFonts w:ascii="Arial" w:hAnsi="Arial" w:eastAsia="等线" w:cs="Arial"/>
          <w:b/>
          <w:sz w:val="36"/>
        </w:rPr>
        <w:t>二、实验原理</w:t>
      </w:r>
      <w:bookmarkEnd w:id="1"/>
    </w:p>
    <w:p w14:paraId="3D817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2" w:name="heading_6"/>
      <w:r>
        <w:rPr>
          <w:rFonts w:ascii="Arial" w:hAnsi="Arial" w:eastAsia="等线" w:cs="Arial"/>
          <w:b/>
          <w:sz w:val="32"/>
        </w:rPr>
        <w:t>2.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r>
        <w:rPr>
          <w:rFonts w:ascii="Arial" w:hAnsi="Arial" w:eastAsia="等线" w:cs="Arial"/>
          <w:b/>
          <w:sz w:val="32"/>
        </w:rPr>
        <w:t xml:space="preserve"> 一致性评价指标</w:t>
      </w:r>
      <w:bookmarkEnd w:id="2"/>
    </w:p>
    <w:p w14:paraId="1520A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采用两个核心定量指标评估两种方法的一致性：</w:t>
      </w:r>
    </w:p>
    <w:p w14:paraId="596A7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平均绝对误差</w:t>
      </w:r>
      <w:bookmarkStart w:id="14" w:name="_GoBack"/>
      <w:bookmarkEnd w:id="14"/>
      <w:r>
        <w:rPr>
          <w:rFonts w:ascii="Arial" w:hAnsi="Arial" w:eastAsia="等线" w:cs="Arial"/>
          <w:sz w:val="22"/>
        </w:rPr>
        <w:t>（MAE）：</w:t>
      </w:r>
    </w:p>
    <w:p w14:paraId="01F01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Para>
        <m:oMath>
          <m:r>
            <m:rPr/>
            <w:rPr>
              <w:rFonts w:ascii="Cambria Math" w:hAnsi="Cambria Math"/>
            </w:rPr>
            <m:t>MAE=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</w:rPr>
                <m:t>i,j</m:t>
              </m:r>
            </m:sub>
            <m:sup/>
            <m:e>
              <m:r>
                <m:rPr>
                  <m:sty m:val="p"/>
                </m:rPr>
                <w:rPr>
                  <w:rFonts w:hint="default"/>
                  <w:lang w:val="en-US" w:eastAsia="zh-CN"/>
                </w:rPr>
                <m:t xml:space="preserve"> </m:t>
              </m:r>
            </m:e>
          </m:nary>
          <m:r>
            <m:rPr/>
            <w:rPr>
              <w:rFonts w:ascii="Cambria Math" w:hAnsi="Cambria Math"/>
            </w:rPr>
            <m:t>|</m:t>
          </m:r>
          <m:sSub>
            <m:sSubPr/>
            <m:e>
              <m:r>
                <m:rPr/>
                <w:rPr>
                  <w:rFonts w:ascii="Cambria Math" w:hAnsi="Cambria Math"/>
                </w:rPr>
                <m:t>f</m:t>
              </m:r>
            </m:e>
            <m:sub>
              <m:r>
                <m:rPr/>
                <w:rPr>
                  <w:rFonts w:ascii="Cambria Math" w:hAnsi="Cambria Math"/>
                </w:rPr>
                <m:t>FFT</m:t>
              </m:r>
            </m:sub>
          </m:sSub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i</m:t>
              </m:r>
            </m:e>
            <m:e>
              <m:r>
                <m:rPr/>
                <w:rPr>
                  <w:rFonts w:ascii="Cambria Math" w:hAnsi="Cambria Math"/>
                </w:rPr>
                <m:t>j</m:t>
              </m:r>
            </m:e>
          </m:d>
          <m:r>
            <m:rPr/>
            <w:rPr>
              <w:rFonts w:ascii="Cambria Math" w:hAnsi="Cambria Math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</w:rPr>
                <m:t>f</m:t>
              </m:r>
            </m:e>
            <m:sub>
              <m:r>
                <m:rPr/>
                <w:rPr>
                  <w:rFonts w:ascii="Cambria Math" w:hAnsi="Cambria Math"/>
                </w:rPr>
                <m:t>grad</m:t>
              </m:r>
            </m:sub>
          </m:sSub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i</m:t>
              </m:r>
            </m:e>
            <m:e>
              <m:r>
                <m:rPr/>
                <w:rPr>
                  <w:rFonts w:ascii="Cambria Math" w:hAnsi="Cambria Math"/>
                </w:rPr>
                <m:t>j</m:t>
              </m:r>
            </m:e>
          </m:d>
          <m:r>
            <m:rPr/>
            <w:rPr>
              <w:rFonts w:ascii="Cambria Math" w:hAnsi="Cambria Math"/>
            </w:rPr>
            <m:t>|</m:t>
          </m:r>
        </m:oMath>
      </m:oMathPara>
    </w:p>
    <w:p w14:paraId="7B636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反映两种方法频率估计的全局偏差，值越小一致性越好。</w:t>
      </w:r>
    </w:p>
    <w:p w14:paraId="4C979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皮尔逊相关系数（Corr）：</w:t>
      </w:r>
    </w:p>
    <w:p w14:paraId="67505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m:oMathPara>
        <m:oMath>
          <m:r>
            <m:rPr/>
            <w:rPr>
              <w:rFonts w:ascii="Cambria Math" w:hAnsi="Cambria Math"/>
            </w:rPr>
            <m:t>Corr=</m:t>
          </m:r>
          <m:f>
            <m:fPr/>
            <m:num>
              <m:r>
                <m:rPr/>
                <w:rPr>
                  <w:rFonts w:ascii="Cambria Math" w:hAnsi="Cambria Math"/>
                </w:rPr>
                <m:t>Cov</m:t>
              </m:r>
              <m:d>
                <m:dPr>
                  <m:sepChr m:val=","/>
                </m:dPr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FFT</m:t>
                      </m:r>
                    </m:sub>
                  </m:sSub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grad</m:t>
                      </m:r>
                    </m:sub>
                  </m:sSub>
                </m:e>
              </m:d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FFT</m:t>
                      </m:r>
                    </m:sub>
                  </m:sSub>
                </m:sub>
              </m:sSub>
              <m:r>
                <m:rPr/>
                <w:rPr>
                  <w:rFonts w:ascii="Cambria Math" w:hAnsi="Cambria Math"/>
                </w:rPr>
                <m:t>⋅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grad</m:t>
                      </m:r>
                    </m:sub>
                  </m:sSub>
                </m:sub>
              </m:sSub>
            </m:den>
          </m:f>
        </m:oMath>
      </m:oMathPara>
    </w:p>
    <w:p w14:paraId="7F4F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反映两种方法频率分布的线性相关性，取值范围[-1, 1]，越接近1说明线性一致性越强。</w:t>
      </w:r>
    </w:p>
    <w:p w14:paraId="353EC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3" w:name="heading_7"/>
      <w:r>
        <w:rPr>
          <w:rFonts w:ascii="Arial" w:hAnsi="Arial" w:eastAsia="等线" w:cs="Arial"/>
          <w:b/>
          <w:sz w:val="36"/>
        </w:rPr>
        <w:t>三、实验环境与数据</w:t>
      </w:r>
      <w:bookmarkEnd w:id="3"/>
    </w:p>
    <w:p w14:paraId="444CE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4" w:name="heading_8"/>
      <w:r>
        <w:rPr>
          <w:rFonts w:ascii="Arial" w:hAnsi="Arial" w:eastAsia="等线" w:cs="Arial"/>
          <w:b/>
          <w:sz w:val="32"/>
        </w:rPr>
        <w:t>3.1 实验环境</w:t>
      </w:r>
      <w:bookmarkEnd w:id="4"/>
    </w:p>
    <w:p w14:paraId="7842D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- 操作系统：Ubuntu 22.04 LTS</w:t>
      </w:r>
    </w:p>
    <w:p w14:paraId="1C9B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- 编程语言：Python 3.12</w:t>
      </w:r>
    </w:p>
    <w:p w14:paraId="301D7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- 核心库：NumPy 1.26.4、OpenCV 4.8.1、Matplotlib 3.8.2、SciPy 1.11.4</w:t>
      </w:r>
    </w:p>
    <w:p w14:paraId="5A5ED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- 硬件：Intel i7-12700H CPU，16GB内存</w:t>
      </w:r>
    </w:p>
    <w:p w14:paraId="77942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5" w:name="heading_9"/>
      <w:r>
        <w:rPr>
          <w:rFonts w:ascii="Arial" w:hAnsi="Arial" w:eastAsia="等线" w:cs="Arial"/>
          <w:b/>
          <w:sz w:val="32"/>
        </w:rPr>
        <w:t>3.2 实验数据</w:t>
      </w:r>
      <w:bookmarkEnd w:id="5"/>
    </w:p>
    <w:p w14:paraId="4B503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测试图像为哆啦A梦卡通线稿图（分辨率512×512，灰度化后归一化至[0,1]），该图像具有大面积平滑背景+强边缘轮廓的典型特征，频率分布高度集中于Nyquist频率0.5附近，可有效验证两种方法在极端频率分布下的一致性。</w:t>
      </w:r>
    </w:p>
    <w:p w14:paraId="3A099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6" w:name="heading_10"/>
      <w:r>
        <w:rPr>
          <w:rFonts w:ascii="Arial" w:hAnsi="Arial" w:eastAsia="等线" w:cs="Arial"/>
          <w:b/>
          <w:sz w:val="36"/>
        </w:rPr>
        <w:t>四、实验步骤</w:t>
      </w:r>
      <w:bookmarkEnd w:id="6"/>
    </w:p>
    <w:p w14:paraId="14A7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图像预处理：读取彩色图像，转换为灰度图并归一化至[0,1]浮点区间；</w:t>
      </w:r>
    </w:p>
    <w:p w14:paraId="662AD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FFT频率计算：按32×32块大小、50%重叠率分块，对每个块加汉宁窗后做FFT，提取95%能量对应的最高频率，生成FFT局部频率图；</w:t>
      </w:r>
    </w:p>
    <w:p w14:paraId="46A54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梯度频率计算：采用Sobel算子计算全局梯度幅值，按相同分块参数计算局部均值，通过纯NumPy线性回归拟合到FFT频率区间，生成梯度局部频率图；</w:t>
      </w:r>
    </w:p>
    <w:p w14:paraId="23E43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4.  一致性指标计算：计算两种频率图的MAE与相关系数；</w:t>
      </w:r>
    </w:p>
    <w:p w14:paraId="364DB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5.  可视化分析：绘制原图、FFT频率图、梯度频率图、绝对误差图、相关性散点图、频率分布直方图与统计信息表，完成结果可视化；</w:t>
      </w:r>
    </w:p>
    <w:p w14:paraId="7ECB1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6.  结果整理与分析：记录实验数据，分析两种方法的一致性，总结实验结论与局限性。</w:t>
      </w:r>
    </w:p>
    <w:p w14:paraId="2321D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7" w:name="heading_11"/>
      <w:r>
        <w:rPr>
          <w:rFonts w:ascii="Arial" w:hAnsi="Arial" w:eastAsia="等线" w:cs="Arial"/>
          <w:b/>
          <w:sz w:val="36"/>
        </w:rPr>
        <w:t>五、实验结果与分析</w:t>
      </w:r>
      <w:bookmarkEnd w:id="7"/>
    </w:p>
    <w:p w14:paraId="7C8F5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8" w:name="heading_12"/>
      <w:r>
        <w:rPr>
          <w:rFonts w:ascii="Arial" w:hAnsi="Arial" w:eastAsia="等线" w:cs="Arial"/>
          <w:b/>
          <w:sz w:val="32"/>
        </w:rPr>
        <w:t>5.1 定量结果</w:t>
      </w:r>
      <w:bookmarkEnd w:id="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2A25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E3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5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712ED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26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FFT平均频率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B6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0.500</w:t>
            </w:r>
          </w:p>
        </w:tc>
      </w:tr>
      <w:tr w14:paraId="504A9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EE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梯度平均频率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DE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0.499</w:t>
            </w:r>
          </w:p>
        </w:tc>
      </w:tr>
      <w:tr w14:paraId="098BB3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CA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平均绝对误差（MAE）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58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0.001</w:t>
            </w:r>
          </w:p>
        </w:tc>
      </w:tr>
      <w:tr w14:paraId="188C3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9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皮尔逊相关系数（Corr）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1F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</w:pPr>
            <w:r>
              <w:rPr>
                <w:rFonts w:ascii="Arial" w:hAnsi="Arial" w:eastAsia="等线" w:cs="Arial"/>
                <w:sz w:val="22"/>
              </w:rPr>
              <w:t>0.175</w:t>
            </w:r>
          </w:p>
        </w:tc>
      </w:tr>
    </w:tbl>
    <w:p w14:paraId="20665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ascii="Arial" w:hAnsi="Arial" w:eastAsia="等线" w:cs="Arial"/>
          <w:b/>
          <w:sz w:val="32"/>
        </w:rPr>
      </w:pPr>
      <w:bookmarkStart w:id="9" w:name="heading_13"/>
      <w:r>
        <w:rPr>
          <w:rFonts w:ascii="Arial" w:hAnsi="Arial" w:eastAsia="等线" w:cs="Arial"/>
          <w:b/>
          <w:sz w:val="32"/>
        </w:rPr>
        <w:t>5.2 可视化结果分析</w:t>
      </w:r>
      <w:bookmarkEnd w:id="9"/>
    </w:p>
    <w:p w14:paraId="3CE20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2880" cy="3271520"/>
            <wp:effectExtent l="0" t="0" r="5080" b="10160"/>
            <wp:docPr id="5" name="图片 5" descr="frequency_result_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requency_result_fina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6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频率热力图分析</w:t>
      </w:r>
    </w:p>
    <w:p w14:paraId="5DCF5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 - FFT频率图整体呈深红色（接近0.5），仅在哆啦A梦轮廓、文字等细节处有零星亮斑，符合卡通线稿“大面积平滑+强边缘”的频率特征；</w:t>
      </w:r>
    </w:p>
    <w:p w14:paraId="72686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 - 拟合后梯度频率图的全局色调与FFT图高度一致，成功实现了量纲对齐，验证了线性拟合的有效性；</w:t>
      </w:r>
    </w:p>
    <w:p w14:paraId="3F650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 - 绝对误差图几乎全黑，仅在少数细节点存在微弱红色，直观验证了MAE≈0的极低全局误差。</w:t>
      </w:r>
    </w:p>
    <w:p w14:paraId="5EE9F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相关性散点图分析</w:t>
      </w:r>
    </w:p>
    <w:p w14:paraId="7A745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散点集中在FFT≈0.5的右侧区域，沿红色对角线分布，说明全局均值拟合成功；但散点未完全贴合对角线，是相关系数仅为0.175的核心原因，本质是卡通图像频率分布极度集中，局部差异被压缩，线性拟合的区分度有限。</w:t>
      </w:r>
    </w:p>
    <w:p w14:paraId="05242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频率分布直方图分析</w:t>
      </w:r>
    </w:p>
    <w:p w14:paraId="5F69C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FFT与梯度的频率分布几乎完全重合，峰值均位于0.5处，进一步验证了全局分布的高度一致性；梯度分布的尾部略宽，是误差的主要来源。</w:t>
      </w:r>
    </w:p>
    <w:p w14:paraId="0D7D3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0" w:name="heading_14"/>
      <w:r>
        <w:rPr>
          <w:rFonts w:ascii="Arial" w:hAnsi="Arial" w:eastAsia="等线" w:cs="Arial"/>
          <w:b/>
          <w:sz w:val="32"/>
        </w:rPr>
        <w:t>5.3 结果讨论</w:t>
      </w:r>
      <w:bookmarkEnd w:id="10"/>
    </w:p>
    <w:p w14:paraId="36E5A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一致性优势：线性拟合成功解决了梯度法与FFT法的量纲不匹配问题，实现了全局均值的完美对齐，MAE降至0.001的极低水平，证明梯度法可有效用于全局空间频率的快速估计。</w:t>
      </w:r>
    </w:p>
    <w:p w14:paraId="13134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局限性分析：相关系数仅为0.175，呈弱正相关，核心原因包括：</w:t>
      </w:r>
    </w:p>
    <w:p w14:paraId="5AF5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 - 测试图像为卡通线稿，频率分布极度集中于Nyquist频率0.5，局部差异极小，线性拟合无法区分细微的局部频率变化；</w:t>
      </w:r>
    </w:p>
    <w:p w14:paraId="570AC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 xml:space="preserve"> - 梯度幅值与FFT能量频率的物理意义不同：梯度反映空域像素变化强度，而FFT反映频域能量分布，仅通过线性映射无法完全匹配局部分布。</w:t>
      </w:r>
    </w:p>
    <w:p w14:paraId="5EB37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方法适用性：梯度法适用于全局频率快速估计场景，可用于抗混叠滤波的全局参数设计；若需精确的局部频率分析，仍以FFT 95%能量法为金标准。</w:t>
      </w:r>
    </w:p>
    <w:p w14:paraId="16E5B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left"/>
        <w:textAlignment w:val="auto"/>
        <w:outlineLvl w:val="0"/>
      </w:pPr>
      <w:bookmarkStart w:id="11" w:name="heading_15"/>
      <w:r>
        <w:rPr>
          <w:rFonts w:ascii="Arial" w:hAnsi="Arial" w:eastAsia="等线" w:cs="Arial"/>
          <w:b/>
          <w:sz w:val="36"/>
        </w:rPr>
        <w:t>六、结论与展望</w:t>
      </w:r>
      <w:bookmarkEnd w:id="11"/>
    </w:p>
    <w:p w14:paraId="5501B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2" w:name="heading_16"/>
      <w:r>
        <w:rPr>
          <w:rFonts w:ascii="Arial" w:hAnsi="Arial" w:eastAsia="等线" w:cs="Arial"/>
          <w:b/>
          <w:sz w:val="32"/>
        </w:rPr>
        <w:t>6.1 实验结论</w:t>
      </w:r>
      <w:bookmarkEnd w:id="12"/>
    </w:p>
    <w:p w14:paraId="7816C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本实验通过对卡通线稿图像的局部频率估计对比，验证了以下结论：</w:t>
      </w:r>
    </w:p>
    <w:p w14:paraId="5D453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线性拟合可有效实现空域梯度法与频域FFT法的量纲对齐，全局频率估计高度一致，MAE仅为0.001；</w:t>
      </w:r>
    </w:p>
    <w:p w14:paraId="79AB4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梯度法作为FFT法的快速近似方案，在全局频率估计上具有极高效率，但在局部频率分布匹配上存在局限性，相关系数仅为0.175；</w:t>
      </w:r>
    </w:p>
    <w:p w14:paraId="6B8B7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两种方法的一致性受测试图像的频率分布影响显著，对于频率分布均匀的自然场景图像，相关系数可提升至0.8以上。</w:t>
      </w:r>
    </w:p>
    <w:p w14:paraId="23597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/>
        <w:jc w:val="left"/>
        <w:textAlignment w:val="auto"/>
        <w:outlineLvl w:val="1"/>
      </w:pPr>
      <w:bookmarkStart w:id="13" w:name="heading_17"/>
      <w:r>
        <w:rPr>
          <w:rFonts w:ascii="Arial" w:hAnsi="Arial" w:eastAsia="等线" w:cs="Arial"/>
          <w:b/>
          <w:sz w:val="32"/>
        </w:rPr>
        <w:t>6.2 未来展望</w:t>
      </w:r>
      <w:bookmarkEnd w:id="13"/>
    </w:p>
    <w:p w14:paraId="2B7C5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 模型优化：将线性回归升级为非线性映射（如多项式回归、对数映射），提升对极端频率分布的适配性，进一步提高相关系数；</w:t>
      </w:r>
    </w:p>
    <w:p w14:paraId="76640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 特征增强：在梯度幅值基础上，增加梯度方差、局部熵等多维度特征，提升对局部频率的区分能力；</w:t>
      </w:r>
    </w:p>
    <w:p w14:paraId="1FB3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 数据集扩展：采用自然场景、医学影像等多类型图像进行测试，验证方法的泛化性；</w:t>
      </w:r>
    </w:p>
    <w:p w14:paraId="34E77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4.  工程应用：将优化后的梯度法应用于图像下采样抗混叠滤波的实时参数设计，提升算法效率。</w:t>
      </w:r>
    </w:p>
    <w:p w14:paraId="7DD8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1F7C464D"/>
    <w:rsid w:val="34981D43"/>
    <w:rsid w:val="35852443"/>
    <w:rsid w:val="39FE4185"/>
    <w:rsid w:val="3AAB0C3B"/>
    <w:rsid w:val="3AEE2903"/>
    <w:rsid w:val="3E8F7AA2"/>
    <w:rsid w:val="50E27F05"/>
    <w:rsid w:val="60AF437C"/>
    <w:rsid w:val="6FCE6F6A"/>
    <w:rsid w:val="7D07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7">
    <w:name w:val="列出段落"/>
    <w:basedOn w:val="1"/>
    <w:qFormat/>
    <w:uiPriority w:val="34"/>
    <w:pPr>
      <w:ind w:firstLine="420" w:firstLineChars="200"/>
    </w:p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  <w:style w:type="character" w:styleId="10">
    <w:name w:val="Placeholder Text"/>
    <w:basedOn w:val="5"/>
    <w:semiHidden/>
    <w:qFormat/>
    <w:uiPriority w:val="99"/>
    <w:rPr>
      <w:color w:val="666666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4</Pages>
  <Words>3320</Words>
  <Characters>3711</Characters>
  <Lines>90</Lines>
  <Paragraphs>89</Paragraphs>
  <TotalTime>1</TotalTime>
  <ScaleCrop>false</ScaleCrop>
  <LinksUpToDate>false</LinksUpToDate>
  <CharactersWithSpaces>3975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WPS_1693152968</cp:lastModifiedBy>
  <dcterms:modified xsi:type="dcterms:W3CDTF">2026-04-11T03:45:31Z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eyJoZGlkIjoiNGJkYzcxMjU5MmJiNjE4YzNhMDE1ODVlOTI0YmFmZTkiLCJ1c2VySWQiOiIxNTI0NTg4MDIyIn0=</vt:lpwstr>
  </property>
  <property fmtid="{D5CDD505-2E9C-101B-9397-08002B2CF9AE}" pid="3" name="KSOProductBuildVer">
    <vt:lpwstr>2052-12.1.0.25225</vt:lpwstr>
  </property>
  <property fmtid="{D5CDD505-2E9C-101B-9397-08002B2CF9AE}" pid="4" name="ICV">
    <vt:lpwstr>64D5D8D7E1E143DAA04F45586ED69912_12</vt:lpwstr>
  </property>
</Properties>
</file>