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hint="default" w:ascii="Times New Roman" w:hAnsi="Times New Roman" w:eastAsia="楷体_GB2312" w:cs="Times New Roman"/>
          <w:b/>
          <w:sz w:val="44"/>
          <w:szCs w:val="44"/>
        </w:rPr>
      </w:pPr>
      <w:bookmarkStart w:id="0" w:name="heading_0"/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计算机视觉实验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赵乘骥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</w:t>
      </w:r>
    </w:p>
    <w:p w14:paraId="57FA79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>基于MediaPipe Pose与Transformer的羽毛球动作识别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教108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国际能源学院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0A653EB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林振涛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60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12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  <w:r>
        <w:rPr>
          <w:rFonts w:ascii="Arial" w:hAnsi="Arial" w:eastAsia="等线" w:cs="Arial"/>
          <w:b/>
          <w:sz w:val="32"/>
        </w:rPr>
        <w:t>一、</w:t>
      </w:r>
      <w:r>
        <w:rPr>
          <w:rFonts w:hint="default" w:ascii="Times New Roman" w:hAnsi="Times New Roman" w:eastAsia="宋体" w:cs="Times New Roman"/>
          <w:b/>
          <w:sz w:val="32"/>
        </w:rPr>
        <w:t>实验概述</w:t>
      </w:r>
      <w:bookmarkEnd w:id="0"/>
    </w:p>
    <w:p w14:paraId="12012E8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0"/>
        </w:rPr>
        <w:t>1. 实验目标</w:t>
      </w:r>
      <w:bookmarkEnd w:id="1"/>
    </w:p>
    <w:p w14:paraId="214609E1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利用 MediaPipe Pose 提取人体 33 关键点时序特征，搭建 Transformer Encoder 时序分类模型，完成 6 类羽毛球击球动作识别：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forehand_drive、forehand_lift、forehand_net_shot、forehand_clear、backhand_drive、backhand_net_shot</w:t>
      </w:r>
      <w:r>
        <w:rPr>
          <w:rFonts w:hint="default" w:ascii="Times New Roman" w:hAnsi="Times New Roman" w:eastAsia="宋体" w:cs="Times New Roman"/>
          <w:sz w:val="22"/>
        </w:rPr>
        <w:t>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2"/>
        </w:rPr>
        <w:t>完整实现视频预处理、数据集缓存、模型训练、测试评估、单视频推理、骨架可视化与时序注意力可视化全套流程。</w:t>
      </w:r>
    </w:p>
    <w:p w14:paraId="1D75028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0"/>
        </w:rPr>
        <w:t>2. 开发环境</w:t>
      </w:r>
      <w:bookmarkEnd w:id="2"/>
    </w:p>
    <w:p w14:paraId="6E5AC18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系统：WSL Ubuntu</w:t>
      </w:r>
    </w:p>
    <w:p w14:paraId="4C74DFD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Python：3.12</w:t>
      </w:r>
    </w:p>
    <w:p w14:paraId="1BC2D51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核心库：OpenCV、MediaPipe、PyTorch、Scikit-learn、Matplotlib</w:t>
      </w:r>
    </w:p>
    <w:p w14:paraId="2230F4E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硬件：CPU 训练（无 GPU 自动切换 CPU）</w:t>
      </w:r>
    </w:p>
    <w:p w14:paraId="798FAB9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2"/>
        </w:rPr>
        <w:t>二、数据集与数据预处理（对应提交项 1）</w:t>
      </w:r>
      <w:bookmarkEnd w:id="3"/>
    </w:p>
    <w:p w14:paraId="0CC327C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0"/>
        </w:rPr>
        <w:t>1. 数据集结构</w:t>
      </w:r>
      <w:bookmarkEnd w:id="4"/>
    </w:p>
    <w:p w14:paraId="4547C04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顶层文件夹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/home/lin/cv-course/archive</w:t>
      </w:r>
      <w:r>
        <w:rPr>
          <w:rFonts w:hint="default" w:ascii="Times New Roman" w:hAnsi="Times New Roman" w:eastAsia="宋体" w:cs="Times New Roman"/>
          <w:sz w:val="22"/>
        </w:rPr>
        <w:t>，内含 6 个子分类文件夹，存放对应动作 MP4 视频；测试集总样本 166 条。</w:t>
      </w:r>
    </w:p>
    <w:p w14:paraId="449EF71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0"/>
        </w:rPr>
        <w:t>2. 完整预处理流水线</w:t>
      </w:r>
      <w:bookmarkEnd w:id="5"/>
    </w:p>
    <w:p w14:paraId="58D7708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视频帧读取</w:t>
      </w:r>
      <w:r>
        <w:rPr>
          <w:rFonts w:hint="default" w:ascii="Times New Roman" w:hAnsi="Times New Roman" w:eastAsia="宋体" w:cs="Times New Roman"/>
          <w:sz w:val="22"/>
        </w:rPr>
        <w:t>：OpenCV 逐帧读取视频，过滤损坏、无法打开的视频文件。</w:t>
      </w:r>
    </w:p>
    <w:p w14:paraId="6650BB8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人体关键点提取</w:t>
      </w:r>
      <w:r>
        <w:rPr>
          <w:rFonts w:hint="default" w:ascii="Times New Roman" w:hAnsi="Times New Roman" w:eastAsia="宋体" w:cs="Times New Roman"/>
          <w:sz w:val="22"/>
        </w:rPr>
        <w:t>：MediaPipe Pose 提取 33 个人体关键点，每帧输出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[x,y,z,visibility]</w:t>
      </w:r>
      <w:r>
        <w:rPr>
          <w:rFonts w:hint="default" w:ascii="Times New Roman" w:hAnsi="Times New Roman" w:eastAsia="宋体" w:cs="Times New Roman"/>
          <w:sz w:val="22"/>
        </w:rPr>
        <w:t>共 132 维特征；降低检测置信度 0.3 减少漏检。</w:t>
      </w:r>
    </w:p>
    <w:p w14:paraId="0348C4C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空样本过滤</w:t>
      </w:r>
      <w:r>
        <w:rPr>
          <w:rFonts w:hint="default" w:ascii="Times New Roman" w:hAnsi="Times New Roman" w:eastAsia="宋体" w:cs="Times New Roman"/>
          <w:sz w:val="22"/>
        </w:rPr>
        <w:t>：无有效人体帧的视频直接丢弃，不参与训练。</w:t>
      </w:r>
    </w:p>
    <w:p w14:paraId="2D183D5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时序重采样</w:t>
      </w:r>
      <w:r>
        <w:rPr>
          <w:rFonts w:hint="default" w:ascii="Times New Roman" w:hAnsi="Times New Roman" w:eastAsia="宋体" w:cs="Times New Roman"/>
          <w:sz w:val="22"/>
        </w:rPr>
        <w:t>：视频原始帧数不统一，使用线性插值统一重采样至固定 30 帧，所有样本统一尺寸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(30,132)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721012B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sz w:val="22"/>
        </w:rPr>
        <w:t>骨架归一化</w:t>
      </w:r>
    </w:p>
    <w:p w14:paraId="67FF17B5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平移：以左右髋中点为坐标系原点消除人物位置偏移；</w:t>
      </w:r>
    </w:p>
    <w:p w14:paraId="18BCA658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缩放：以左右肩宽度为尺度归一，消除人物远近、体型差异。</w:t>
      </w:r>
    </w:p>
    <w:p w14:paraId="1546D6D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sz w:val="22"/>
        </w:rPr>
        <w:t>数据集缓存</w:t>
      </w:r>
      <w:r>
        <w:rPr>
          <w:rFonts w:hint="default" w:ascii="Times New Roman" w:hAnsi="Times New Roman" w:eastAsia="宋体" w:cs="Times New Roman"/>
          <w:sz w:val="22"/>
        </w:rPr>
        <w:t>：处理完成后将训练集、测试集保存为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.npy</w:t>
      </w:r>
      <w:r>
        <w:rPr>
          <w:rFonts w:hint="default" w:ascii="Times New Roman" w:hAnsi="Times New Roman" w:eastAsia="宋体" w:cs="Times New Roman"/>
          <w:sz w:val="22"/>
        </w:rPr>
        <w:t>二进制文件，二次运行直接加载缓存，无需重复解析视频。</w:t>
      </w:r>
    </w:p>
    <w:p w14:paraId="1F1FAAA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/>
          <w:sz w:val="22"/>
        </w:rPr>
        <w:t>数据集划分</w:t>
      </w:r>
      <w:r>
        <w:rPr>
          <w:rFonts w:hint="default" w:ascii="Times New Roman" w:hAnsi="Times New Roman" w:eastAsia="宋体" w:cs="Times New Roman"/>
          <w:sz w:val="22"/>
        </w:rPr>
        <w:t>：分层划分训练 / 测试集（测试集占比 20%），保证各类动作样本分布均衡。</w:t>
      </w:r>
    </w:p>
    <w:p w14:paraId="07D1556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2"/>
        </w:rPr>
        <w:t>三、模型与训练流程（对应提交项 2）</w:t>
      </w:r>
      <w:bookmarkEnd w:id="6"/>
    </w:p>
    <w:p w14:paraId="68A55E5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0"/>
        </w:rPr>
        <w:t>1. Transformer 模型结构</w:t>
      </w:r>
      <w:bookmarkEnd w:id="7"/>
    </w:p>
    <w:p w14:paraId="1CE77AB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特征嵌入层</w:t>
      </w:r>
      <w:r>
        <w:rPr>
          <w:rFonts w:hint="default" w:ascii="Times New Roman" w:hAnsi="Times New Roman" w:eastAsia="宋体" w:cs="Times New Roman"/>
          <w:sz w:val="22"/>
        </w:rPr>
        <w:t>：线性层将 132 维骨架特征映射至 128 维隐空间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d_model=128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49F2839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正弦位置编码</w:t>
      </w:r>
      <w:r>
        <w:rPr>
          <w:rFonts w:hint="default" w:ascii="Times New Roman" w:hAnsi="Times New Roman" w:eastAsia="宋体" w:cs="Times New Roman"/>
          <w:sz w:val="22"/>
        </w:rPr>
        <w:t>：为 30 帧时序添加位置信息，使模型感知动作先后时序关系。</w:t>
      </w:r>
    </w:p>
    <w:p w14:paraId="702A98E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两层多头自注意力 Encoder</w:t>
      </w:r>
      <w:r>
        <w:rPr>
          <w:rFonts w:hint="default" w:ascii="Times New Roman" w:hAnsi="Times New Roman" w:eastAsia="宋体" w:cs="Times New Roman"/>
          <w:sz w:val="22"/>
        </w:rPr>
        <w:t>：4 头注意力机制，自动捕捉击球动作关键帧时序依赖；自定义层可输出每一层注意力权重用于可视化分析。</w:t>
      </w:r>
    </w:p>
    <w:p w14:paraId="5C350E6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2"/>
        </w:rPr>
        <w:t>全局池化</w:t>
      </w:r>
      <w:r>
        <w:rPr>
          <w:rFonts w:hint="default" w:ascii="Times New Roman" w:hAnsi="Times New Roman" w:eastAsia="宋体" w:cs="Times New Roman"/>
          <w:sz w:val="22"/>
        </w:rPr>
        <w:t>：对 30 帧时序特征取均值，压缩为单条全局动作向量。</w:t>
      </w:r>
    </w:p>
    <w:p w14:paraId="6682403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sz w:val="22"/>
        </w:rPr>
        <w:t>分类头</w:t>
      </w:r>
      <w:r>
        <w:rPr>
          <w:rFonts w:hint="default" w:ascii="Times New Roman" w:hAnsi="Times New Roman" w:eastAsia="宋体" w:cs="Times New Roman"/>
          <w:sz w:val="22"/>
        </w:rPr>
        <w:t>：两层全连接 + Dropout，输出 6 类动作分类概率。</w:t>
      </w:r>
    </w:p>
    <w:p w14:paraId="6ACE307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0"/>
        </w:rPr>
        <w:t>2. 训练超参数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E438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5B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参数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31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数值</w:t>
            </w:r>
          </w:p>
        </w:tc>
      </w:tr>
      <w:tr w14:paraId="78D29C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F4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批次大小 batch_size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C1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16</w:t>
            </w:r>
          </w:p>
        </w:tc>
      </w:tr>
      <w:tr w14:paraId="4C41D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1482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训练轮数 epochs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46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40</w:t>
            </w:r>
          </w:p>
        </w:tc>
      </w:tr>
      <w:tr w14:paraId="1FDCD9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9C0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初始学习率 lr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89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5e-4</w:t>
            </w:r>
          </w:p>
        </w:tc>
      </w:tr>
      <w:tr w14:paraId="42D44F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754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学习率衰减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9E4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StepLR，每 10 轮 ×0.8</w:t>
            </w:r>
          </w:p>
        </w:tc>
      </w:tr>
      <w:tr w14:paraId="3F7D3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BE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Dropout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4D3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0.2</w:t>
            </w:r>
          </w:p>
        </w:tc>
      </w:tr>
      <w:tr w14:paraId="0F746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57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优化器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ED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Adam</w:t>
            </w:r>
          </w:p>
        </w:tc>
      </w:tr>
      <w:tr w14:paraId="19AB2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B19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损失函数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9A9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CrossEntropy 交叉熵损失</w:t>
            </w:r>
          </w:p>
        </w:tc>
      </w:tr>
    </w:tbl>
    <w:p w14:paraId="62B1A7A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</w:rPr>
        <w:t>3. 训练流程</w:t>
      </w:r>
      <w:bookmarkEnd w:id="9"/>
    </w:p>
    <w:p w14:paraId="039E7DF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加载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.npy</w:t>
      </w:r>
      <w:r>
        <w:rPr>
          <w:rFonts w:hint="default" w:ascii="Times New Roman" w:hAnsi="Times New Roman" w:eastAsia="宋体" w:cs="Times New Roman"/>
          <w:sz w:val="22"/>
        </w:rPr>
        <w:t>数据集，构建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TensorDataset</w:t>
      </w:r>
      <w:r>
        <w:rPr>
          <w:rFonts w:hint="default" w:ascii="Times New Roman" w:hAnsi="Times New Roman" w:eastAsia="宋体" w:cs="Times New Roman"/>
          <w:sz w:val="22"/>
        </w:rPr>
        <w:t>与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DataLoader</w:t>
      </w:r>
      <w:r>
        <w:rPr>
          <w:rFonts w:hint="default" w:ascii="Times New Roman" w:hAnsi="Times New Roman" w:eastAsia="宋体" w:cs="Times New Roman"/>
          <w:sz w:val="22"/>
        </w:rPr>
        <w:t>；</w:t>
      </w:r>
    </w:p>
    <w:p w14:paraId="19F89D9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每轮训练前开启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model.train()</w:t>
      </w:r>
      <w:r>
        <w:rPr>
          <w:rFonts w:hint="default" w:ascii="Times New Roman" w:hAnsi="Times New Roman" w:eastAsia="宋体" w:cs="Times New Roman"/>
          <w:sz w:val="22"/>
        </w:rPr>
        <w:t>，反向传播更新权重；</w:t>
      </w:r>
    </w:p>
    <w:p w14:paraId="41A106C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每轮结束切换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model.eval()</w:t>
      </w:r>
      <w:r>
        <w:rPr>
          <w:rFonts w:hint="default" w:ascii="Times New Roman" w:hAnsi="Times New Roman" w:eastAsia="宋体" w:cs="Times New Roman"/>
          <w:sz w:val="22"/>
        </w:rPr>
        <w:t>，无梯度计算测试集精度；</w:t>
      </w:r>
    </w:p>
    <w:p w14:paraId="5460F5B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保存每轮损失、精度，训练结束绘制曲线；</w:t>
      </w:r>
    </w:p>
    <w:p w14:paraId="58DC661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2"/>
        </w:rPr>
        <w:t>训练完成保存模型权重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.pth</w:t>
      </w:r>
      <w:r>
        <w:rPr>
          <w:rFonts w:hint="default" w:ascii="Times New Roman" w:hAnsi="Times New Roman" w:eastAsia="宋体" w:cs="Times New Roman"/>
          <w:sz w:val="22"/>
        </w:rPr>
        <w:t>文件。</w:t>
      </w:r>
    </w:p>
    <w:p w14:paraId="7C541AA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2"/>
        </w:rPr>
        <w:t>四、测试、推理与可视化结果（对应提交项 3、5）</w:t>
      </w:r>
      <w:bookmarkEnd w:id="10"/>
    </w:p>
    <w:p w14:paraId="07E4334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0"/>
        </w:rPr>
        <w:t>1. 训练曲线分析</w:t>
      </w:r>
      <w:bookmarkEnd w:id="11"/>
    </w:p>
    <w:p w14:paraId="37D66E4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271135" cy="2188845"/>
            <wp:effectExtent l="0" t="0" r="1206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5A6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训练 Loss（蓝色）</w:t>
      </w:r>
      <w:r>
        <w:rPr>
          <w:rFonts w:hint="default" w:ascii="Times New Roman" w:hAnsi="Times New Roman" w:eastAsia="宋体" w:cs="Times New Roman"/>
          <w:sz w:val="22"/>
        </w:rPr>
        <w:t>：全程稳定持续下降，从初始 1.79 降至 0.75，模型持续拟合时序特征，无剧烈震荡，训练收敛稳定。</w:t>
      </w:r>
    </w:p>
    <w:p w14:paraId="33A6A13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测试精度（绿色）</w:t>
      </w:r>
      <w:r>
        <w:rPr>
          <w:rFonts w:hint="default" w:ascii="Times New Roman" w:hAnsi="Times New Roman" w:eastAsia="宋体" w:cs="Times New Roman"/>
          <w:sz w:val="22"/>
        </w:rPr>
        <w:t>：整体呈上升趋势，从 25.90% 逐步上升至最终 48.19%；中间存在小幅波动，原因是数据集总量偏小、部分动作特征相似度高，模型泛化存在小幅起伏。</w:t>
      </w:r>
    </w:p>
    <w:p w14:paraId="18A5086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0"/>
        </w:rPr>
        <w:t>2. 混淆矩阵分析</w:t>
      </w:r>
      <w:bookmarkEnd w:id="12"/>
    </w:p>
    <w:p w14:paraId="643ED71B">
      <w:pPr>
        <w:spacing w:before="300" w:after="120" w:line="288" w:lineRule="auto"/>
        <w:ind w:left="0"/>
        <w:jc w:val="center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2902585" cy="12947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4BF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横坐标：预测标签；纵坐标：真实标签</w:t>
      </w:r>
    </w:p>
    <w:p w14:paraId="4746A0E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识别效果最优类别：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backhand_net_shot（标签5）</w:t>
      </w:r>
      <w:r>
        <w:rPr>
          <w:rFonts w:hint="default" w:ascii="Times New Roman" w:hAnsi="Times New Roman" w:eastAsia="宋体" w:cs="Times New Roman"/>
          <w:sz w:val="22"/>
        </w:rPr>
        <w:t>，对角线样本 22，精确率 0.63、召回 0.67；</w:t>
      </w:r>
    </w:p>
    <w:p w14:paraId="6BBD1D6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识别较差类别：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backhand_drive（标签4）</w:t>
      </w:r>
      <w:r>
        <w:rPr>
          <w:rFonts w:hint="default" w:ascii="Times New Roman" w:hAnsi="Times New Roman" w:eastAsia="宋体" w:cs="Times New Roman"/>
          <w:sz w:val="22"/>
        </w:rPr>
        <w:t>、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forehand_net_shot（标签2）</w:t>
      </w:r>
      <w:r>
        <w:rPr>
          <w:rFonts w:hint="default" w:ascii="Times New Roman" w:hAnsi="Times New Roman" w:eastAsia="宋体" w:cs="Times New Roman"/>
          <w:sz w:val="22"/>
        </w:rPr>
        <w:t>，正反手近网动作、抽球动作骨骼运动轨迹高度相似，易混淆错分；</w:t>
      </w:r>
    </w:p>
    <w:p w14:paraId="0F5AF69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整体样本区分度一般，受限于数据集规模与动作相似度，整体测试准确率 48.19%。</w:t>
      </w:r>
    </w:p>
    <w:p w14:paraId="531EE89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0"/>
        </w:rPr>
        <w:t>3. 分类指标报告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26C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E6CA3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precision    recall  f1-score   support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forehand_drive     0.5000    0.4839    0.4918        31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forehand_lift     0.5806    0.5143    0.5455        35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forehand_net_shot     0.3438    0.5238    0.4151        21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forehand_clear     0.3600    0.3750    0.3673        24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backhand_drive     0.3846    0.2273    0.2857        22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backhand_net_shot     0.6286    0.6667    0.6471        33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accuracy                         0.4819       166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macro avg     0.4663    0.4652    0.4587       166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weighted avg     0.4873    0.4819    0.4790       166</w:t>
            </w:r>
          </w:p>
        </w:tc>
      </w:tr>
    </w:tbl>
    <w:p w14:paraId="783AAAC1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整体测试集准确率：48.19%；</w:t>
      </w:r>
    </w:p>
    <w:p w14:paraId="0084E99D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反手网前小球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backhand_net_shot</w:t>
      </w:r>
      <w:r>
        <w:rPr>
          <w:rFonts w:hint="default" w:ascii="Times New Roman" w:hAnsi="Times New Roman" w:eastAsia="宋体" w:cs="Times New Roman"/>
          <w:sz w:val="22"/>
        </w:rPr>
        <w:t>F1 分数最高，正反手抽球、高远球混淆严重。</w:t>
      </w:r>
    </w:p>
    <w:p w14:paraId="6D8B6DE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30"/>
        </w:rPr>
        <w:t>4. 单视频推理结果</w:t>
      </w:r>
      <w:bookmarkEnd w:id="14"/>
    </w:p>
    <w:p w14:paraId="1CFF91C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选取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forehand_clear</w:t>
      </w:r>
      <w:r>
        <w:rPr>
          <w:rFonts w:hint="default" w:ascii="Times New Roman" w:hAnsi="Times New Roman" w:eastAsia="宋体" w:cs="Times New Roman"/>
          <w:sz w:val="22"/>
        </w:rPr>
        <w:t>视频输入推理：</w:t>
      </w:r>
    </w:p>
    <w:p w14:paraId="7E1D095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模型预测动作：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forehand_net_shot</w:t>
      </w:r>
    </w:p>
    <w:p w14:paraId="1C982459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置信度：0.64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视频动作特征与近网小球存在相似时序，发生误判，与混淆矩阵体现的类别混淆问题一致。</w:t>
      </w:r>
    </w:p>
    <w:p w14:paraId="70BB0284">
      <w:pPr>
        <w:numPr>
          <w:ilvl w:val="0"/>
          <w:numId w:val="1"/>
        </w:num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30"/>
        </w:rPr>
        <w:t>时序注意力热力图</w:t>
      </w:r>
      <w:bookmarkEnd w:id="15"/>
    </w:p>
    <w:p w14:paraId="46C72A0B">
      <w:pPr>
        <w:numPr>
          <w:numId w:val="0"/>
        </w:numPr>
        <w:spacing w:before="300" w:after="120" w:line="288" w:lineRule="auto"/>
        <w:jc w:val="left"/>
        <w:outlineLvl w:val="2"/>
        <w:rPr>
          <w:rFonts w:hint="default" w:ascii="Times New Roman" w:hAnsi="Times New Roman" w:eastAsia="宋体" w:cs="Times New Roman"/>
          <w:b/>
          <w:sz w:val="30"/>
        </w:rPr>
      </w:pPr>
      <w:r>
        <w:drawing>
          <wp:inline distT="0" distB="0" distL="114300" distR="114300">
            <wp:extent cx="5269230" cy="430784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07D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热力图横、纵坐标均为视频 30 帧序号，颜色亮度代表帧与帧之间注意力权重大小：</w:t>
      </w:r>
    </w:p>
    <w:p w14:paraId="0D5A936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图像右侧 20~30 帧亮度显著更高，说明模型重点关注动作后半段击球、随挥帧；</w:t>
      </w:r>
    </w:p>
    <w:p w14:paraId="4C029D8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前 15 帧权重偏低，代表预备站位、引拍阶段区分度较低；</w:t>
      </w:r>
    </w:p>
    <w:p w14:paraId="590C0F4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证明 Transformer 可自主定位羽毛球击球关键时序片段，符合动作运动逻辑。</w:t>
      </w:r>
    </w:p>
    <w:p w14:paraId="5ECEB9C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0"/>
        </w:rPr>
        <w:t>6. 骨架可视化</w:t>
      </w:r>
      <w:bookmarkEnd w:id="16"/>
    </w:p>
    <w:p w14:paraId="72ACEE5F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程序自动输出两段视频的人体关键点可视化 MP4，视频画面叠加绿色骨骼点、蓝色关节连线，直观展示 MediaPipe 提取的全身 33 关键点，验证预处理特征提取有效性。</w:t>
      </w:r>
    </w:p>
    <w:p w14:paraId="1440548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32"/>
        </w:rPr>
        <w:t>五、存在问题与改进方案</w:t>
      </w:r>
      <w:bookmarkEnd w:id="17"/>
    </w:p>
    <w:p w14:paraId="511B9CC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0"/>
        </w:rPr>
        <w:t>1. 当前实验缺陷</w:t>
      </w:r>
      <w:bookmarkEnd w:id="18"/>
    </w:p>
    <w:p w14:paraId="2D4381B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数据集规模有限，各类别样本数量不均衡，部分动作样本过少，模型泛化能力不足；</w:t>
      </w:r>
    </w:p>
    <w:p w14:paraId="3FE9EA6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正反手相似击球动作骨骼轨迹相似度高，特征区分度低，整体准确率仅 48.19%；</w:t>
      </w:r>
    </w:p>
    <w:p w14:paraId="351BA21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训练后期测试精度波动明显，存在轻微过拟合倾向；</w:t>
      </w:r>
    </w:p>
    <w:p w14:paraId="2377365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仅使用基础 33 点全局骨骼，未单独提取手臂、手腕局部击球关键关节特征。</w:t>
      </w:r>
    </w:p>
    <w:p w14:paraId="33A3FC0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30"/>
        </w:rPr>
        <w:t>2. 后续改进思路</w:t>
      </w:r>
      <w:bookmarkEnd w:id="19"/>
    </w:p>
    <w:p w14:paraId="5100B18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扩充数据集，增加各类动作视频样本，平衡每类样本数量；</w:t>
      </w:r>
    </w:p>
    <w:p w14:paraId="0176495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特征优化：单独提取手腕、肩、肘局部关键点，强化击球动作局部特征权重；</w:t>
      </w:r>
    </w:p>
    <w:p w14:paraId="7471E57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模型优化：增加模型层数 / 多头数，或引入时序卷积 CNN+Transformer 混合结构；</w:t>
      </w:r>
    </w:p>
    <w:p w14:paraId="67AD049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数据增强：对骨骼序列添加微小平移、缩放噪声，提升模型鲁棒性；</w:t>
      </w:r>
    </w:p>
    <w:p w14:paraId="09ADE2E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2"/>
        </w:rPr>
        <w:t>超参数调优：调整学习率、Dropout 比例，缓解测试精度震荡。</w:t>
      </w:r>
    </w:p>
    <w:p w14:paraId="6CB37C2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32"/>
        </w:rPr>
        <w:t>六、实验总结</w:t>
      </w:r>
      <w:bookmarkEnd w:id="20"/>
    </w:p>
    <w:p w14:paraId="34E547FC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本实验完整实现了基于 MediaPipe 人体骨架与 Transformer 时序模型的羽毛球动作识别全链路，严格完成视频预处理、数据集缓存、模型训练、评估推理、可视化全部要求。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       </w:t>
      </w:r>
      <w:bookmarkStart w:id="21" w:name="_GoBack"/>
      <w:bookmarkEnd w:id="21"/>
      <w:r>
        <w:rPr>
          <w:rFonts w:hint="default" w:ascii="Times New Roman" w:hAnsi="Times New Roman" w:eastAsia="宋体" w:cs="Times New Roman"/>
          <w:sz w:val="22"/>
        </w:rPr>
        <w:t>程序可自动输出训练损失精度曲线、混淆矩阵、分类指标、骨架视频与时序注意力热力图，完整复现从原始视频到动作分类的全部流程。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受数据集与动作相似度限制，当前整体识别准确率 48.19%，通过扩充数据、优化局部骨骼特征可进一步提升分类效果；注意力热力图证明 Transformer 能够自主捕捉击球关键帧，验证了时序自注意力机制在人体动作识别任务中的有效性。</w:t>
      </w:r>
    </w:p>
    <w:p w14:paraId="298B624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0214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7C6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850559"/>
    <w:multiLevelType w:val="singleLevel"/>
    <w:tmpl w:val="2F850559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9E7A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2070</Words>
  <Characters>2987</Characters>
  <TotalTime>4</TotalTime>
  <ScaleCrop>false</ScaleCrop>
  <LinksUpToDate>false</LinksUpToDate>
  <CharactersWithSpaces>3381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2026-06-17T16:46:00Z</dcterms:created>
  <dc:creator>Apache POI</dc:creator>
  <cp:lastModifiedBy>大風聽莪説</cp:lastModifiedBy>
  <dcterms:modified xsi:type="dcterms:W3CDTF">2026-06-17T16:51:20Z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{"Label":"1","ContentProducer":"001191110102MACQD9K64010000","ProduceID":"7652406663726664942","ReservedCode1":"","ContentPropagator":"","PropagateID":"","ReservedCode2":""}</vt:lpwstr>
  </property>
  <property fmtid="{D5CDD505-2E9C-101B-9397-08002B2CF9AE}" pid="3" name="KSOTemplateDocerSaveRecord">
    <vt:lpwstr>eyJoZGlkIjoiZGY1YTM2NzE3MzUyMDUyMTA0ZWI5MGU5NWNhNTBhNzciLCJ1c2VySWQiOiI3MzgwNjY3NTYifQ==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EBF09EEA607841D5997DB7DD097A6D01_12</vt:lpwstr>
  </property>
</Properties>
</file>