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5A121">
      <w:pPr>
        <w:spacing w:before="1440" w:after="240"/>
        <w:jc w:val="center"/>
      </w:pPr>
      <w:r>
        <w:rPr>
          <w:rFonts w:ascii="宋体" w:hAnsi="宋体" w:eastAsia="宋体" w:cs="宋体"/>
          <w:b/>
          <w:bCs/>
          <w:color w:val="000000"/>
          <w:sz w:val="48"/>
          <w:szCs w:val="48"/>
        </w:rPr>
        <w:t>计算机视觉课程实验报告</w:t>
      </w:r>
    </w:p>
    <w:p w14:paraId="74F940FF">
      <w:pPr>
        <w:spacing w:before="120" w:after="1200"/>
        <w:jc w:val="center"/>
      </w:pPr>
      <w:r>
        <w:rPr>
          <w:rFonts w:ascii="宋体" w:hAnsi="宋体" w:eastAsia="宋体" w:cs="宋体"/>
          <w:color w:val="000000"/>
          <w:sz w:val="36"/>
          <w:szCs w:val="36"/>
        </w:rPr>
        <w:t>实验十三</w:t>
      </w:r>
    </w:p>
    <w:p w14:paraId="71FEE97A">
      <w:pPr>
        <w:spacing w:before="120" w:after="120"/>
        <w:jc w:val="center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基于MediaPipe Pose与骨架序列Transformer的羽毛球击球动作识别</w:t>
      </w:r>
    </w:p>
    <w:p w14:paraId="2FC8CA8E">
      <w:pPr>
        <w:spacing w:before="720"/>
      </w:pPr>
    </w:p>
    <w:p w14:paraId="4C302019">
      <w:pPr>
        <w:jc w:val="center"/>
      </w:pPr>
      <w:r>
        <w:rPr>
          <w:rFonts w:ascii="宋体" w:hAnsi="宋体" w:eastAsia="宋体" w:cs="宋体"/>
          <w:color w:val="000000"/>
          <w:sz w:val="24"/>
          <w:szCs w:val="24"/>
        </w:rPr>
        <w:t>日期：2026年6月</w:t>
      </w:r>
    </w:p>
    <w:p w14:paraId="6D6D2088">
      <w:r>
        <w:br w:type="page"/>
      </w:r>
    </w:p>
    <w:p w14:paraId="44DED32D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一、实验背景</w:t>
      </w:r>
    </w:p>
    <w:p w14:paraId="2EE49386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羽毛球击球动作具有明显的时间动态特征，包含引拍、挥拍、击球、收拍与回位等阶段。直接利用原始视频像素训练Transformer模型需要大量视频标注与较高GPU显存，计算开销较大。</w:t>
      </w:r>
    </w:p>
    <w:p w14:paraId="7F875687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人体骨架序列能够显著压缩视频信息，仅保留与动作相关的人体关键点运动轨迹，使模型更加轻量且可解释。本实验以MediaPipe Pose提取人体姿态关键点，将每帧骨架视为一个时间token，构成骨架序列，再送入Transformer Encoder完成动作分类。</w:t>
      </w:r>
    </w:p>
    <w:p w14:paraId="3099A67D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二、数据集说明</w:t>
      </w:r>
    </w:p>
    <w:p w14:paraId="394ADFA2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本实验使用Kaggle数据集badminton_storke_video，该数据集包含6类羽毛球击球动作视频片段，共836条样本，按8:2划分训练集（668条）与测试集（168条）。</w:t>
      </w:r>
    </w:p>
    <w:p w14:paraId="2C0D38E2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各类别分布如下：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695C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FDA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标签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8578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英文名称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53B3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中文说明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B82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样本数</w:t>
            </w:r>
          </w:p>
        </w:tc>
      </w:tr>
      <w:tr w14:paraId="0729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89B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C03E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forehand_drive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B80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正手平抽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596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159</w:t>
            </w:r>
          </w:p>
        </w:tc>
      </w:tr>
      <w:tr w14:paraId="3428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8D5F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490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forehand_lift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F252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正手挑球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968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174</w:t>
            </w:r>
          </w:p>
        </w:tc>
      </w:tr>
      <w:tr w14:paraId="01F6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AE70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7F9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forehand_net_shot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EE1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正手网前球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B90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105</w:t>
            </w:r>
          </w:p>
        </w:tc>
      </w:tr>
      <w:tr w14:paraId="7AEB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383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06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forehand_clear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415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正手高远球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80D3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119</w:t>
            </w:r>
          </w:p>
        </w:tc>
      </w:tr>
      <w:tr w14:paraId="16D1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3AC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39B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backhand_drive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663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反手平抽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1D76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111</w:t>
            </w:r>
          </w:p>
        </w:tc>
      </w:tr>
      <w:tr w14:paraId="1F82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FF32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A9A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backhand_net_shot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E46B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反手网前球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755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168</w:t>
            </w:r>
          </w:p>
        </w:tc>
      </w:tr>
    </w:tbl>
    <w:p w14:paraId="391CB581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表1 数据集类别分布</w:t>
      </w:r>
    </w:p>
    <w:p w14:paraId="232DD8E6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三、总体流程</w:t>
      </w:r>
    </w:p>
    <w:p w14:paraId="45F89D7D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实验总体流程如下：</w:t>
      </w:r>
    </w:p>
    <w:p w14:paraId="7A6BD9B8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读取各类别文件夹中的视频（mp4格式）</w:t>
      </w:r>
    </w:p>
    <w:p w14:paraId="107AAAA1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利用OpenCV均匀采样30帧关键帧（直接seek定位，避免逐帧读取）</w:t>
      </w:r>
    </w:p>
    <w:p w14:paraId="376F79D3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MediaPipe Pose（Lite模型）对每帧提取33个关键点</w:t>
      </w:r>
    </w:p>
    <w:p w14:paraId="7B1EB52C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每帧展平为132维特征向量（33 × 4：x、y、z、visibility）</w:t>
      </w:r>
    </w:p>
    <w:p w14:paraId="4DEC1616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以髋部中心为原点、肩宽为尺度进行归一化</w:t>
      </w:r>
    </w:p>
    <w:p w14:paraId="56ABAD1C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按8:2划分训练集与测试集，保存为.npy文件</w:t>
      </w:r>
    </w:p>
    <w:p w14:paraId="0B4ECAF1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Skeleton Transformer Encoder完成6分类</w:t>
      </w:r>
    </w:p>
    <w:p w14:paraId="3D15B44B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输出训练曲线、混淆矩阵与单样本推理结果</w:t>
      </w:r>
    </w:p>
    <w:p w14:paraId="0FDF93E1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四、骨架序列预处理</w:t>
      </w:r>
    </w:p>
    <w:p w14:paraId="1E63E354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4.1 关键点提取</w:t>
      </w:r>
    </w:p>
    <w:p w14:paraId="1A79046C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使用MediaPipe Pose Landmarker（Tasks API）逐帧提取33个人体关键点。为加速处理，每段视频直接利用OpenCV的CAP_PROP_POS_FRAMES接口均匀seek到30个目标帧位置，避免顺序读取全部帧。</w:t>
      </w:r>
    </w:p>
    <w:p w14:paraId="42777A4B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每帧特征维度：33个关键点 × 4维（x, y, z, visibility）= 132维。</w:t>
      </w:r>
    </w:p>
    <w:p w14:paraId="45870DB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4.2 归一化</w:t>
      </w:r>
    </w:p>
    <w:p w14:paraId="0208EF6F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为消除摄像机位置和运动员体型差异的影响，对每帧骨架执行以下归一化：</w:t>
      </w:r>
    </w:p>
    <w:p w14:paraId="7DAF2F7B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计算左髋（索引23）与右髋（索引24）的中点作为坐标原点</w:t>
      </w:r>
    </w:p>
    <w:p w14:paraId="4E1F7814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计算左肩（索引11）与右肩（索引12）的水平距离作为尺度因子</w:t>
      </w:r>
    </w:p>
    <w:p w14:paraId="1BE73093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对所有关键点的x、y、z坐标进行平移与缩放；visibility不变</w:t>
      </w:r>
    </w:p>
    <w:p w14:paraId="11798338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4.3 数据集统计</w:t>
      </w:r>
    </w:p>
    <w:p w14:paraId="5FBAE817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预处理后数据形状：</w:t>
      </w:r>
    </w:p>
    <w:p w14:paraId="73A52614">
      <w:pPr>
        <w:spacing w:before="40" w:after="4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X_train: (668, 30, 132)   y_train: (668,)</w:t>
      </w:r>
    </w:p>
    <w:p w14:paraId="32332462">
      <w:pPr>
        <w:spacing w:before="40" w:after="4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X_test:  (168, 30, 132)   y_test:  (168,)</w:t>
      </w:r>
    </w:p>
    <w:p w14:paraId="5C5DAD83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836条视频全部成功提取，无跳过，采用4进程并行处理，总耗时约785秒。</w:t>
      </w:r>
    </w:p>
    <w:p w14:paraId="2B2E727D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五、模型设计</w:t>
      </w:r>
    </w:p>
    <w:p w14:paraId="1E65D05E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5.1 Skeleton Transformer结构</w:t>
      </w:r>
    </w:p>
    <w:p w14:paraId="7943F19C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模型结构采用标准Transformer Encoder，共包含以下模块：</w:t>
      </w:r>
    </w:p>
    <w:p w14:paraId="0E204E9E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Linear Embedding：将132维骨架特征投影到128维模型空间</w:t>
      </w:r>
    </w:p>
    <w:p w14:paraId="574CC6FE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Position Embedding：可学习的时间位置嵌入（nn.Embedding，长度30）</w:t>
      </w:r>
    </w:p>
    <w:p w14:paraId="560B39B2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Transformer Encoder × 2层（d_model=128，nhead=4，FFN=256，dropout=0.1）</w:t>
      </w:r>
    </w:p>
    <w:p w14:paraId="564CCA82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Mean Pooling：对30个时间步的输出取均值，得到全局序列表示</w:t>
      </w:r>
    </w:p>
    <w:p w14:paraId="187276CA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MLP Classifier：Linear(128→64)→ReLU→Dropout→Linear(64→6)</w:t>
      </w:r>
    </w:p>
    <w:p w14:paraId="4A86089D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模型参数量约35万，轻量且适合CPU训练。</w:t>
      </w:r>
    </w:p>
    <w:p w14:paraId="36AD6E1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5.2 超参数</w:t>
      </w:r>
    </w:p>
    <w:tbl>
      <w:tblPr>
        <w:tblStyle w:val="11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7"/>
        <w:gridCol w:w="2467"/>
        <w:gridCol w:w="2166"/>
      </w:tblGrid>
      <w:tr w14:paraId="4B2B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B2D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EDA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取值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5EE9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3294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0C35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input_dim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F1F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0D4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每帧骨架特征维度</w:t>
            </w:r>
          </w:p>
        </w:tc>
      </w:tr>
      <w:tr w14:paraId="472A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B3B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target_frames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B816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89B2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每段视频统一帧数</w:t>
            </w:r>
          </w:p>
        </w:tc>
      </w:tr>
      <w:tr w14:paraId="58F4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9108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d_model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B72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7CC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Transformer主维度</w:t>
            </w:r>
          </w:p>
        </w:tc>
      </w:tr>
      <w:tr w14:paraId="07E1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609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nhead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610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0F3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多头注意力head数</w:t>
            </w:r>
          </w:p>
        </w:tc>
      </w:tr>
      <w:tr w14:paraId="0974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0B9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num_layers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D9C1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3B17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Encoder层数</w:t>
            </w:r>
          </w:p>
        </w:tc>
      </w:tr>
      <w:tr w14:paraId="5C59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8B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dim_feedforward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B35E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55B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FFN中间层维度</w:t>
            </w:r>
          </w:p>
        </w:tc>
      </w:tr>
      <w:tr w14:paraId="06F4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D440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dropout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52A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632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防止过拟合</w:t>
            </w:r>
          </w:p>
        </w:tc>
      </w:tr>
      <w:tr w14:paraId="2A329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4B3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batch_size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21CF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D8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批大小</w:t>
            </w:r>
          </w:p>
        </w:tc>
      </w:tr>
      <w:tr w14:paraId="6D84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5807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epochs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CA2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DB0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训练轮数</w:t>
            </w:r>
          </w:p>
        </w:tc>
      </w:tr>
      <w:tr w14:paraId="2C21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2D3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lr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5E4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1e-3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6B2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Adam初始学习率</w:t>
            </w:r>
          </w:p>
        </w:tc>
      </w:tr>
      <w:tr w14:paraId="1272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5BE4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scheduler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33E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CosineAnnealingLR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79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余弦退火调度</w:t>
            </w:r>
          </w:p>
        </w:tc>
      </w:tr>
    </w:tbl>
    <w:p w14:paraId="76A6E5D7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表2 模型超参数设置</w:t>
      </w:r>
    </w:p>
    <w:p w14:paraId="3D003926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六、训练过程</w:t>
      </w:r>
    </w:p>
    <w:p w14:paraId="08C2F126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训练使用CrossEntropyLoss损失函数与Adam优化器，配合CosineAnnealingLR学习率调度器。以下为关键epoch的训练记录：</w:t>
      </w:r>
    </w:p>
    <w:tbl>
      <w:tblPr>
        <w:tblStyle w:val="11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7"/>
        <w:gridCol w:w="2004"/>
        <w:gridCol w:w="2004"/>
        <w:gridCol w:w="2005"/>
      </w:tblGrid>
      <w:tr w14:paraId="148D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14C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3F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Train Loss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D94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Train Acc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D98D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Test Acc</w:t>
            </w:r>
          </w:p>
        </w:tc>
      </w:tr>
      <w:tr w14:paraId="1094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6C2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70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1.7793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7AA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19.46%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D81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26.19%</w:t>
            </w:r>
          </w:p>
        </w:tc>
      </w:tr>
      <w:tr w14:paraId="251B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D5B7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5CE0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1.4325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2B2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41.77%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66D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25.00%</w:t>
            </w:r>
          </w:p>
        </w:tc>
      </w:tr>
      <w:tr w14:paraId="6318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877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6A1A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1.1614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B8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56.59%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7DE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34.52%</w:t>
            </w:r>
          </w:p>
        </w:tc>
      </w:tr>
      <w:tr w14:paraId="7ED27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CD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67C9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0.7647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8ED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72.16%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683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32.14%</w:t>
            </w:r>
          </w:p>
        </w:tc>
      </w:tr>
      <w:tr w14:paraId="6752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14D7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853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7A11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9675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37.50% ★</w:t>
            </w:r>
          </w:p>
        </w:tc>
      </w:tr>
      <w:tr w14:paraId="6A85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9BAC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F74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0.3777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74F0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88.47%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A4B1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37.50%</w:t>
            </w:r>
          </w:p>
        </w:tc>
      </w:tr>
      <w:tr w14:paraId="703E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5FD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8D3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0.2784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6F9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93.41%</w:t>
            </w:r>
          </w:p>
        </w:tc>
        <w:tc>
          <w:tcPr>
            <w:tcW w:w="2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E4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35.12%</w:t>
            </w:r>
          </w:p>
        </w:tc>
      </w:tr>
    </w:tbl>
    <w:p w14:paraId="32F4031C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表3 训练过程记录（★为最佳测试准确率）</w:t>
      </w:r>
    </w:p>
    <w:p w14:paraId="2CEF3F65">
      <w:pPr>
        <w:spacing w:before="60" w:after="60"/>
        <w:ind w:firstLine="480"/>
      </w:pPr>
    </w:p>
    <w:p w14:paraId="56582F81">
      <w:pPr>
        <w:spacing w:before="120" w:after="120"/>
        <w:jc w:val="center"/>
      </w:pPr>
      <w:r>
        <w:drawing>
          <wp:inline distT="0" distB="0" distL="0" distR="0">
            <wp:extent cx="4762500" cy="1666875"/>
            <wp:effectExtent l="0" t="0" r="0" b="0"/>
            <wp:docPr id="1" name="训练曲线" descr="训练曲线" title="训练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训练曲线" descr="训练曲线" title="训练曲线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9A5F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图1 训练损失与准确率曲线</w:t>
      </w:r>
    </w:p>
    <w:p w14:paraId="648797F9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七、测试结果</w:t>
      </w:r>
    </w:p>
    <w:p w14:paraId="5C74967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7.1 整体准确率</w:t>
      </w:r>
    </w:p>
    <w:p w14:paraId="6B2DDEC7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测试集共168个样本，模型预测正确59个，测试准确率为35.12%，最佳测试准确率为37.50%（第32轮）。</w:t>
      </w:r>
    </w:p>
    <w:p w14:paraId="09479C3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7.2 分类报告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775"/>
        <w:gridCol w:w="1763"/>
        <w:gridCol w:w="1755"/>
        <w:gridCol w:w="1767"/>
      </w:tblGrid>
      <w:tr w14:paraId="4730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A321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类别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F28C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1553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0779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F1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46B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Support</w:t>
            </w:r>
          </w:p>
        </w:tc>
      </w:tr>
      <w:tr w14:paraId="3974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9C5B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forehand_drive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71C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1AEF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97B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9823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32</w:t>
            </w:r>
          </w:p>
        </w:tc>
      </w:tr>
      <w:tr w14:paraId="1019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2D5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forehand_lift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BE9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A0D0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CEEE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AA7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</w:tr>
      <w:tr w14:paraId="11EB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9C8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forehand_net_shot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32B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4B5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14C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34CD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21</w:t>
            </w:r>
          </w:p>
        </w:tc>
      </w:tr>
      <w:tr w14:paraId="096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B5A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forehand_clear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2A13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B80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0268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F83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24</w:t>
            </w:r>
          </w:p>
        </w:tc>
      </w:tr>
      <w:tr w14:paraId="6ABD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6BD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backhand_drive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956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0941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824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067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22</w:t>
            </w:r>
          </w:p>
        </w:tc>
      </w:tr>
      <w:tr w14:paraId="213A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3F8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backhand_net_shot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1A1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355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A47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A8C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</w:tr>
      <w:tr w14:paraId="2123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D2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macro avg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000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07C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E2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837B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168</w:t>
            </w:r>
          </w:p>
        </w:tc>
      </w:tr>
    </w:tbl>
    <w:p w14:paraId="6F8BE22F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表4 各类别分类报告</w:t>
      </w:r>
    </w:p>
    <w:p w14:paraId="7220365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7.3 混淆矩阵</w:t>
      </w:r>
    </w:p>
    <w:p w14:paraId="0CF0B898">
      <w:pPr>
        <w:spacing w:before="120" w:after="120"/>
        <w:jc w:val="center"/>
      </w:pPr>
      <w:r>
        <w:drawing>
          <wp:inline distT="0" distB="0" distL="0" distR="0">
            <wp:extent cx="3810000" cy="3000375"/>
            <wp:effectExtent l="0" t="0" r="0" b="0"/>
            <wp:docPr id="2" name="混淆矩阵" descr="混淆矩阵" title="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混淆矩阵" descr="混淆矩阵" title="混淆矩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3872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图2 测试集混淆矩阵</w:t>
      </w:r>
    </w:p>
    <w:p w14:paraId="0D8188F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7.4 各类别准确率</w:t>
      </w:r>
    </w:p>
    <w:p w14:paraId="21C1718F">
      <w:pPr>
        <w:spacing w:before="120" w:after="120"/>
        <w:jc w:val="center"/>
      </w:pPr>
      <w:r>
        <w:drawing>
          <wp:inline distT="0" distB="0" distL="0" distR="0">
            <wp:extent cx="4000500" cy="1952625"/>
            <wp:effectExtent l="0" t="0" r="0" b="0"/>
            <wp:docPr id="3" name="各类别准确率" descr="各类别准确率" title="各类别准确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各类别准确率" descr="各类别准确率" title="各类别准确率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26CB">
      <w:pPr>
        <w:spacing w:before="0" w:after="180"/>
        <w:jc w:val="center"/>
      </w:pPr>
      <w:r>
        <w:rPr>
          <w:rFonts w:ascii="宋体" w:hAnsi="宋体" w:eastAsia="宋体" w:cs="宋体"/>
          <w:i/>
          <w:iCs/>
          <w:color w:val="000000"/>
          <w:sz w:val="20"/>
          <w:szCs w:val="20"/>
        </w:rPr>
        <w:t>图3 各类别准确率柱状图</w:t>
      </w:r>
    </w:p>
    <w:p w14:paraId="312280DC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八、推理演示</w:t>
      </w:r>
    </w:p>
    <w:p w14:paraId="1A058353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选取forehand_clear类别中的一段视频进行单样本推理，流程如下：</w:t>
      </w:r>
    </w:p>
    <w:p w14:paraId="5886CE66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使用MediaPipe Pose提取30帧骨架序列，形状[30, 132]</w:t>
      </w:r>
    </w:p>
    <w:p w14:paraId="4E901EE9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输入已训练模型，经softmax得到各类别概率</w:t>
      </w:r>
    </w:p>
    <w:p w14:paraId="1942B710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• 输出预测类别与置信度</w:t>
      </w:r>
    </w:p>
    <w:p w14:paraId="0A5CC2A2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推理结果如下：</w:t>
      </w:r>
    </w:p>
    <w:p w14:paraId="0ED07EB8">
      <w:pPr>
        <w:spacing w:before="40" w:after="4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Video:           forehand_clear/.94.mp4</w:t>
      </w:r>
    </w:p>
    <w:p w14:paraId="1DE170EC">
      <w:pPr>
        <w:spacing w:before="40" w:after="4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Predicted class: backhand_drive</w:t>
      </w:r>
    </w:p>
    <w:p w14:paraId="7190BF53">
      <w:pPr>
        <w:spacing w:before="40" w:after="4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Confidence:      0.7315</w:t>
      </w:r>
    </w:p>
    <w:p w14:paraId="3E7EE766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该样本预测为backhand_drive，与真实标签forehand_clear不符，说明两类动作在骨架特征上存在混淆。分析原因：forehand_clear（正手高远球）的大幅度手臂动作可能与backhand_drive（反手平抽）在关键帧骨架投影上相似，且当前lite模型关键点精度有限，部分帧姿态估计存在误差。</w:t>
      </w:r>
    </w:p>
    <w:p w14:paraId="425EE1F9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九、结果分析</w:t>
      </w:r>
    </w:p>
    <w:p w14:paraId="361C3721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9.1 主要发现</w:t>
      </w:r>
    </w:p>
    <w:p w14:paraId="766CD293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模型在训练集上达到93.41%准确率，测试集仅35.12%，存在明显过拟合</w:t>
      </w:r>
    </w:p>
    <w:p w14:paraId="72D27F9C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forehand_drive（正手平抽）分类效果最好（F1=0.49），forehand_clear最差（F1=0.10）</w:t>
      </w:r>
    </w:p>
    <w:p w14:paraId="53A0DEFB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正手与反手动作之间、网前球与平抽之间存在较多混淆</w:t>
      </w:r>
    </w:p>
    <w:p w14:paraId="21B82FE3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9.2 原因分析</w:t>
      </w:r>
    </w:p>
    <w:p w14:paraId="347B8FD2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数据量偏少：每类平均约139条样本，Transformer需要更多数据才能充分学习</w:t>
      </w:r>
    </w:p>
    <w:p w14:paraId="10F96499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Lite模型精度：MediaPipe Pose Lite模型对快速运动的关键点追踪精度有限</w:t>
      </w:r>
    </w:p>
    <w:p w14:paraId="648711E6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相机视角单一：部分动作从不同视角看骨架特征相似，导致类别混淆</w:t>
      </w:r>
    </w:p>
    <w:p w14:paraId="544DEC6F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归一化局限：仅以肩宽归一化，未能消除空间旋转等变换的影响</w:t>
      </w:r>
    </w:p>
    <w:p w14:paraId="46737FA7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9.3 可改进方向</w:t>
      </w:r>
    </w:p>
    <w:p w14:paraId="1FAA5026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使用MediaPipe Full模型替换Lite模型，提升关键点精度</w:t>
      </w:r>
    </w:p>
    <w:p w14:paraId="3C29862B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引入数据增强：关键点随机扰动、时序翻转、速度缩放等</w:t>
      </w:r>
    </w:p>
    <w:p w14:paraId="4FEB5299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增加Transformer层数或引入CLS token提升表达能力</w:t>
      </w:r>
    </w:p>
    <w:p w14:paraId="6F7FFFF9">
      <w:pPr>
        <w:spacing w:before="40" w:after="40"/>
        <w:ind w:left="480"/>
      </w:pPr>
      <w:r>
        <w:rPr>
          <w:rFonts w:ascii="宋体" w:hAnsi="宋体" w:eastAsia="宋体" w:cs="宋体"/>
          <w:color w:val="000000"/>
          <w:sz w:val="24"/>
          <w:szCs w:val="24"/>
        </w:rPr>
        <w:t>使用速度特征：在原始坐标基础上拼接相邻帧差值，引入运动信息</w:t>
      </w:r>
    </w:p>
    <w:p w14:paraId="464A8FD2">
      <w:pPr>
        <w:spacing w:before="40" w:after="40"/>
        <w:ind w:left="480"/>
      </w:pPr>
      <w:bookmarkStart w:id="0" w:name="_GoBack"/>
      <w:bookmarkEnd w:id="0"/>
      <w:r>
        <w:rPr>
          <w:rFonts w:ascii="宋体" w:hAnsi="宋体" w:eastAsia="宋体" w:cs="宋体"/>
          <w:color w:val="000000"/>
          <w:sz w:val="24"/>
          <w:szCs w:val="24"/>
        </w:rPr>
        <w:t>采用预训练骨架表示或对比学习提升泛化能力</w:t>
      </w:r>
    </w:p>
    <w:p w14:paraId="270E7D88">
      <w:pPr>
        <w:pStyle w:val="3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8"/>
          <w:szCs w:val="28"/>
        </w:rPr>
        <w:t>9.4 方法优势与局限</w:t>
      </w:r>
    </w:p>
    <w:p w14:paraId="5AD00C9A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优势方面：骨架序列相比原始像素大幅降低输入维度（132维 vs 数万像素），计算量小；骨架表示直接对应人体运动语义，可解释性强；完整的MediaPipe+Transformer流程可复用于其他运动分析场景。</w:t>
      </w:r>
    </w:p>
    <w:p w14:paraId="26D8C42D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局限方面：丢失了球拍、球的位置等非人体视觉信息；Lite姿态估计在快速击球时精度下降；当前数据集规模限制了模型泛化能力。</w:t>
      </w:r>
    </w:p>
    <w:p w14:paraId="1D0DAD73">
      <w:pPr>
        <w:pStyle w:val="2"/>
        <w:spacing w:before="360" w:after="180"/>
      </w:pPr>
      <w:r>
        <w:rPr>
          <w:rFonts w:ascii="宋体" w:hAnsi="宋体" w:eastAsia="宋体" w:cs="宋体"/>
          <w:b/>
          <w:bCs/>
          <w:color w:val="000000"/>
          <w:sz w:val="32"/>
          <w:szCs w:val="32"/>
        </w:rPr>
        <w:t>十、实验总结</w:t>
      </w:r>
    </w:p>
    <w:p w14:paraId="310A43AB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本实验完整实现了基于MediaPipe Pose骨架序列与Transformer Encoder的羽毛球击球动作识别流程，涵盖视频预处理、骨架提取、模型训练、测试评估与单样本推理全过程。</w:t>
      </w:r>
    </w:p>
    <w:p w14:paraId="7E0FE8AA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测试集准确率达到35.12%（最佳37.50%），高于随机基线（16.7%），验证了骨架Transformer方法的可行性。过拟合问题主要源于数据量不足与Lite模型精度限制，在更大规模数据集与更精确的骨架提取下，该方法具有进一步提升的空间。</w:t>
      </w:r>
    </w:p>
    <w:p w14:paraId="1DAF3CD9">
      <w:pPr>
        <w:spacing w:before="60" w:after="60"/>
        <w:ind w:firstLine="480"/>
      </w:pPr>
      <w:r>
        <w:rPr>
          <w:rFonts w:ascii="宋体" w:hAnsi="宋体" w:eastAsia="宋体" w:cs="宋体"/>
          <w:color w:val="000000"/>
          <w:sz w:val="24"/>
          <w:szCs w:val="24"/>
        </w:rPr>
        <w:t>通过本实验，理解了视频动作识别转化为骨架时间序列分类的核心思路，掌握了MediaPipe Pose关键点提取、骨架归一化、Transformer时序建模的完整技术路线，为后续动作识别研究奠定了实践基础。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F3BDB">
    <w:pPr>
      <w:jc w:val="center"/>
    </w:pPr>
    <w:r>
      <w:rPr>
        <w:rFonts w:ascii="宋体" w:hAnsi="宋体" w:eastAsia="宋体" w:cs="宋体"/>
        <w:color w:val="000000"/>
        <w:sz w:val="18"/>
        <w:szCs w:val="18"/>
      </w:rPr>
      <w:t xml:space="preserve">第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fldChar w:fldCharType="end"/>
    </w:r>
    <w:r>
      <w:rPr>
        <w:rFonts w:ascii="宋体" w:hAnsi="宋体" w:eastAsia="宋体" w:cs="宋体"/>
        <w:color w:val="00000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F368A">
    <w:pPr>
      <w:pBdr>
        <w:bottom w:val="single" w:color="000000" w:sz="4" w:space="1"/>
      </w:pBdr>
      <w:jc w:val="center"/>
    </w:pPr>
    <w:r>
      <w:rPr>
        <w:rFonts w:ascii="宋体" w:hAnsi="宋体" w:eastAsia="宋体" w:cs="宋体"/>
        <w:color w:val="000000"/>
        <w:sz w:val="18"/>
        <w:szCs w:val="18"/>
      </w:rPr>
      <w:t>基于骨架序列Transformer的羽毛球动作识别实验报告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481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color w:val="000000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2216</Words>
  <Characters>3680</Characters>
  <TotalTime>0</TotalTime>
  <ScaleCrop>false</ScaleCrop>
  <LinksUpToDate>false</LinksUpToDate>
  <CharactersWithSpaces>3808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2026-06-25T16:22:00Z</dcterms:created>
  <dc:creator>Un-named</dc:creator>
  <cp:lastModifiedBy>一路向北</cp:lastModifiedBy>
  <dcterms:modified xsi:type="dcterms:W3CDTF">2026-06-26T00:38:59Z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eyJoZGlkIjoiMmYzODJkOTg4ZWEyZGU0YWVmMjE3OTJiOTJmYzMzOTMiLCJ1c2VySWQiOiIxNTE0NTMwODk4In0=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379AE2B51CF542338A153106B8253225_12</vt:lpwstr>
  </property>
</Properties>
</file>