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70105">
      <w:pPr>
        <w:spacing w:before="0" w:after="240"/>
        <w:jc w:val="center"/>
        <w:rPr>
          <w:rFonts w:hint="default" w:cs="微软雅黑"/>
          <w:b w:val="0"/>
          <w:bCs w:val="0"/>
          <w:color w:val="404040"/>
          <w:sz w:val="48"/>
          <w:szCs w:val="48"/>
          <w:lang w:val="en-US" w:eastAsia="zh-CN"/>
        </w:rPr>
      </w:pPr>
      <w:r>
        <w:rPr>
          <w:rFonts w:hint="eastAsia" w:cs="微软雅黑"/>
          <w:b w:val="0"/>
          <w:bCs w:val="0"/>
          <w:color w:val="404040"/>
          <w:sz w:val="48"/>
          <w:szCs w:val="48"/>
          <w:lang w:val="en-US" w:eastAsia="zh-CN"/>
        </w:rPr>
        <w:t>计算机视觉实验第八节课</w:t>
      </w:r>
    </w:p>
    <w:p w14:paraId="11D6570C">
      <w:pPr>
        <w:spacing w:before="0" w:after="240"/>
        <w:jc w:val="center"/>
        <w:rPr>
          <w:rFonts w:ascii="微软雅黑" w:hAnsi="微软雅黑" w:eastAsia="微软雅黑" w:cs="微软雅黑"/>
          <w:b/>
          <w:bCs/>
          <w:color w:val="404040"/>
          <w:sz w:val="40"/>
          <w:szCs w:val="40"/>
        </w:rPr>
      </w:pPr>
      <w:r>
        <w:rPr>
          <w:rFonts w:ascii="微软雅黑" w:hAnsi="微软雅黑" w:eastAsia="微软雅黑" w:cs="微软雅黑"/>
          <w:b w:val="0"/>
          <w:bCs w:val="0"/>
          <w:color w:val="404040"/>
          <w:sz w:val="48"/>
          <w:szCs w:val="48"/>
        </w:rPr>
        <w:t>手写数字识别实验报告</w:t>
      </w:r>
    </w:p>
    <w:p w14:paraId="3E848425">
      <w:pPr>
        <w:spacing w:before="0" w:after="240"/>
        <w:jc w:val="center"/>
        <w:rPr>
          <w:rFonts w:hint="default" w:ascii="微软雅黑" w:hAnsi="微软雅黑" w:eastAsia="微软雅黑" w:cs="微软雅黑"/>
          <w:color w:val="404040"/>
          <w:sz w:val="32"/>
          <w:szCs w:val="32"/>
          <w:lang w:val="en-US" w:eastAsia="zh-CN"/>
        </w:rPr>
      </w:pPr>
      <w:r>
        <w:rPr>
          <w:rFonts w:hint="eastAsia" w:cs="微软雅黑"/>
          <w:color w:val="404040"/>
          <w:sz w:val="32"/>
          <w:szCs w:val="32"/>
          <w:lang w:val="en-US" w:eastAsia="zh-CN"/>
        </w:rPr>
        <w:t>2023103402 孙勇超</w:t>
      </w:r>
    </w:p>
    <w:p w14:paraId="72DE7C4E">
      <w:pPr>
        <w:pBdr>
          <w:bottom w:val="single" w:color="CCCCCC" w:sz="4" w:space="1"/>
        </w:pBdr>
        <w:spacing w:before="80" w:after="80"/>
      </w:pPr>
    </w:p>
    <w:p w14:paraId="74E395DA">
      <w:pPr>
        <w:pStyle w:val="2"/>
        <w:spacing w:before="36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一、实验目的</w:t>
      </w:r>
    </w:p>
    <w:p w14:paraId="0F848FFE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本次实验利用 scikit-learn 提供的 digits 手写数字数据集，完整走通传统机器学习图像分类的全流程：数据加载、特征提取、数据集划分、模型训练、结果评估与错误分析。通过对比六种经典分类器（KNN、朴素贝叶斯、逻辑回归、SVM、决策树、随机森林）在同一任务上的表现，深入理解各方法的优缺点及其适用场景。</w:t>
      </w:r>
    </w:p>
    <w:p w14:paraId="2DEBCE11">
      <w:pPr>
        <w:pStyle w:val="2"/>
        <w:numPr>
          <w:ilvl w:val="0"/>
          <w:numId w:val="1"/>
        </w:numPr>
        <w:spacing w:before="360" w:after="160"/>
        <w:rPr>
          <w:rFonts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数据集说明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 w14:paraId="74DA8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4BA0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60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EF9E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C69B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647A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数据集名称</w:t>
            </w:r>
          </w:p>
        </w:tc>
        <w:tc>
          <w:tcPr>
            <w:tcW w:w="6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4986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sklearn.datasets.load_digits</w:t>
            </w:r>
          </w:p>
        </w:tc>
      </w:tr>
      <w:tr w14:paraId="5AEBD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D100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图像大小</w:t>
            </w:r>
          </w:p>
        </w:tc>
        <w:tc>
          <w:tcPr>
            <w:tcW w:w="6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5527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 × 8 像素</w:t>
            </w:r>
          </w:p>
        </w:tc>
      </w:tr>
      <w:tr w14:paraId="2A8D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BD1E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样本总数</w:t>
            </w:r>
          </w:p>
        </w:tc>
        <w:tc>
          <w:tcPr>
            <w:tcW w:w="6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69A2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1797</w:t>
            </w:r>
          </w:p>
        </w:tc>
      </w:tr>
      <w:tr w14:paraId="2A48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9A3F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类别数量</w:t>
            </w:r>
          </w:p>
        </w:tc>
        <w:tc>
          <w:tcPr>
            <w:tcW w:w="6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518C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10（数字 0–9）</w:t>
            </w:r>
          </w:p>
        </w:tc>
      </w:tr>
      <w:tr w14:paraId="6610C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0200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特征向量维度</w:t>
            </w:r>
          </w:p>
        </w:tc>
        <w:tc>
          <w:tcPr>
            <w:tcW w:w="6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34F9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64（每像素灰度值 0–16 展开为一维向量）</w:t>
            </w:r>
          </w:p>
        </w:tc>
      </w:tr>
      <w:tr w14:paraId="2CF0F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0B09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划分方式</w:t>
            </w:r>
          </w:p>
        </w:tc>
        <w:tc>
          <w:tcPr>
            <w:tcW w:w="6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68DB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训练集 1347 (75%) / 测试集 450 (25%)，random_state=42</w:t>
            </w:r>
          </w:p>
        </w:tc>
      </w:tr>
    </w:tbl>
    <w:p w14:paraId="49760B64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2.1 图像如何表示为特征向量</w:t>
      </w:r>
    </w:p>
    <w:p w14:paraId="399FB43D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每张图像原始形状为 8×8 的二维像素矩阵，每个元素为灰度值（整数 0–16，0 为白色，16 为黑色）。将其按行展开（reshape(-1)），得到长度为 64 的一维数组，即 64 维特征向量。这一过程如下图所示：</w:t>
      </w:r>
    </w:p>
    <w:p w14:paraId="7CE93629">
      <w:pPr>
        <w:spacing w:before="120" w:after="120"/>
        <w:jc w:val="center"/>
      </w:pPr>
      <w:r>
        <w:drawing>
          <wp:inline distT="0" distB="0" distL="0" distR="0">
            <wp:extent cx="4572000" cy="1714500"/>
            <wp:effectExtent l="0" t="0" r="0" b="0"/>
            <wp:docPr id="1" name="task3_flatten.png" descr="task3_flatten.png" title="task3_flatt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3_flatten.png" descr="task3_flatten.png" title="task3_flatte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0DA5">
      <w:pPr>
        <w:spacing w:before="0" w:after="200"/>
        <w:jc w:val="center"/>
        <w:rPr>
          <w:i w:val="0"/>
          <w:iCs w:val="0"/>
        </w:rPr>
      </w:pP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图1  8×8 图像展平为 64 维特征向量示意图</w:t>
      </w:r>
    </w:p>
    <w:p w14:paraId="32E6C072">
      <w:pPr>
        <w:spacing w:before="80"/>
      </w:pPr>
    </w:p>
    <w:p w14:paraId="33FBC8C1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2.2 样本图像预览</w:t>
      </w:r>
    </w:p>
    <w:p w14:paraId="6F6C2E15">
      <w:pPr>
        <w:spacing w:before="120" w:after="120"/>
        <w:jc w:val="center"/>
      </w:pPr>
      <w:r>
        <w:drawing>
          <wp:inline distT="0" distB="0" distL="0" distR="0">
            <wp:extent cx="4762500" cy="1905000"/>
            <wp:effectExtent l="0" t="0" r="0" b="0"/>
            <wp:docPr id="2" name="task1_samples.png" descr="task1_samples.png" title="task1_samp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1_samples.png" descr="task1_samples.png" title="task1_sampl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F3A6">
      <w:pPr>
        <w:spacing w:before="0" w:after="200"/>
        <w:jc w:val="center"/>
        <w:rPr>
          <w:i w:val="0"/>
          <w:iCs w:val="0"/>
        </w:rPr>
      </w:pP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图2  digits 数据集前10张样本图像及真实标签</w:t>
      </w:r>
    </w:p>
    <w:p w14:paraId="68D9B8F2">
      <w:pPr>
        <w:pStyle w:val="2"/>
        <w:spacing w:before="36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三、实验方法</w:t>
      </w:r>
    </w:p>
    <w:p w14:paraId="3180D1FA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3.1 数据划分</w:t>
      </w:r>
    </w:p>
    <w:p w14:paraId="005C5590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使用 train_test_split 将 1797 个样本按 25% 比例划分为训练集（1347 个）和测试集（450 个），设置 random_state=42 保证实验可复现。</w:t>
      </w:r>
    </w:p>
    <w:p w14:paraId="38B0B942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训练集（Train Set）：用于拟合模型参数，模型从中"学习"不同数字的像素分布规律。</w:t>
      </w:r>
    </w:p>
    <w:p w14:paraId="08346950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测试集（Test Set）：训练完成后才使用，模拟模型在真实未知样本上的表现，用于评估泛化能力。两者严格分离，防止数据泄露导致评估虚高。</w:t>
      </w:r>
    </w:p>
    <w:p w14:paraId="6C250D49">
      <w:pPr>
        <w:spacing w:before="80"/>
      </w:pPr>
    </w:p>
    <w:p w14:paraId="77AF07E0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3.2 特征表示说明</w:t>
      </w:r>
    </w:p>
    <w:p w14:paraId="779C8296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传统机器学习算法（KNN、SVM 等）的核心运算基于向量距离或线性乘法，只能接受固定长度的一维数值向量。图像原本是二维矩阵，必须先"压平"为向量才可输入。</w:t>
      </w:r>
    </w:p>
    <w:p w14:paraId="5AB8F03D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使用原始像素作为特征的优点：简单直接，无需手工设计，保留全部像素信息，适合尺寸规整的小图像。</w:t>
      </w:r>
    </w:p>
    <w:p w14:paraId="602ACCD6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局限：对平移、旋转、缩放高度敏感——同一数字轻微偏移后特征向量差异大；相邻像素高度相关，信息冗余；对光照变化脆弱。在高分辨率真实图像上需先做 HOG、LBP 等特征提取，或改用 CNN 自动学习特征。</w:t>
      </w:r>
    </w:p>
    <w:p w14:paraId="17E8E755">
      <w:pPr>
        <w:spacing w:before="80"/>
      </w:pPr>
    </w:p>
    <w:p w14:paraId="13614854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3.3 六种分类方法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00"/>
        <w:gridCol w:w="3400"/>
      </w:tblGrid>
      <w:tr w14:paraId="4451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FA94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34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02F7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核心思想</w:t>
            </w:r>
          </w:p>
        </w:tc>
        <w:tc>
          <w:tcPr>
            <w:tcW w:w="34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482C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参数设置</w:t>
            </w:r>
          </w:p>
        </w:tc>
      </w:tr>
      <w:tr w14:paraId="4CF59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E691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KNN（最近邻）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0616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计算测试样本与所有训练样本的欧氏距离，取最近 k 个邻居的多数类作为预测结果，无显式训练过程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5395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k=5</w:t>
            </w:r>
          </w:p>
        </w:tc>
      </w:tr>
      <w:tr w14:paraId="22429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19C8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朴素贝叶斯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807C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假设各特征相互独立，用贝叶斯定理估计后验概率，取最大类，属于生成式模型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4665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高斯分布假设</w:t>
            </w:r>
          </w:p>
        </w:tc>
      </w:tr>
      <w:tr w14:paraId="3BD9D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F314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逻辑回归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C921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对每类学习线性权重，通过 softmax 将线性得分转为概率，属于判别式线性模型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BF8F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max_iter=2000</w:t>
            </w:r>
          </w:p>
        </w:tc>
      </w:tr>
      <w:tr w14:paraId="32A33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FEB6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SVM（支持向量机）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F65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在特征空间中寻找最大间隔超平面，RBF 核将样本映射到更高维空间以处理非线性边界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9F6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kernel=rbf, C=10, gamma=0.001</w:t>
            </w:r>
          </w:p>
        </w:tc>
      </w:tr>
      <w:tr w14:paraId="776B4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7A1F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决策树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4B07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递归选择信息增益最大的特征进行二分，构建树形判别规则，具有良好可解释性但易过拟合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0A59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random_state=42</w:t>
            </w:r>
          </w:p>
        </w:tc>
      </w:tr>
      <w:tr w14:paraId="6D42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F314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随机森林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0ED1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通过 Bootstrap 抽样构建多棵决策树，每棵树随机选取部分特征，最终投票集成降低方差</w:t>
            </w:r>
          </w:p>
        </w:tc>
        <w:tc>
          <w:tcPr>
            <w:tcW w:w="3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E3F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n_estimators=100</w:t>
            </w:r>
          </w:p>
        </w:tc>
      </w:tr>
    </w:tbl>
    <w:p w14:paraId="768F56D0">
      <w:pPr>
        <w:pStyle w:val="2"/>
        <w:spacing w:before="36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四、实验结果</w:t>
      </w:r>
    </w:p>
    <w:p w14:paraId="291AA374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4.1 各模型准确率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200"/>
        <w:gridCol w:w="1700"/>
        <w:gridCol w:w="1800"/>
        <w:gridCol w:w="1600"/>
      </w:tblGrid>
      <w:tr w14:paraId="09E2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2F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3B9E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排名</w:t>
            </w:r>
          </w:p>
        </w:tc>
        <w:tc>
          <w:tcPr>
            <w:tcW w:w="32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2F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5458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17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2F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9C0B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测试准确率</w:t>
            </w:r>
          </w:p>
        </w:tc>
        <w:tc>
          <w:tcPr>
            <w:tcW w:w="18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2F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EFE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准确率(%)</w:t>
            </w:r>
          </w:p>
        </w:tc>
        <w:tc>
          <w:tcPr>
            <w:tcW w:w="16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2F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023F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备注</w:t>
            </w:r>
          </w:p>
        </w:tc>
      </w:tr>
      <w:tr w14:paraId="7AAD1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64CA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FBF2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KNN (k=5)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C834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0.9933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671E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99.33%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5683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最高 ★</w:t>
            </w:r>
          </w:p>
        </w:tc>
      </w:tr>
      <w:tr w14:paraId="0820D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C9E1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9362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SVM (RBF核)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9C93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0.9911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B795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99.11%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B0A38">
            <w:pPr>
              <w:jc w:val="left"/>
            </w:pPr>
          </w:p>
        </w:tc>
      </w:tr>
      <w:tr w14:paraId="535A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F573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16C5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逻辑回归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90E4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0.9733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E44D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97.33%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27AA4">
            <w:pPr>
              <w:jc w:val="left"/>
            </w:pPr>
          </w:p>
        </w:tc>
      </w:tr>
      <w:tr w14:paraId="60A3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B434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458C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随机森林 (100棵)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083A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0.9711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7DD8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97.11%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2E4E6">
            <w:pPr>
              <w:jc w:val="left"/>
            </w:pPr>
          </w:p>
        </w:tc>
      </w:tr>
      <w:tr w14:paraId="2AF1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6C86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85EA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决策树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5621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0.8578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78C4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85.78%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5052F">
            <w:pPr>
              <w:jc w:val="left"/>
            </w:pPr>
          </w:p>
        </w:tc>
      </w:tr>
      <w:tr w14:paraId="0DBAB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02D1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08A0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朴素贝叶斯</w:t>
            </w:r>
          </w:p>
        </w:tc>
        <w:tc>
          <w:tcPr>
            <w:tcW w:w="17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D017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0.8556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DB30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85.56%</w:t>
            </w:r>
          </w:p>
        </w:tc>
        <w:tc>
          <w:tcPr>
            <w:tcW w:w="1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8492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最低</w:t>
            </w:r>
          </w:p>
        </w:tc>
      </w:tr>
    </w:tbl>
    <w:p w14:paraId="5221BF4F">
      <w:pPr>
        <w:spacing w:before="160"/>
      </w:pPr>
    </w:p>
    <w:p w14:paraId="2612A93D">
      <w:pPr>
        <w:spacing w:before="120" w:after="120"/>
        <w:jc w:val="center"/>
      </w:pPr>
      <w:r>
        <w:drawing>
          <wp:inline distT="0" distB="0" distL="0" distR="0">
            <wp:extent cx="4762500" cy="2381250"/>
            <wp:effectExtent l="0" t="0" r="0" b="0"/>
            <wp:docPr id="3" name="task5_accuracy_comparison.png" descr="task5_accuracy_comparison.png" title="task5_accuracy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5_accuracy_comparison.png" descr="task5_accuracy_comparison.png" title="task5_accuracy_comparis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6F75">
      <w:pPr>
        <w:spacing w:before="0" w:after="200"/>
        <w:jc w:val="center"/>
        <w:rPr>
          <w:i w:val="0"/>
          <w:iCs w:val="0"/>
        </w:rPr>
      </w:pP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图3  六种模型测试准确率对比（金色=最高，红色=最低）</w:t>
      </w:r>
    </w:p>
    <w:p w14:paraId="555348D7">
      <w:pPr>
        <w:spacing w:before="160"/>
      </w:pPr>
    </w:p>
    <w:p w14:paraId="53F99E6E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4.2 结果分析</w:t>
      </w:r>
    </w:p>
    <w:p w14:paraId="1795D635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哪个模型准确率最高？KNN（k=5）以 99.33% 排名第一，在 450 个测试样本中仅误判 3 个。</w:t>
      </w:r>
    </w:p>
    <w:p w14:paraId="55268F1D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哪个模型准确率最低？朴素贝叶斯仅 85.56%，决策树 85.78%，两者明显落后于其他四种模型。</w:t>
      </w:r>
    </w:p>
    <w:p w14:paraId="6BA9FDCF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差异是否明显？明显。最高与最低相差 13.78 个百分点，可清晰分为两档：KNN/SVM/逻辑回归/随机森林（97%–99.3%）和决策树/朴素贝叶斯（85%–86%），档间差约 11%。</w:t>
      </w:r>
    </w:p>
    <w:p w14:paraId="5FA89981">
      <w:pPr>
        <w:spacing w:before="160" w:after="160" w:line="480" w:lineRule="auto"/>
        <w:ind w:firstLine="440" w:firstLineChars="20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产生差异的原因：</w:t>
      </w:r>
    </w:p>
    <w:p w14:paraId="5F9F1059">
      <w:pPr>
        <w:spacing w:before="80" w:after="80" w:line="440" w:lineRule="auto"/>
        <w:ind w:firstLine="400" w:firstLineChars="200"/>
        <w:jc w:val="left"/>
      </w:pPr>
      <w:r>
        <w:rPr>
          <w:rFonts w:ascii="微软雅黑" w:hAnsi="微软雅黑" w:eastAsia="微软雅黑" w:cs="微软雅黑"/>
          <w:sz w:val="20"/>
          <w:szCs w:val="20"/>
        </w:rPr>
        <w:t>朴素贝叶斯：其"特征独立"假设在像素数据上严重不成立（相邻像素高度相关），导致概率估计偏差大，精度低。</w:t>
      </w:r>
    </w:p>
    <w:p w14:paraId="0984E645">
      <w:pPr>
        <w:spacing w:before="80" w:after="80" w:line="440" w:lineRule="auto"/>
        <w:ind w:firstLine="400" w:firstLineChars="200"/>
        <w:jc w:val="left"/>
      </w:pPr>
      <w:r>
        <w:rPr>
          <w:rFonts w:ascii="微软雅黑" w:hAnsi="微软雅黑" w:eastAsia="微软雅黑" w:cs="微软雅黑"/>
          <w:sz w:val="20"/>
          <w:szCs w:val="20"/>
        </w:rPr>
        <w:t>决策树：单棵树深度无限制时会过拟合训练集，对复杂非线性边界拟合能力有限，泛化弱。</w:t>
      </w:r>
    </w:p>
    <w:p w14:paraId="40D8D95E">
      <w:pPr>
        <w:spacing w:before="80" w:after="80" w:line="440" w:lineRule="auto"/>
        <w:ind w:firstLine="400" w:firstLineChars="200"/>
        <w:jc w:val="lef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KNN：digits 数据集中同类数字在像素空间聚集紧密，欧氏距离邻域分类效果极佳；数据量适中，不受维度灾难影响。</w:t>
      </w:r>
    </w:p>
    <w:p w14:paraId="1ED5CDAE">
      <w:pPr>
        <w:spacing w:before="80" w:after="80" w:line="440" w:lineRule="auto"/>
        <w:ind w:firstLine="400" w:firstLineChars="200"/>
        <w:jc w:val="left"/>
      </w:pPr>
      <w:r>
        <w:rPr>
          <w:rFonts w:ascii="微软雅黑" w:hAnsi="微软雅黑" w:eastAsia="微软雅黑" w:cs="微软雅黑"/>
          <w:sz w:val="20"/>
          <w:szCs w:val="20"/>
        </w:rPr>
        <w:t>SVM：RBF 核将特征隐式映射到更高维空间，天然找到更灵活的非线性分隔面，与 KNN 效果相当。</w:t>
      </w:r>
    </w:p>
    <w:p w14:paraId="701EEB57">
      <w:pPr>
        <w:spacing w:before="160"/>
      </w:pPr>
    </w:p>
    <w:p w14:paraId="7C28E44A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4.3 混淆矩阵（KNN）</w:t>
      </w:r>
    </w:p>
    <w:p w14:paraId="02E67C82">
      <w:pPr>
        <w:spacing w:before="120" w:after="120"/>
        <w:jc w:val="center"/>
      </w:pPr>
      <w:r>
        <w:drawing>
          <wp:inline distT="0" distB="0" distL="0" distR="0">
            <wp:extent cx="4000500" cy="3114675"/>
            <wp:effectExtent l="0" t="0" r="0" b="0"/>
            <wp:docPr id="4" name="task6_confusion_matrix.png" descr="task6_confusion_matrix.png" title="task6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sk6_confusion_matrix.png" descr="task6_confusion_matrix.png" title="task6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A4BF">
      <w:pPr>
        <w:spacing w:before="0" w:after="200"/>
        <w:jc w:val="center"/>
        <w:rPr>
          <w:i w:val="0"/>
          <w:iCs w:val="0"/>
        </w:rPr>
      </w:pP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图4  KNN 模型混淆矩阵（对角线为正确分类，非对角线为误分类）</w:t>
      </w:r>
    </w:p>
    <w:p w14:paraId="11640396">
      <w:pPr>
        <w:spacing w:before="160"/>
      </w:pPr>
    </w:p>
    <w:p w14:paraId="0243CF84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4.4 错误分类样本</w:t>
      </w:r>
    </w:p>
    <w:p w14:paraId="6D4048AB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KNN 在 450 个测试样本中共误分类 3 个，误分类情况如下：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000"/>
      </w:tblGrid>
      <w:tr w14:paraId="4D8D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5477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真实标签</w:t>
            </w:r>
          </w:p>
        </w:tc>
        <w:tc>
          <w:tcPr>
            <w:tcW w:w="20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AE58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预测标签</w:t>
            </w:r>
          </w:p>
        </w:tc>
        <w:tc>
          <w:tcPr>
            <w:tcW w:w="20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02B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次数</w:t>
            </w:r>
          </w:p>
        </w:tc>
        <w:tc>
          <w:tcPr>
            <w:tcW w:w="3000" w:type="dxa"/>
            <w:tcBorders>
              <w:top w:val="single" w:color="2F75B6" w:sz="8" w:space="0"/>
              <w:left w:val="single" w:color="999999" w:sz="4" w:space="0"/>
              <w:bottom w:val="single" w:color="2F75B6" w:sz="8" w:space="0"/>
              <w:right w:val="single" w:color="999999" w:sz="4" w:space="0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97D1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原因分析</w:t>
            </w:r>
          </w:p>
        </w:tc>
      </w:tr>
      <w:tr w14:paraId="2C72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604C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5BB8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320F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1E5B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低分辨率下 5 与 9 上半部分弯曲方式相近</w:t>
            </w:r>
          </w:p>
        </w:tc>
      </w:tr>
      <w:tr w14:paraId="45921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FCC8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4624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C311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955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 下弯不完整时顶部结构与 4 相似</w:t>
            </w:r>
          </w:p>
        </w:tc>
      </w:tr>
      <w:tr w14:paraId="21F93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04AF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DE7D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F86B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A1DC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部分书写风格导致 9 与 5 笔画特征接近</w:t>
            </w:r>
          </w:p>
        </w:tc>
      </w:tr>
    </w:tbl>
    <w:p w14:paraId="71D6410B">
      <w:pPr>
        <w:spacing w:before="160"/>
      </w:pPr>
    </w:p>
    <w:p w14:paraId="61CA501A">
      <w:pPr>
        <w:spacing w:before="120" w:after="120"/>
        <w:jc w:val="center"/>
      </w:pPr>
      <w:r>
        <w:drawing>
          <wp:inline distT="0" distB="0" distL="0" distR="0">
            <wp:extent cx="4572000" cy="1905000"/>
            <wp:effectExtent l="0" t="0" r="0" b="0"/>
            <wp:docPr id="5" name="task6_misclassified.png" descr="task6_misclassified.png" title="task6_misclassifi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6_misclassified.png" descr="task6_misclassified.png" title="task6_misclassifi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7656">
      <w:pPr>
        <w:spacing w:before="0" w:after="200"/>
        <w:jc w:val="center"/>
        <w:rPr>
          <w:i w:val="0"/>
          <w:iCs w:val="0"/>
        </w:rPr>
      </w:pP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图5  被误分类的样本（标题格式：True=真实标签, Pred=预测标签）</w:t>
      </w:r>
    </w:p>
    <w:p w14:paraId="20937F71">
      <w:pPr>
        <w:spacing w:before="160"/>
      </w:pPr>
    </w:p>
    <w:p w14:paraId="00277E99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哪些数字最容易被混淆？数字 9 是最易被误判的类别（共被误判 2 次），分别与 4 和 5 混淆；此外 5 被误判为 9 一次。</w:t>
      </w:r>
    </w:p>
    <w:p w14:paraId="24832B4B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为什么这些样本容易被误判？在 8×8 的低分辨率下，笔画细节大量丢失。9 与 4 的区别在下端弯钩，分辨率不够时顶部结构极为相似；9 与 5 的上半部分弯曲方式在某些书写风格下难以区分。这类错误属于边界样本（ambiguous samples），人类有时也难以正确辨认，并非模型本身的系统性缺陷。</w:t>
      </w:r>
    </w:p>
    <w:p w14:paraId="22BE44C9">
      <w:pPr>
        <w:pStyle w:val="2"/>
        <w:spacing w:before="36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五、实验总结</w:t>
      </w:r>
    </w:p>
    <w:p w14:paraId="40097D6F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5.1 传统机器学习处理图像的基本流程</w:t>
      </w:r>
    </w:p>
    <w:p w14:paraId="437216DF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图像采集 → 灰度化/归一化 → 展平为特征向量 → 训练/测试集划分 → 模型训练 → 预测与评估（准确率、混淆矩阵）→ 错误分析。</w:t>
      </w:r>
    </w:p>
    <w:p w14:paraId="7C579242">
      <w:pPr>
        <w:spacing w:before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E1686CD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5.2 不同分类器优缺点汇总</w:t>
      </w:r>
    </w:p>
    <w:p w14:paraId="33BAD68A">
      <w:pPr>
        <w:spacing w:before="60" w:after="60" w:line="440" w:lineRule="auto"/>
        <w:ind w:firstLine="400" w:firstLineChars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KNN：</w:t>
      </w:r>
      <w:r>
        <w:rPr>
          <w:rFonts w:ascii="微软雅黑" w:hAnsi="微软雅黑" w:eastAsia="微软雅黑" w:cs="微软雅黑"/>
          <w:sz w:val="20"/>
          <w:szCs w:val="20"/>
        </w:rPr>
        <w:t>优点—无需训练、直观、在小规模高密度数据上准确率高；缺点—预测时需与所有训练样本比较，速度慢；对高维大数据集不适用。</w:t>
      </w:r>
    </w:p>
    <w:p w14:paraId="5ADB2928">
      <w:pPr>
        <w:spacing w:before="60" w:after="60" w:line="440" w:lineRule="auto"/>
        <w:ind w:firstLine="400" w:firstLineChars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朴素贝叶斯：</w:t>
      </w:r>
      <w:r>
        <w:rPr>
          <w:rFonts w:ascii="微软雅黑" w:hAnsi="微软雅黑" w:eastAsia="微软雅黑" w:cs="微软雅黑"/>
          <w:sz w:val="20"/>
          <w:szCs w:val="20"/>
        </w:rPr>
        <w:t>优点—训练极快，实现简单，内存占用少；缺点—特征独立假设对图像不成立，精度低。</w:t>
      </w:r>
    </w:p>
    <w:p w14:paraId="3F115F95">
      <w:pPr>
        <w:spacing w:before="60" w:after="60" w:line="440" w:lineRule="auto"/>
        <w:ind w:firstLine="400" w:firstLineChars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逻辑回归：</w:t>
      </w:r>
      <w:r>
        <w:rPr>
          <w:rFonts w:ascii="微软雅黑" w:hAnsi="微软雅黑" w:eastAsia="微软雅黑" w:cs="微软雅黑"/>
          <w:sz w:val="20"/>
          <w:szCs w:val="20"/>
        </w:rPr>
        <w:t>优点—可解释性好，训练稳定，输出概率；缺点—线性模型对非线性分布拟合有限。</w:t>
      </w:r>
    </w:p>
    <w:p w14:paraId="090D8E5C">
      <w:pPr>
        <w:spacing w:before="60" w:after="60" w:line="440" w:lineRule="auto"/>
        <w:ind w:firstLine="400" w:firstLineChars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SVM：</w:t>
      </w:r>
      <w:r>
        <w:rPr>
          <w:rFonts w:ascii="微软雅黑" w:hAnsi="微软雅黑" w:eastAsia="微软雅黑" w:cs="微软雅黑"/>
          <w:sz w:val="20"/>
          <w:szCs w:val="20"/>
        </w:rPr>
        <w:t>优点—泛化能力强，高维表现好，理论完备；缺点—调参复杂（C、gamma），大数据集训练慢。</w:t>
      </w:r>
    </w:p>
    <w:p w14:paraId="287135C5">
      <w:pPr>
        <w:spacing w:before="60" w:after="60" w:line="440" w:lineRule="auto"/>
        <w:ind w:firstLine="400" w:firstLineChars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决策树：</w:t>
      </w:r>
      <w:r>
        <w:rPr>
          <w:rFonts w:ascii="微软雅黑" w:hAnsi="微软雅黑" w:eastAsia="微软雅黑" w:cs="微软雅黑"/>
          <w:sz w:val="20"/>
          <w:szCs w:val="20"/>
        </w:rPr>
        <w:t>优点—可解释，无需特征归一化；缺点—极易过拟合，对数据扰动敏感。</w:t>
      </w:r>
    </w:p>
    <w:p w14:paraId="720B03B3">
      <w:pPr>
        <w:spacing w:before="60" w:after="60" w:line="440" w:lineRule="auto"/>
        <w:ind w:firstLine="400" w:firstLineChars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随机森林：</w:t>
      </w:r>
      <w:r>
        <w:rPr>
          <w:rFonts w:ascii="微软雅黑" w:hAnsi="微软雅黑" w:eastAsia="微软雅黑" w:cs="微软雅黑"/>
          <w:sz w:val="20"/>
          <w:szCs w:val="20"/>
        </w:rPr>
        <w:t>优点—抗过拟合，鲁棒性强，特征重要性可查；缺点—模型体积大，可解释性差于单棵树。</w:t>
      </w:r>
    </w:p>
    <w:p w14:paraId="02A4DC2D">
      <w:pPr>
        <w:spacing w:before="80"/>
      </w:pPr>
    </w:p>
    <w:p w14:paraId="0B252105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5.3 原始像素特征的局限</w:t>
      </w:r>
    </w:p>
    <w:p w14:paraId="100FCC1F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本次实验使用 8×8 低分辨率图像，原始像素效果尚可。但在真实高分辨率场景中，原始像素对平移、旋转、缩放、光照变化极为敏感，且相邻像素冗余度高。实际应用中通常先提取 HOG（方向梯度直方图）、LBP（局部二值模式）等具备一定不变性的手工特征，或直接使用卷积神经网络（CNN）自动学习空间特征表示。</w:t>
      </w:r>
    </w:p>
    <w:p w14:paraId="22B13E83">
      <w:pPr>
        <w:pStyle w:val="2"/>
        <w:spacing w:before="36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六、思考题</w:t>
      </w:r>
    </w:p>
    <w:p w14:paraId="37384612">
      <w:pPr>
        <w:spacing w:before="200" w:after="60"/>
      </w:pPr>
      <w:r>
        <w:rPr>
          <w:rFonts w:ascii="微软雅黑" w:hAnsi="微软雅黑" w:eastAsia="微软雅黑" w:cs="微软雅黑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Q1：为什么传统机器学习需要先把图像转换为特征向量？</w:t>
      </w:r>
    </w:p>
    <w:p w14:paraId="0968B05B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传统算法（KNN、SVM 等）的数学基础是向量空间运算（距离、内积、梯度），只能接受固定长度一维数值向量。图像本质是二维矩阵，无法直接输入，必须先展平或提取特征转为向量格式。</w:t>
      </w:r>
    </w:p>
    <w:p w14:paraId="1102DDA3">
      <w:pPr>
        <w:spacing w:before="20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Q2：KNN、SVM、决策树和随机森林的分类思想有什么不同？</w:t>
      </w:r>
      <w:bookmarkStart w:id="0" w:name="_GoBack"/>
      <w:bookmarkEnd w:id="0"/>
    </w:p>
    <w:p w14:paraId="5011A488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KNN 是"记忆型"：谁近就归哪类，无显式模型。SVM 是"间隔最大化"：在特征空间找最优超平面将各类推离。决策树是"贪心划分"：按信息增益逐步选特征进行 if-else 分裂。随机森林是"集成投票"：多棵随机差异化的树共同决策，降低单棵树的过拟合风险。</w:t>
      </w:r>
    </w:p>
    <w:p w14:paraId="3106C4AE">
      <w:pPr>
        <w:spacing w:before="20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Q3：为什么单棵决策树容易过拟合？</w:t>
      </w:r>
    </w:p>
    <w:p w14:paraId="03A8C54F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不加限制的决策树可为每个训练样本单独设置一条路径（完美记住训练数据），对训练噪声极其敏感。其决策边界是轴对齐折线，模型容量过大时几乎必然过拟合。通过限制 max_depth 或叶节点最小样本数可缓解，但又会牺牲表达能力。</w:t>
      </w:r>
    </w:p>
    <w:p w14:paraId="0FB3526A">
      <w:pPr>
        <w:spacing w:before="20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Q4：为什么随机森林通常比单棵决策树更稳定？</w:t>
      </w:r>
    </w:p>
    <w:p w14:paraId="4CBED9F8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随机森林用 Bootstrap 抽样生成多个不同训练子集，每棵树分裂时又随机选取部分特征，使各棵树相关性降低。投票集成后，个别树的过拟合误差相互抵消，整体偏差略增但方差显著下降——即偏差-方差权衡（bias-variance tradeoff）带来了更好的泛化性能。</w:t>
      </w:r>
    </w:p>
    <w:p w14:paraId="2C16B74B">
      <w:pPr>
        <w:spacing w:before="20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Q5：图像发生平移、旋转或缩放时，直接使用原始像素有什么问题？</w:t>
      </w:r>
    </w:p>
    <w:p w14:paraId="71F14DE1">
      <w:pPr>
        <w:spacing w:before="160" w:after="160" w:line="480" w:lineRule="auto"/>
        <w:ind w:firstLine="440"/>
        <w:jc w:val="both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平移一个像素会导致特征向量整体移位，与未平移样本的欧氏距离大幅增加，模型极易误判。旋转和缩放同理——像素的绝对位置变了但语义不变，原始像素无法捕捉"空间不变性"。解决方案是使用 HOG 等具有平移/旋转鲁棒性的手工特征，或使用卷积神经网络（卷积操作天然具有平移等变性）。</w:t>
      </w:r>
    </w:p>
    <w:sectPr>
      <w:footerReference r:id="rId3" w:type="default"/>
      <w:pgSz w:w="11906" w:h="16838"/>
      <w:pgMar w:top="1134" w:right="1134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8E47E">
    <w:pPr>
      <w:jc w:val="center"/>
    </w:pPr>
    <w:r>
      <w:rPr>
        <w:rFonts w:ascii="微软雅黑" w:hAnsi="微软雅黑" w:eastAsia="微软雅黑" w:cs="微软雅黑"/>
        <w:color w:val="7F7F7F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7F7F7F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7F7F7F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7F7F7F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469252"/>
    <w:multiLevelType w:val="singleLevel"/>
    <w:tmpl w:val="3146925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E62EBF"/>
    <w:rsid w:val="28EA36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2996</Words>
  <Characters>3516</Characters>
  <TotalTime>0</TotalTime>
  <ScaleCrop>false</ScaleCrop>
  <LinksUpToDate>false</LinksUpToDate>
  <CharactersWithSpaces>3689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2026-05-08T15:35:00Z</dcterms:created>
  <dc:creator>Un-named</dc:creator>
  <cp:lastModifiedBy>一路向北</cp:lastModifiedBy>
  <dcterms:modified xsi:type="dcterms:W3CDTF">2026-05-15T02:32:59Z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eyJoZGlkIjoiMmYzODJkOTg4ZWEyZGU0YWVmMjE3OTJiOTJmYzMzOTMiLCJ1c2VySWQiOiIxNTE0NTMwODk4In0=</vt:lpwstr>
  </property>
  <property fmtid="{D5CDD505-2E9C-101B-9397-08002B2CF9AE}" pid="3" name="KSOProductBuildVer">
    <vt:lpwstr>2052-12.1.0.26375</vt:lpwstr>
  </property>
  <property fmtid="{D5CDD505-2E9C-101B-9397-08002B2CF9AE}" pid="4" name="ICV">
    <vt:lpwstr>D75612E8C3BB497E9568324E6487B9B9_13</vt:lpwstr>
  </property>
</Properties>
</file>