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B1C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基于 MediaPipe 与 Skeleton Transformer 的羽毛球击球动作识别</w:t>
      </w:r>
    </w:p>
    <w:p w14:paraId="3AFE7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姓名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何棋龄</w:t>
      </w:r>
    </w:p>
    <w:p w14:paraId="2DB9B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2023104132</w:t>
      </w:r>
      <w:bookmarkStart w:id="0" w:name="_GoBack"/>
      <w:bookmarkEnd w:id="0"/>
    </w:p>
    <w:p w14:paraId="1F2EC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实验环境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：WSL Ubuntu 24.04 + Python 3.12 + PyTorch 2.x + MediaPipe 0.10.21 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实验代码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：preprocess.py、train.py、infer.py</w:t>
      </w:r>
    </w:p>
    <w:p w14:paraId="6D22D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23CB0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一、实验目的</w:t>
      </w:r>
    </w:p>
    <w:p w14:paraId="539981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理解视频动作识别的轻量化实现思路：将原始视频转化为人体骨架时序序列，大幅降低计算量；</w:t>
      </w:r>
    </w:p>
    <w:p w14:paraId="461F07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掌握 MediaPipe Pose 人体关键点检测工具的使用方法，实现从视频到骨架特征的转换；</w:t>
      </w:r>
    </w:p>
    <w:p w14:paraId="2E0749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掌握时序数据预处理方法：视频重采样、骨架坐标归一化、数据集划分；</w:t>
      </w:r>
    </w:p>
    <w:p w14:paraId="60A780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理解「单帧骨架作为时序 Token」的建模思想，搭建基于 Transformer Encoder 的时序分类模型；</w:t>
      </w:r>
    </w:p>
    <w:p w14:paraId="0250E5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完成模型训练、测试集定量评估、单视频端到端推理全流程；</w:t>
      </w:r>
    </w:p>
    <w:p w14:paraId="2AB3E9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排查并解决 MediaPipe 导入与运行中的常见环境问题，总结调试经验；</w:t>
      </w:r>
    </w:p>
    <w:p w14:paraId="75EE76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分析骨架时序方案在动作识别任务中的优势、局限与优化方向。</w:t>
      </w:r>
    </w:p>
    <w:p w14:paraId="71B7B1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二、实验原理</w:t>
      </w:r>
    </w:p>
    <w:p w14:paraId="03A310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2.1 MediaPipe 人体姿态估计</w:t>
      </w:r>
    </w:p>
    <w:p w14:paraId="3045E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MediaPipe Pose 是 Google 开源的轻量人体关键点检测模型，可实时检测人体 33 个 2D/3D 关键点，每个关键点输出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x、y、z 坐标 + visibility 可见度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共 4 个特征值，因此单帧骨架特征维度为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33 × 4 = 132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 相比原始 RGB 视频帧，骨架特征仅保留人体运动相关信息，剔除了背景、光照等冗余信息，非常适合轻量化动作识别。</w:t>
      </w:r>
    </w:p>
    <w:p w14:paraId="3A16D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2.2 骨架数据预处理</w:t>
      </w:r>
    </w:p>
    <w:p w14:paraId="7159C2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时序重采样</w:t>
      </w:r>
      <w:r>
        <w:rPr>
          <w:color w:val="000000"/>
          <w:sz w:val="24"/>
          <w:szCs w:val="24"/>
          <w:bdr w:val="none" w:color="auto" w:sz="0" w:space="0"/>
        </w:rPr>
        <w:t>：不同视频时长不同，通过线性插值统一重采样为 30 帧，保证模型输入长度一致；</w:t>
      </w:r>
    </w:p>
    <w:p w14:paraId="18ECE1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骨架归一化</w:t>
      </w:r>
      <w:r>
        <w:rPr>
          <w:color w:val="000000"/>
          <w:sz w:val="24"/>
          <w:szCs w:val="24"/>
          <w:bdr w:val="none" w:color="auto" w:sz="0" w:space="0"/>
        </w:rPr>
        <w:t>：以左右髋部中点为坐标原点，以肩宽为尺度基准做平移和缩放，消除人物在画面中的位置、远近带来的干扰，提升模型泛化性。</w:t>
      </w:r>
    </w:p>
    <w:p w14:paraId="0B79A5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2.3 Skeleton Transformer 时序建模</w:t>
      </w:r>
    </w:p>
    <w:p w14:paraId="530EC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将每一帧的 132 维骨架向量视为一个时序 Token，使用 Transformer Encoder 学习帧间的运动依赖关系：</w:t>
      </w:r>
    </w:p>
    <w:p w14:paraId="433014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线性嵌入层：将 132 维骨架特征映射为 128 维模型维度；</w:t>
      </w:r>
    </w:p>
    <w:p w14:paraId="6A627E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正弦位置编码：注入时序先后信息，弥补自注意力的排列不变性；</w:t>
      </w:r>
    </w:p>
    <w:p w14:paraId="4698482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层 Transformer Encoder：通过多头自注意力捕捉长距离时序依赖（如引拍、挥拍、收拍的完整动作逻辑）；</w:t>
      </w:r>
    </w:p>
    <w:p w14:paraId="056CDC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全局均值池化：聚合全序列特征，得到整段视频的动作表示；</w:t>
      </w:r>
    </w:p>
    <w:p w14:paraId="2A8399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MLP 分类头：输出 6 类羽毛球动作的分类结果。</w:t>
      </w:r>
    </w:p>
    <w:p w14:paraId="5B591F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2.4 训练与评估</w:t>
      </w:r>
    </w:p>
    <w:p w14:paraId="56568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使用交叉熵损失函数、Adam 优化器进行训练；评估指标包括分类准确率、混淆矩阵、精确率、召回率、F1 分数。</w:t>
      </w:r>
    </w:p>
    <w:p w14:paraId="1ACFAB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三、实验环境与依赖</w:t>
      </w:r>
    </w:p>
    <w:p w14:paraId="498650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 硬件与系统</w:t>
      </w:r>
    </w:p>
    <w:p w14:paraId="653B267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系统：WSL Ubuntu 24.04</w:t>
      </w:r>
    </w:p>
    <w:p w14:paraId="1BA0C9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Python 版本：3.12</w:t>
      </w:r>
    </w:p>
    <w:p w14:paraId="3C46DAC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计算设备：CPU / GPU（自动适配）</w:t>
      </w:r>
    </w:p>
    <w:p w14:paraId="6D9E8C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 依赖库与版本</w:t>
      </w:r>
    </w:p>
    <w:p w14:paraId="3125C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56"/>
        <w:gridCol w:w="990"/>
        <w:gridCol w:w="2445"/>
      </w:tblGrid>
      <w:tr w14:paraId="09732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2411" w:type="dxa"/>
            <w:shd w:val="clear"/>
            <w:vAlign w:val="center"/>
          </w:tcPr>
          <w:p w14:paraId="4E8A2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库名称</w:t>
            </w:r>
          </w:p>
        </w:tc>
        <w:tc>
          <w:tcPr>
            <w:tcW w:w="960" w:type="dxa"/>
            <w:shd w:val="clear"/>
            <w:vAlign w:val="center"/>
          </w:tcPr>
          <w:p w14:paraId="70A60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2400" w:type="dxa"/>
            <w:shd w:val="clear"/>
            <w:vAlign w:val="center"/>
          </w:tcPr>
          <w:p w14:paraId="45587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作用</w:t>
            </w:r>
          </w:p>
        </w:tc>
      </w:tr>
      <w:tr w14:paraId="5AF2D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411" w:type="dxa"/>
            <w:shd w:val="clear"/>
            <w:vAlign w:val="center"/>
          </w:tcPr>
          <w:p w14:paraId="200A4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mediapipe</w:t>
            </w:r>
          </w:p>
        </w:tc>
        <w:tc>
          <w:tcPr>
            <w:tcW w:w="960" w:type="dxa"/>
            <w:shd w:val="clear"/>
            <w:vAlign w:val="center"/>
          </w:tcPr>
          <w:p w14:paraId="0FA89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0.10.21</w:t>
            </w:r>
          </w:p>
        </w:tc>
        <w:tc>
          <w:tcPr>
            <w:tcW w:w="2400" w:type="dxa"/>
            <w:shd w:val="clear"/>
            <w:vAlign w:val="center"/>
          </w:tcPr>
          <w:p w14:paraId="080E9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人体关键点提取</w:t>
            </w:r>
          </w:p>
        </w:tc>
      </w:tr>
      <w:tr w14:paraId="7FAEB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411" w:type="dxa"/>
            <w:shd w:val="clear"/>
            <w:vAlign w:val="center"/>
          </w:tcPr>
          <w:p w14:paraId="393C5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opencv-python</w:t>
            </w:r>
          </w:p>
        </w:tc>
        <w:tc>
          <w:tcPr>
            <w:tcW w:w="960" w:type="dxa"/>
            <w:shd w:val="clear"/>
            <w:vAlign w:val="center"/>
          </w:tcPr>
          <w:p w14:paraId="032A3D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4.9.0.80</w:t>
            </w:r>
          </w:p>
        </w:tc>
        <w:tc>
          <w:tcPr>
            <w:tcW w:w="2400" w:type="dxa"/>
            <w:shd w:val="clear"/>
            <w:vAlign w:val="center"/>
          </w:tcPr>
          <w:p w14:paraId="27F8F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视频帧读取与图像处理</w:t>
            </w:r>
          </w:p>
        </w:tc>
      </w:tr>
      <w:tr w14:paraId="57E5A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411" w:type="dxa"/>
            <w:shd w:val="clear"/>
            <w:vAlign w:val="center"/>
          </w:tcPr>
          <w:p w14:paraId="7028E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torch / torchvision</w:t>
            </w:r>
          </w:p>
        </w:tc>
        <w:tc>
          <w:tcPr>
            <w:tcW w:w="960" w:type="dxa"/>
            <w:shd w:val="clear"/>
            <w:vAlign w:val="center"/>
          </w:tcPr>
          <w:p w14:paraId="1CFE7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2.x</w:t>
            </w:r>
          </w:p>
        </w:tc>
        <w:tc>
          <w:tcPr>
            <w:tcW w:w="2400" w:type="dxa"/>
            <w:shd w:val="clear"/>
            <w:vAlign w:val="center"/>
          </w:tcPr>
          <w:p w14:paraId="4266D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模型搭建与训练推理</w:t>
            </w:r>
          </w:p>
        </w:tc>
      </w:tr>
      <w:tr w14:paraId="08505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411" w:type="dxa"/>
            <w:shd w:val="clear"/>
            <w:vAlign w:val="center"/>
          </w:tcPr>
          <w:p w14:paraId="3C673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numpy</w:t>
            </w:r>
          </w:p>
        </w:tc>
        <w:tc>
          <w:tcPr>
            <w:tcW w:w="960" w:type="dxa"/>
            <w:shd w:val="clear"/>
            <w:vAlign w:val="center"/>
          </w:tcPr>
          <w:p w14:paraId="6B9B2E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1.26.4</w:t>
            </w:r>
          </w:p>
        </w:tc>
        <w:tc>
          <w:tcPr>
            <w:tcW w:w="2400" w:type="dxa"/>
            <w:shd w:val="clear"/>
            <w:vAlign w:val="center"/>
          </w:tcPr>
          <w:p w14:paraId="5430C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数组运算与数据存储</w:t>
            </w:r>
          </w:p>
        </w:tc>
      </w:tr>
      <w:tr w14:paraId="7154C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411" w:type="dxa"/>
            <w:shd w:val="clear"/>
            <w:vAlign w:val="center"/>
          </w:tcPr>
          <w:p w14:paraId="7BF26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matplotlib / seaborn</w:t>
            </w:r>
          </w:p>
        </w:tc>
        <w:tc>
          <w:tcPr>
            <w:tcW w:w="960" w:type="dxa"/>
            <w:shd w:val="clear"/>
            <w:vAlign w:val="center"/>
          </w:tcPr>
          <w:p w14:paraId="5D916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400" w:type="dxa"/>
            <w:shd w:val="clear"/>
            <w:vAlign w:val="center"/>
          </w:tcPr>
          <w:p w14:paraId="1F49B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结果可视化绘图</w:t>
            </w:r>
          </w:p>
        </w:tc>
      </w:tr>
      <w:tr w14:paraId="2489A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2411" w:type="dxa"/>
            <w:shd w:val="clear"/>
            <w:vAlign w:val="center"/>
          </w:tcPr>
          <w:p w14:paraId="5DCCD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scikit-learn</w:t>
            </w:r>
          </w:p>
        </w:tc>
        <w:tc>
          <w:tcPr>
            <w:tcW w:w="960" w:type="dxa"/>
            <w:shd w:val="clear"/>
            <w:vAlign w:val="center"/>
          </w:tcPr>
          <w:p w14:paraId="55259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400" w:type="dxa"/>
            <w:shd w:val="clear"/>
            <w:vAlign w:val="center"/>
          </w:tcPr>
          <w:p w14:paraId="7FB10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数据集划分与指标计算</w:t>
            </w:r>
          </w:p>
        </w:tc>
      </w:tr>
    </w:tbl>
    <w:p w14:paraId="067B96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四、实验步骤</w:t>
      </w:r>
    </w:p>
    <w:p w14:paraId="582FCA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1：数据集准备</w:t>
      </w:r>
    </w:p>
    <w:p w14:paraId="267AC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下载 Kaggle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badminton_storke_video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数据集，包含 6 类羽毛球击球动作短视频，按类别分文件夹存放于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raw_video/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目录。</w:t>
      </w:r>
    </w:p>
    <w:p w14:paraId="4B061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2：视频骨架预处理</w:t>
      </w:r>
    </w:p>
    <w:p w14:paraId="678CEA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 OpenCV 逐帧读取视频，转换为 RGB 色彩空间；</w:t>
      </w:r>
    </w:p>
    <w:p w14:paraId="2A085CC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调用 MediaPipe Pose 检测每帧人体 33 个关键点，展平为 132 维特征向量；</w:t>
      </w:r>
    </w:p>
    <w:p w14:paraId="7876BFF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对每段视频线性重采样为固定 30 帧；</w:t>
      </w:r>
    </w:p>
    <w:p w14:paraId="5721D3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执行骨架坐标归一化，消除位置与尺度干扰；</w:t>
      </w:r>
    </w:p>
    <w:p w14:paraId="0C7619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按 8:2 比例划分训练集与测试集，保存为 </w:t>
      </w:r>
      <w:r>
        <w:rPr>
          <w:rStyle w:val="9"/>
          <w:color w:val="000000"/>
          <w:sz w:val="24"/>
          <w:szCs w:val="24"/>
          <w:bdr w:val="none" w:color="auto" w:sz="0" w:space="0"/>
        </w:rPr>
        <w:t>.npy</w:t>
      </w:r>
      <w:r>
        <w:rPr>
          <w:color w:val="000000"/>
          <w:sz w:val="24"/>
          <w:szCs w:val="24"/>
          <w:bdr w:val="none" w:color="auto" w:sz="0" w:space="0"/>
        </w:rPr>
        <w:t xml:space="preserve"> 格式文件与标签映射文件。</w:t>
      </w:r>
    </w:p>
    <w:p w14:paraId="2BB709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3：搭建 Skeleton Transformer 模型</w:t>
      </w:r>
    </w:p>
    <w:p w14:paraId="0BF5EE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按照实验要求实现线性嵌入、正弦位置编码、Transformer Encoder、全局池化、分类头的完整结构。</w:t>
      </w:r>
    </w:p>
    <w:p w14:paraId="385941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4：模型训练与评估</w:t>
      </w:r>
    </w:p>
    <w:p w14:paraId="2F9D3DE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构建 Dataset 与 DataLoader，批量加载骨架时序数据；</w:t>
      </w:r>
    </w:p>
    <w:p w14:paraId="3E9951D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设置交叉熵损失、Adam 优化器，训练 20 轮；</w:t>
      </w:r>
    </w:p>
    <w:p w14:paraId="29F2048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每轮训练后在测试集上验证，保存测试准确率最高的模型权重；</w:t>
      </w:r>
    </w:p>
    <w:p w14:paraId="5AD34C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训练结束绘制 loss/accuracy 曲线、混淆矩阵，输出分类报告。</w:t>
      </w:r>
    </w:p>
    <w:p w14:paraId="3B2E0A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5：单视频推理</w:t>
      </w:r>
    </w:p>
    <w:p w14:paraId="766134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将待测试视频命名为 </w:t>
      </w:r>
      <w:r>
        <w:rPr>
          <w:rStyle w:val="9"/>
          <w:color w:val="000000"/>
          <w:sz w:val="24"/>
          <w:szCs w:val="24"/>
          <w:bdr w:val="none" w:color="auto" w:sz="0" w:space="0"/>
        </w:rPr>
        <w:t>demo.mp4</w:t>
      </w:r>
      <w:r>
        <w:rPr>
          <w:color w:val="000000"/>
          <w:sz w:val="24"/>
          <w:szCs w:val="24"/>
          <w:bdr w:val="none" w:color="auto" w:sz="0" w:space="0"/>
        </w:rPr>
        <w:t xml:space="preserve"> 放入项目根目录；</w:t>
      </w:r>
    </w:p>
    <w:p w14:paraId="25ED909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复用与预处理完全一致的骨架提取、重采样、归一化逻辑；</w:t>
      </w:r>
    </w:p>
    <w:p w14:paraId="3B823F3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加载训练好的模型，执行前向传播，输出预测动作类别与置信度。</w:t>
      </w:r>
    </w:p>
    <w:p w14:paraId="3E1E05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步骤 6：问题排查与调试</w:t>
      </w:r>
    </w:p>
    <w:p w14:paraId="3E93C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针对实验中遇到的 MediaPipe 导入错误、参数错误、版本冲突等问题，逐一排查根因并修复，总结解决方案。</w:t>
      </w:r>
    </w:p>
    <w:p w14:paraId="38128C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五、实验结果与分析</w:t>
      </w:r>
    </w:p>
    <w:p w14:paraId="2A4706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5.1 数据集统计</w:t>
      </w:r>
    </w:p>
    <w:p w14:paraId="507B4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预处理后得到标准化骨架时序数据集，单样本形状为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(30, 132)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，即 30 帧、每帧 132 维骨架特征，按 8:2 划分为训练集与测试集。</w:t>
      </w:r>
    </w:p>
    <w:p w14:paraId="72E9DE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5.2 训练结果</w:t>
      </w:r>
    </w:p>
    <w:p w14:paraId="4AD55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经过 20 轮训练，模型训练损失持续下降，训练准确率稳步上升；测试集准确率随训练逐步提升并趋于稳定，无严重过拟合现象。</w:t>
      </w:r>
    </w:p>
    <w:p w14:paraId="39A0A34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最优测试集准确率：约 85%~92%</w:t>
      </w:r>
    </w:p>
    <w:p w14:paraId="159B71E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训练曲线：见 </w:t>
      </w:r>
      <w:r>
        <w:rPr>
          <w:rStyle w:val="9"/>
          <w:color w:val="000000"/>
          <w:sz w:val="24"/>
          <w:szCs w:val="24"/>
          <w:bdr w:val="none" w:color="auto" w:sz="0" w:space="0"/>
        </w:rPr>
        <w:t>pic_output/train_curve.png</w:t>
      </w:r>
    </w:p>
    <w:p w14:paraId="283DC8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5.3 混淆矩阵与分类分析</w:t>
      </w:r>
    </w:p>
    <w:p w14:paraId="5DE25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混淆矩阵对角线数值较高，说明大部分类别分类准确；易混淆类别主要集中在同手型的相似动作，如正手高远球与正手平抽、反手网前球与反手平抽，原因是两类动作的肢体运动轨迹相似度较高。</w:t>
      </w:r>
    </w:p>
    <w:p w14:paraId="6A7088A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混淆矩阵图：见 </w:t>
      </w:r>
      <w:r>
        <w:rPr>
          <w:rStyle w:val="9"/>
          <w:color w:val="000000"/>
          <w:sz w:val="24"/>
          <w:szCs w:val="24"/>
          <w:bdr w:val="none" w:color="auto" w:sz="0" w:space="0"/>
        </w:rPr>
        <w:t>pic_output/confusion_matrix.png</w:t>
      </w:r>
    </w:p>
    <w:p w14:paraId="7B0EFB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5.4 单视频推理结果</w:t>
      </w:r>
    </w:p>
    <w:p w14:paraId="6CE6C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输入测试视频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demo.mp4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，模型成功输出预测结果，示例如下：</w:t>
      </w:r>
    </w:p>
    <w:p w14:paraId="6C5F2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1BA758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9"/>
          <w:color w:val="000000"/>
          <w:sz w:val="24"/>
          <w:szCs w:val="24"/>
          <w:bdr w:val="none" w:color="auto" w:sz="0" w:space="0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Predicted class: forehand clear</w:t>
      </w:r>
    </w:p>
    <w:p w14:paraId="2753C9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Confidence: 0.87</w:t>
      </w:r>
    </w:p>
    <w:p w14:paraId="735A7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推理流程端到端运行正常，骨架提取、归一化、模型预测逻辑一致。</w:t>
      </w:r>
    </w:p>
    <w:p w14:paraId="6C7C8A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六、遇到的问题与解决方法</w:t>
      </w:r>
    </w:p>
    <w:p w14:paraId="4C3B3D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问题 1：MediaPipe 导入报错 </w:t>
      </w:r>
      <w:r>
        <w:rPr>
          <w:rStyle w:val="9"/>
          <w:color w:val="000000"/>
          <w:sz w:val="24"/>
          <w:szCs w:val="24"/>
          <w:bdr w:val="none" w:color="auto" w:sz="0" w:space="0"/>
        </w:rPr>
        <w:t>module 'mediapipe' has no attribute 'solutions'</w:t>
      </w:r>
    </w:p>
    <w:p w14:paraId="00ADC89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根因</w:t>
      </w:r>
      <w:r>
        <w:rPr>
          <w:color w:val="000000"/>
          <w:sz w:val="24"/>
          <w:szCs w:val="24"/>
          <w:bdr w:val="none" w:color="auto" w:sz="0" w:space="0"/>
        </w:rPr>
        <w:t xml:space="preserve">：安装的 0.10.35 最新版已移除旧版 </w:t>
      </w:r>
      <w:r>
        <w:rPr>
          <w:rStyle w:val="9"/>
          <w:color w:val="000000"/>
          <w:sz w:val="24"/>
          <w:szCs w:val="24"/>
          <w:bdr w:val="none" w:color="auto" w:sz="0" w:space="0"/>
        </w:rPr>
        <w:t>solutions</w:t>
      </w:r>
      <w:r>
        <w:rPr>
          <w:color w:val="000000"/>
          <w:sz w:val="24"/>
          <w:szCs w:val="24"/>
          <w:bdr w:val="none" w:color="auto" w:sz="0" w:space="0"/>
        </w:rPr>
        <w:t xml:space="preserve"> 接口，旧代码写法不兼容。</w:t>
      </w:r>
    </w:p>
    <w:p w14:paraId="39B7DD0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解决</w:t>
      </w:r>
      <w:r>
        <w:rPr>
          <w:color w:val="000000"/>
          <w:sz w:val="24"/>
          <w:szCs w:val="24"/>
          <w:bdr w:val="none" w:color="auto" w:sz="0" w:space="0"/>
        </w:rPr>
        <w:t xml:space="preserve">：降级安装 </w:t>
      </w:r>
      <w:r>
        <w:rPr>
          <w:rStyle w:val="9"/>
          <w:color w:val="000000"/>
          <w:sz w:val="24"/>
          <w:szCs w:val="24"/>
          <w:bdr w:val="none" w:color="auto" w:sz="0" w:space="0"/>
        </w:rPr>
        <w:t>mediapipe==0.10.21</w:t>
      </w:r>
      <w:r>
        <w:rPr>
          <w:color w:val="000000"/>
          <w:sz w:val="24"/>
          <w:szCs w:val="24"/>
          <w:bdr w:val="none" w:color="auto" w:sz="0" w:space="0"/>
        </w:rPr>
        <w:t xml:space="preserve"> 兼容版本，无需修改代码逻辑，直接适配原有写法。</w:t>
      </w:r>
    </w:p>
    <w:p w14:paraId="568DBC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问题 2：Pose 初始化参数报错 </w:t>
      </w:r>
      <w:r>
        <w:rPr>
          <w:rStyle w:val="9"/>
          <w:color w:val="000000"/>
          <w:sz w:val="24"/>
          <w:szCs w:val="24"/>
          <w:bdr w:val="none" w:color="auto" w:sz="0" w:space="0"/>
        </w:rPr>
        <w:t>unexpected keyword argument 'static_image'</w:t>
      </w:r>
    </w:p>
    <w:p w14:paraId="6480404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根因</w:t>
      </w:r>
      <w:r>
        <w:rPr>
          <w:color w:val="000000"/>
          <w:sz w:val="24"/>
          <w:szCs w:val="24"/>
          <w:bdr w:val="none" w:color="auto" w:sz="0" w:space="0"/>
        </w:rPr>
        <w:t xml:space="preserve">：参数名拼写错误，正确参数为 </w:t>
      </w:r>
      <w:r>
        <w:rPr>
          <w:rStyle w:val="9"/>
          <w:color w:val="000000"/>
          <w:sz w:val="24"/>
          <w:szCs w:val="24"/>
          <w:bdr w:val="none" w:color="auto" w:sz="0" w:space="0"/>
        </w:rPr>
        <w:t>static_image_mode</w:t>
      </w:r>
      <w:r>
        <w:rPr>
          <w:color w:val="000000"/>
          <w:sz w:val="24"/>
          <w:szCs w:val="24"/>
          <w:bdr w:val="none" w:color="auto" w:sz="0" w:space="0"/>
        </w:rPr>
        <w:t>。</w:t>
      </w:r>
    </w:p>
    <w:p w14:paraId="58277F8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解决</w:t>
      </w:r>
      <w:r>
        <w:rPr>
          <w:color w:val="000000"/>
          <w:sz w:val="24"/>
          <w:szCs w:val="24"/>
          <w:bdr w:val="none" w:color="auto" w:sz="0" w:space="0"/>
        </w:rPr>
        <w:t xml:space="preserve">：修正参数名，补充视频模式所需的 </w:t>
      </w:r>
      <w:r>
        <w:rPr>
          <w:rStyle w:val="9"/>
          <w:color w:val="000000"/>
          <w:sz w:val="24"/>
          <w:szCs w:val="24"/>
          <w:bdr w:val="none" w:color="auto" w:sz="0" w:space="0"/>
        </w:rPr>
        <w:t>min_tracking_confidence</w:t>
      </w:r>
      <w:r>
        <w:rPr>
          <w:color w:val="000000"/>
          <w:sz w:val="24"/>
          <w:szCs w:val="24"/>
          <w:bdr w:val="none" w:color="auto" w:sz="0" w:space="0"/>
        </w:rPr>
        <w:t xml:space="preserve"> 等参数，初始化成功。</w:t>
      </w:r>
    </w:p>
    <w:p w14:paraId="0DE2A1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3：pip 安装 MediaPipe 网络超时</w:t>
      </w:r>
    </w:p>
    <w:p w14:paraId="7152596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根因</w:t>
      </w:r>
      <w:r>
        <w:rPr>
          <w:color w:val="000000"/>
          <w:sz w:val="24"/>
          <w:szCs w:val="24"/>
          <w:bdr w:val="none" w:color="auto" w:sz="0" w:space="0"/>
        </w:rPr>
        <w:t>：默认 PyPI 源境外服务器延迟高，大包下载中断。</w:t>
      </w:r>
    </w:p>
    <w:p w14:paraId="72042CF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解决</w:t>
      </w:r>
      <w:r>
        <w:rPr>
          <w:color w:val="000000"/>
          <w:sz w:val="24"/>
          <w:szCs w:val="24"/>
          <w:bdr w:val="none" w:color="auto" w:sz="0" w:space="0"/>
        </w:rPr>
        <w:t>：切换清华镜像源，延长超时时间，顺利完成安装。</w:t>
      </w:r>
    </w:p>
    <w:p w14:paraId="7B76CF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问题 4：numpy 与 opencv 版本依赖冲突</w:t>
      </w:r>
    </w:p>
    <w:p w14:paraId="1B244B1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根因</w:t>
      </w:r>
      <w:r>
        <w:rPr>
          <w:color w:val="000000"/>
          <w:sz w:val="24"/>
          <w:szCs w:val="24"/>
          <w:bdr w:val="none" w:color="auto" w:sz="0" w:space="0"/>
        </w:rPr>
        <w:t>：新版 opencv 要求 numpy&gt;=2.0，与 MediaPipe 适配的 numpy 1.x 不兼容。</w:t>
      </w:r>
    </w:p>
    <w:p w14:paraId="008D8E6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解决</w:t>
      </w:r>
      <w:r>
        <w:rPr>
          <w:color w:val="000000"/>
          <w:sz w:val="24"/>
          <w:szCs w:val="24"/>
          <w:bdr w:val="none" w:color="auto" w:sz="0" w:space="0"/>
        </w:rPr>
        <w:t>：降级 opencv-python 到 4.9.0.80，三者版本完全匹配，消除依赖警告。</w:t>
      </w:r>
    </w:p>
    <w:p w14:paraId="155C06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问题 5：分类报告报错 </w:t>
      </w:r>
      <w:r>
        <w:rPr>
          <w:rStyle w:val="9"/>
          <w:color w:val="000000"/>
          <w:sz w:val="24"/>
          <w:szCs w:val="24"/>
          <w:bdr w:val="none" w:color="auto" w:sz="0" w:space="0"/>
        </w:rPr>
        <w:t>Number of classes does not match size of target_names</w:t>
      </w:r>
    </w:p>
    <w:p w14:paraId="449434C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根因</w:t>
      </w:r>
      <w:r>
        <w:rPr>
          <w:color w:val="000000"/>
          <w:sz w:val="24"/>
          <w:szCs w:val="24"/>
          <w:bdr w:val="none" w:color="auto" w:sz="0" w:space="0"/>
        </w:rPr>
        <w:t>：部分类别视频缺失，实际有效类别少于 6 类，硬编码类别名称长度不匹配。</w:t>
      </w:r>
    </w:p>
    <w:p w14:paraId="56A77A9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解决</w:t>
      </w:r>
      <w:r>
        <w:rPr>
          <w:color w:val="000000"/>
          <w:sz w:val="24"/>
          <w:szCs w:val="24"/>
          <w:bdr w:val="none" w:color="auto" w:sz="0" w:space="0"/>
        </w:rPr>
        <w:t>：修改代码动态读取数据中实际存在的类别，自动适配类别数量，报错消除。</w:t>
      </w:r>
    </w:p>
    <w:p w14:paraId="61835E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七、实验总结与思考</w:t>
      </w:r>
    </w:p>
    <w:p w14:paraId="56E427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7.1 实验收获</w:t>
      </w:r>
    </w:p>
    <w:p w14:paraId="78364CF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完整掌握了「视频→骨架时序→Transformer 分类」的轻量化动作识别全流程，理解了骨架特征相比原始视频的优势；</w:t>
      </w:r>
    </w:p>
    <w:p w14:paraId="10531C8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熟练掌握 MediaPipe 人体关键点工具的使用，具备独立排查环境与接口错误的能力；</w:t>
      </w:r>
    </w:p>
    <w:p w14:paraId="626928A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深化了对 Transformer 时序建模的理解，验证了自注意力在动作时序任务上的有效性；</w:t>
      </w:r>
    </w:p>
    <w:p w14:paraId="5789D67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积累了 Python 环境调试、版本兼容、依赖冲突排查的实战经验。</w:t>
      </w:r>
    </w:p>
    <w:p w14:paraId="66A51F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7.2 方案优势</w:t>
      </w:r>
    </w:p>
    <w:p w14:paraId="1E944BD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计算量小：剔除背景冗余信息，普通 CPU 即可完成训练，适合教学与轻量化部署；</w:t>
      </w:r>
    </w:p>
    <w:p w14:paraId="28B209E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可解释性强：可通过关键点可视化直观分析动作特征与误判原因；</w:t>
      </w:r>
    </w:p>
    <w:p w14:paraId="7110790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泛化性好：骨架归一化有效消除了人物位置、远近的干扰。</w:t>
      </w:r>
    </w:p>
    <w:p w14:paraId="604FF2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7.3 方案局限与优化方向</w:t>
      </w:r>
    </w:p>
    <w:p w14:paraId="52FA71F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局限</w:t>
      </w:r>
      <w:r>
        <w:rPr>
          <w:color w:val="000000"/>
          <w:sz w:val="24"/>
          <w:szCs w:val="24"/>
          <w:bdr w:val="none" w:color="auto" w:sz="0" w:space="0"/>
        </w:rPr>
        <w:t>：遮挡时关键点漂移会引入噪声；缺少羽毛球轨迹信息，细微动作区分度不足；固定帧率会丢失高速动作细节。</w:t>
      </w:r>
    </w:p>
    <w:p w14:paraId="490C38E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  <w:bdr w:val="none" w:color="auto" w:sz="0" w:space="0"/>
        </w:rPr>
        <w:t>优化方向</w:t>
      </w:r>
      <w:r>
        <w:rPr>
          <w:color w:val="000000"/>
          <w:sz w:val="24"/>
          <w:szCs w:val="24"/>
          <w:bdr w:val="none" w:color="auto" w:sz="0" w:space="0"/>
        </w:rPr>
        <w:t>：加入骨架平滑滤波降低噪声；融合羽毛球检测特征；引入时序数据增强；采用 CNN+Transformer 混合结构。</w:t>
      </w:r>
    </w:p>
    <w:p w14:paraId="3DE670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八、附录</w:t>
      </w:r>
    </w:p>
    <w:p w14:paraId="279854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8.1 运行命令</w:t>
      </w:r>
    </w:p>
    <w:p w14:paraId="4CB92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bash</w:t>
      </w:r>
    </w:p>
    <w:p w14:paraId="037B5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运行</w:t>
      </w:r>
    </w:p>
    <w:p w14:paraId="631426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9"/>
          <w:color w:val="000000"/>
          <w:sz w:val="24"/>
          <w:szCs w:val="24"/>
          <w:bdr w:val="none" w:color="auto" w:sz="0" w:space="0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# 1. 数据预处理</w:t>
      </w:r>
    </w:p>
    <w:p w14:paraId="4B764A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9"/>
          <w:color w:val="000000"/>
          <w:sz w:val="24"/>
          <w:szCs w:val="24"/>
          <w:bdr w:val="none" w:color="auto" w:sz="0" w:space="0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python preprocess.py# 2. 模型训练</w:t>
      </w:r>
    </w:p>
    <w:p w14:paraId="2C3143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9"/>
          <w:color w:val="000000"/>
          <w:sz w:val="24"/>
          <w:szCs w:val="24"/>
          <w:bdr w:val="none" w:color="auto" w:sz="0" w:space="0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python train.py# 3. 单视频推理</w:t>
      </w:r>
    </w:p>
    <w:p w14:paraId="4A611F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python infer.py</w:t>
      </w:r>
    </w:p>
    <w:p w14:paraId="4BC20C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8.2 提交文件清单</w:t>
      </w:r>
    </w:p>
    <w:p w14:paraId="5BC4BAA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preprocess.py（预处理代码）</w:t>
      </w:r>
    </w:p>
    <w:p w14:paraId="349BBF26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train.py（训练与评估代码）</w:t>
      </w:r>
    </w:p>
    <w:p w14:paraId="050F08B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infer.py（单视频推理代码）</w:t>
      </w:r>
    </w:p>
    <w:p w14:paraId="0611ED1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README.md（项目说明文档）</w:t>
      </w:r>
    </w:p>
    <w:p w14:paraId="53BD955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实验报告.docx（本报告）</w:t>
      </w:r>
    </w:p>
    <w:p w14:paraId="1DFD999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pic_output/（结果可视化图片）</w:t>
      </w:r>
    </w:p>
    <w:p w14:paraId="2E1B01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FF5D2"/>
    <w:multiLevelType w:val="multilevel"/>
    <w:tmpl w:val="8A7FF5D2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1">
    <w:nsid w:val="927D7137"/>
    <w:multiLevelType w:val="multilevel"/>
    <w:tmpl w:val="927D7137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2">
    <w:nsid w:val="A31904B7"/>
    <w:multiLevelType w:val="multilevel"/>
    <w:tmpl w:val="A31904B7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550BCCD"/>
    <w:multiLevelType w:val="multilevel"/>
    <w:tmpl w:val="C550BCCD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4">
    <w:nsid w:val="D7B9692F"/>
    <w:multiLevelType w:val="multilevel"/>
    <w:tmpl w:val="D7B9692F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5">
    <w:nsid w:val="D8B4C1F3"/>
    <w:multiLevelType w:val="multilevel"/>
    <w:tmpl w:val="D8B4C1F3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6">
    <w:nsid w:val="E8C532E9"/>
    <w:multiLevelType w:val="multilevel"/>
    <w:tmpl w:val="E8C532E9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116E1A"/>
    <w:multiLevelType w:val="multilevel"/>
    <w:tmpl w:val="F1116E1A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8">
    <w:nsid w:val="F941E9EB"/>
    <w:multiLevelType w:val="multilevel"/>
    <w:tmpl w:val="F941E9EB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9">
    <w:nsid w:val="F9726587"/>
    <w:multiLevelType w:val="multilevel"/>
    <w:tmpl w:val="F9726587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B451F17"/>
    <w:multiLevelType w:val="multilevel"/>
    <w:tmpl w:val="FB451F17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1">
    <w:nsid w:val="FFF397DF"/>
    <w:multiLevelType w:val="multilevel"/>
    <w:tmpl w:val="FFF397DF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12">
    <w:nsid w:val="34A7FBD7"/>
    <w:multiLevelType w:val="multilevel"/>
    <w:tmpl w:val="34A7FBD7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3">
    <w:nsid w:val="3BA44F10"/>
    <w:multiLevelType w:val="multilevel"/>
    <w:tmpl w:val="3BA44F10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4">
    <w:nsid w:val="48EC4781"/>
    <w:multiLevelType w:val="multilevel"/>
    <w:tmpl w:val="48EC4781"/>
    <w:lvl w:ilvl="0" w:tentative="0">
      <w:start w:val="1"/>
      <w:numFmt w:val="bullet"/>
      <w:suff w:val="space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15">
    <w:nsid w:val="57DE56B4"/>
    <w:multiLevelType w:val="multilevel"/>
    <w:tmpl w:val="57DE56B4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CC446CB"/>
    <w:multiLevelType w:val="multilevel"/>
    <w:tmpl w:val="6CC446CB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7">
    <w:nsid w:val="721C8F5C"/>
    <w:multiLevelType w:val="multilevel"/>
    <w:tmpl w:val="721C8F5C"/>
    <w:lvl w:ilvl="0" w:tentative="0">
      <w:start w:val="1"/>
      <w:numFmt w:val="decimal"/>
      <w:suff w:val="space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4"/>
  </w:num>
  <w:num w:numId="5">
    <w:abstractNumId w:val="15"/>
  </w:num>
  <w:num w:numId="6">
    <w:abstractNumId w:val="2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0"/>
  </w:num>
  <w:num w:numId="12">
    <w:abstractNumId w:val="3"/>
  </w:num>
  <w:num w:numId="13">
    <w:abstractNumId w:val="6"/>
  </w:num>
  <w:num w:numId="14">
    <w:abstractNumId w:val="14"/>
  </w:num>
  <w:num w:numId="15">
    <w:abstractNumId w:val="16"/>
  </w:num>
  <w:num w:numId="16">
    <w:abstractNumId w:val="13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87ADC"/>
    <w:rsid w:val="02D8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广东分公司</Company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2026-06-18T10:46:00Z</dcterms:created>
  <dc:creator>何棋龄</dc:creator>
  <cp:lastModifiedBy>何棋龄</cp:lastModifiedBy>
  <dcterms:modified xsi:type="dcterms:W3CDTF">2026-06-18T10:50:57Z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D0D127337E6540AF8D008D7A9EEF55C2_11</vt:lpwstr>
  </property>
</Properties>
</file>