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Featured Specialty Content — Division of Hematology and Oncology</w:t>
      </w:r>
    </w:p>
    <w:p>
      <w:pPr>
        <w:pStyle w:val="BodyTextmeta"/>
        <w:bidi w:val="0"/>
        <w:jc w:val="left"/>
        <w:rPr/>
      </w:pPr>
      <w:r>
        <w:rPr/>
        <w:t>China Medical University Hospital, Taichung, Taiwan</w:t>
      </w:r>
      <w:r>
        <w:rPr/>
        <w:t>　</w:t>
      </w:r>
      <w:r>
        <w:rPr/>
        <w:t>First submission, 21 October 2026</w:t>
      </w:r>
      <w:r>
        <w:rPr/>
        <w:t>　</w:t>
      </w:r>
      <w:r>
        <w:rPr/>
        <w:t>English version of the eight-block submission (Chinese version is the reference text; figures are identical)</w:t>
      </w:r>
    </w:p>
    <w:tbl>
      <w:tblPr>
        <w:tblW w:w="5000" w:type="pct"/>
        <w:jc w:val="left"/>
        <w:tblInd w:w="-7" w:type="dxa"/>
        <w:tblLayout w:type="fixed"/>
        <w:tblCellMar>
          <w:top w:w="75" w:type="dxa"/>
          <w:left w:w="75" w:type="dxa"/>
          <w:bottom w:w="75" w:type="dxa"/>
          <w:right w:w="75" w:type="dxa"/>
        </w:tblCellMar>
      </w:tblPr>
      <w:tblGrid>
        <w:gridCol w:w="3463"/>
        <w:gridCol w:w="4560"/>
        <w:gridCol w:w="3315"/>
      </w:tblGrid>
      <w:tr>
        <w:trPr/>
        <w:tc>
          <w:tcPr>
            <w:tcW w:w="34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Block</w:t>
            </w:r>
          </w:p>
        </w:tc>
        <w:tc>
          <w:tcPr>
            <w:tcW w:w="45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Content</w:t>
            </w:r>
          </w:p>
        </w:tc>
        <w:tc>
          <w:tcPr>
            <w:tcW w:w="33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DF2" w:val="clear"/>
              <w:bidi w:val="0"/>
              <w:spacing w:before="0" w:after="283"/>
              <w:jc w:val="left"/>
              <w:rPr/>
            </w:pPr>
            <w:r>
              <w:rPr/>
              <w:t>Notes</w:t>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 Headline</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Precision and Cellular Therapy for Hematologic Malignancies and Solid Tumors</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Chinese: </w:t>
            </w:r>
            <w:r>
              <w:rPr/>
              <w:t>血液與實體腫瘤精準治療暨細胞治療</w:t>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 Core summary</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division provides integrated care for patients with hematologic malignancies and solid tumors, from molecular diagnostics to targeted, immune and cellular therapies. Hematopoietic stem cell transplantation, NHI-reimbursed CAR-T therapy and phase I clinical trials bridge standard treatment and innovative therapy.</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 Description</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One of the major hematopoietic stem cell transplantation centers in central and southern Taiwan, the division treats hematologic malignancies including leukemia, lymphoma and multiple myeloma, and solid tumors including head and neck, thyroid, esophageal, breast, gastric, pancreatobiliary, colorectal and urinary tract cancers and sarcoma, with treatment individualized by molecular and genetic testing. Transplant services include haploidentical, CD45RA-depleted and total marrow and lymphoid irradiation (TMLI)-based transplantation; cellular therapy includes NHI-reimbursed CAR-T and CIK therapy; phase I and international multicenter trials are continuously introduced. Treatment decisions are made in multidisciplinary team conferences, supported by AI-assisted chemotherapy care and post-transplant immune reconstitution monitoring.</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4. Clinical outcomes</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Hematopoietic stem cell transplantation, 2022–2026: 324 transplants (131 autologous, 193 allogeneic); 71 in 2022, 71 in 2023, 65 in 2024, 61 in 2025 and 56 in 2026 through October. (Source: division transplant registry, 21 Oct 2026)</w:t>
              <w:br/>
              <w:t>2. Approved by Taiwan's National Health Insurance Administration since November 2023 to deliver CAR-T (Kymriah) therapy for acute lymphoblastic leukemia and diffuse large B-cell lymphoma; CAR-T cases: 1 in 2023 (self-paid), 2 in 2024, 5 in 2025 and 5 in 2026 through October, 13 in total. (Source: NHI approval list, Nov 2023; division case-management records, 21 Oct 2026)</w:t>
              <w:br/>
              <w:t>3. Cellular immunotherapy (CIK/DC-CIK): 783 patients consented to treatment between the enactment of Taiwan's Special Regulations on Cellular Therapy and November 2024. (Source: CMUH Cell Therapy Center)</w:t>
              <w:br/>
              <w:t>4. From 2021 to 2026, division physicians published one hematopoietic stem cell transplantation study each as first or corresponding author in Int J Hematol, Bone Marrow Transplant and Transplant Cell Ther, and participated as co-authors in international multicenter phase III trials published in Lancet Oncol, J Clin Oncol and N Engl J Med. (Source: PubMed)</w:t>
              <w:br/>
              <w:t xml:space="preserve">5. Clinical trials: 57 trials ongoing in the division (as of 19 Oct 2026; source: CMUH Clinical Trial Center). Among them, CAR001, an allogeneic multi-target CAR-T product (gene-modified γδ T cells, in collaboration with Ever Supreme Bio Technology), cleared US FDA and Taiwan FDA IND review and is in a phase I trial for solid tumors at CMUH; in June 2026 the safety monitoring committee confirmed completion of dose escalation without dose-limiting toxicity and progression to phase IIa. CAR001 is an investigational product, distinct from NHI-reimbursed CAR-T. (Source: CMUH Regenerative Medicine web page; public disclosure 28 Jun 2026) </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 items. Transplant and CAR-T counts are division statistics as of 21 Oct 2026. One-year survival is not stated because no external benchmark or denominator definition is available.</w:t>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 Representative publications</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Wang F, Lin CY, Sun JM, et al. Ociperlimab and tislelizumab in advanced esophageal squamous cell carcinoma (AdvanTIG-203): a phase II study. Nat Commun. 2026 Sep 18 (online). DOI 10.1038/s41467-026-77705-8 (Chen-Yuan Lin, second author; international multicenter randomized phase II trial)</w:t>
              <w:br/>
              <w:t>2. Chen TT, et al. Haploidentical peripheral blood stem cell transplantation with ATG plus post-transplant cyclophosphamide as GVHD prophylaxis. Int J Hematol. 2022. DOI 10.1007/s12185-021-03280-x (Tzu-Ting Chen, first author; Su-Peng Yeh, corresponding author)</w:t>
              <w:br/>
              <w:t>3. Cheng FM, et al. Deep learning assists in acute leukemia detection and cell classification via flow cytometry using the acute leukemia orientation tube. Sci Rep. 2024;14:8350. DOI 10.1038/s41598-024-58580-z (Fu-Ming Cheng, first author; Ching-Chan Lin, co-author; with the CMUH Artificial Intelligence Center)</w:t>
              <w:br/>
              <w:t>4. Zanidatamab plus tislelizumab and chemotherapy as first-line treatment for HER2-positive gastric/gastroesophageal junction adenocarcinoma: a phase Ib/II study. Clin Cancer Res. 2026;32(2). DOI 10.1158/1078-0432.CCR-24-4295 (Li-Yuan Bai, second author; international multicenter early-phase trial)</w:t>
              <w:br/>
              <w:t>5. Wang HT, et al. Intraperitoneal nivolumab for malignant ascites in patients with advanced gastrointestinal or pancreaticobiliary tract cancer. Int J Clin Oncol. 2026;31(2):281-291. DOI 10.1007/s10147-025-02930-y (Hsiu-Tzu Wang, first author; Li-Yuan Bai, corresponding author; Mei-Chen Lin, Chia-Yu Chen, Chang-Fang Chiu, co-authors)</w:t>
              <w:br/>
              <w:t xml:space="preserve">6. Hsieh CY, et al. Rituximab plus gemcitabine and cisplatin in recurrent/metastatic head and neck squamous cell carcinoma: a phase I trial. BMC Cancer. 2022;22:169. DOI 10.1186/s12885-022-09258-0 (investigator-initiated phase I trial; Ching-Yun Hsieh, first author; Ching-Chan Lin, corresponding author; Ming-Yu Lien, Chen-Yuan Lin, Chang-Fang Chiu, co-authors) </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Six papers, each with a division physician as first, corresponding or second author; esophageal cancer, transplantation, AI-assisted leukemia diagnosis, gastric cancer, gastrointestinal cancers and head and neck cancer. Paper 6 is a division-led phase I trial and is recommended for retention. Paper 1 is online-first; verify by DOI.</w:t>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6. International accreditation and awards</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AABB (Association for the Advancement of Blood &amp; Biotherapies) cellular therapy accreditation, 2026 (HPC Facilities and Somatic Cell Facilities; valid 20 Jan 2026 to 31 Dec 2027): the first medical center in Taiwan with comprehensive accreditation covering cell and blood collection, testing and screening, processing, temperature-controlled storage and distribution. The hospital's February 2026 announcement described CMUH as the only cancer immune cell therapy institution in Taiwan with this international accreditation.</w:t>
              <w:br/>
              <w:t>2. Listed in Newsweek / Statista "Asia-Pacific's Best Specialized Hospitals" — Oncology in 2025 and 2026 (per hospital announcement of 18 Jun 2026; rank not stated).</w:t>
              <w:br/>
              <w:t>3. Approved by the National Health Insurance Administration since November 2023 to deliver CAR-T cell therapy (CD19; acute lymphoblastic leukemia and diffuse large B-cell lymphoma).</w:t>
              <w:br/>
              <w:t>4. Symbol of National Quality (SNQ; Research Center for Biotechnology and Medicine Policy, Taiwan): "Comprehensive Hematopoietic Stem Cell Transplantation Team" (awarded 2010, renewed 2012; Hospital Category, Featured Specialty); "Smart Safety Cancer Care — Comfortable, Continuous, Caring, Case Management" (2018; Nursing Category, cancer nursing team); "Build a World-Class Treatment Center for Hematological Malignancies" (2024; Hospital Category, Specialist Medicine).</w:t>
              <w:br/>
              <w:t xml:space="preserve">5. Joint Commission of Taiwan Disease-Specific Care Certification: head and neck cancer (Apr 2023–Mar 2026; re-certified in 2026, valid Apr 2026–Mar 2029); breast cancer (Jan 2023–Dec 2025). </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Five items offered for selection; items 1, 2 and 4 suggested as priorities. Years and validity follow the certificates; head and neck re-certification per the head and neck team, 21 Oct 2026; breast cancer re-certification to be confirmed. No Newsweek rank is stated; if the PR Office holds the official notification, that document prevails.</w:t>
            </w:r>
          </w:p>
        </w:tc>
      </w:tr>
      <w:tr>
        <w:trPr/>
        <w:tc>
          <w:tcPr>
            <w:tcW w:w="3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7. Images / video</w:t>
            </w:r>
          </w:p>
        </w:tc>
        <w:tc>
          <w:tcPr>
            <w:tcW w:w="45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Three photographs planned: (1) hematopoietic stem cell transplantation ward or cell processing (hero image, landscape); (2) multidisciplinary team conference; (3) clinical trial center operations. Real clinical settings, no identifiable patient information, no text within the images; Chinese and English captions supplied separately.</w:t>
            </w:r>
          </w:p>
        </w:tc>
        <w:tc>
          <w:tcPr>
            <w:tcW w:w="33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Original files (1280×720 or larger) to be uploaded to the PR Office cloud folder by 30 Oct 2026; file names and captions will be added here.</w:t>
            </w:r>
          </w:p>
        </w:tc>
      </w:tr>
      <w:tr>
        <w:trPr/>
        <w:tc>
          <w:tcPr>
            <w:tcW w:w="346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8. Team / access</w:t>
            </w:r>
          </w:p>
        </w:tc>
        <w:tc>
          <w:tcPr>
            <w:tcW w:w="456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Team: attending physicians with nurse practitioners, oncology nurse specialists, chemotherapy and clinical trial pharmacists, research nurses and case managers form the multidisciplinary care team; see the "Team" page of the division website.</w:t>
              <w:br/>
              <w:t>Appointments: book online or via the CMUH app and select "Hematology and Oncology".</w:t>
              <w:br/>
              <w:t>Clinical questions: discuss with the attending physician at the clinic visit.</w:t>
              <w:br/>
              <w:t>Referrals and second opinions: through the CMUH referral center, or by booking a Hematology and Oncology clinic appointment directly.</w:t>
            </w:r>
          </w:p>
        </w:tc>
        <w:tc>
          <w:tcPr>
            <w:tcW w:w="331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Physician profiles (Chinese and English) will be reviewed separately and provided with the second submission if updates are needed.</w:t>
            </w:r>
          </w:p>
        </w:tc>
      </w:tr>
    </w:tbl>
    <w:p>
      <w:pPr>
        <w:pStyle w:val="BodyTextfoot"/>
        <w:bidi w:val="0"/>
        <w:jc w:val="left"/>
        <w:rPr/>
      </w:pPr>
      <w:r>
        <w:rPr/>
        <w:t>Information current as of 21 October 2026.</w:t>
      </w:r>
    </w:p>
    <w:p>
      <w:pPr>
        <w:pStyle w:val="BodyTextfoot"/>
        <w:bidi w:val="0"/>
        <w:spacing w:before="240" w:after="283"/>
        <w:jc w:val="left"/>
        <w:rPr/>
      </w:pPr>
      <w:r>
        <w:rPr/>
        <w:t>Division contacts: Dr. Fu-Ming Cheng and Dr. Chin-Ting Kuo, Division of Hematology and Oncology.</w:t>
      </w:r>
    </w:p>
    <w:sectPr>
      <w:type w:val="nextPage"/>
      <w:pgSz w:w="11906" w:h="16838"/>
      <w:pgMar w:left="1020" w:right="102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ans;Arial;Noto Sans CJK TC;sans-serif" w:hAnsi="Liberation Sans;Arial;Noto Sans CJK TC;sans-serif" w:eastAsia="Liberation Sans;Arial;Noto Sans CJK TC;sans-serif" w:cs="Liberation Sans;Arial;Noto Sans CJK TC;sans-serif"/>
      <w:color w:val="000000"/>
      <w:sz w:val="21"/>
      <w:szCs w:val="21"/>
      <w:lang w:val="en-US" w:eastAsia="zh-CN" w:bidi="hi-IN"/>
    </w:rPr>
  </w:style>
  <w:style w:type="paragraph" w:styleId="Heading1">
    <w:name w:val="heading 1"/>
    <w:basedOn w:val="Heading"/>
    <w:next w:val="BodyText"/>
    <w:qFormat/>
    <w:pPr>
      <w:spacing w:before="240" w:after="80"/>
    </w:pPr>
    <w:rPr>
      <w:b/>
      <w:bCs/>
      <w:sz w:val="32"/>
      <w:szCs w:val="3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meta">
    <w:name w:val="Body Text.meta"/>
    <w:basedOn w:val="BodyText"/>
    <w:qFormat/>
    <w:pPr>
      <w:spacing w:before="0" w:after="200"/>
    </w:pPr>
    <w:rPr>
      <w:sz w:val="20"/>
      <w:szCs w:val="20"/>
    </w:rPr>
  </w:style>
  <w:style w:type="paragraph" w:styleId="BodyTextfoot">
    <w:name w:val="Body Text.foot"/>
    <w:basedOn w:val="BodyText"/>
    <w:qFormat/>
    <w:pPr>
      <w:spacing w:before="240" w:after="283"/>
    </w:pPr>
    <w:rPr>
      <w:sz w:val="20"/>
      <w:szCs w:val="20"/>
    </w:rPr>
  </w:style>
  <w:style w:type="paragraph" w:styleId="TableHeading">
    <w:name w:val="Table Heading"/>
    <w:basedOn w:val="TableContents"/>
    <w:qFormat/>
    <w:pPr>
      <w:suppressLineNumbers/>
      <w:shd w:fill="E8EDF2" w:val="clear"/>
      <w:jc w:val="left"/>
    </w:pPr>
    <w:rPr>
      <w:b/>
      <w:bC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Featured Specialty Content Hematology and Oncology</dc:title>
</cp:coreProperties>
</file>

<file path=docProps/custom.xml><?xml version="1.0" encoding="utf-8"?>
<Properties xmlns="http://schemas.openxmlformats.org/officeDocument/2006/custom-properties" xmlns:vt="http://schemas.openxmlformats.org/officeDocument/2006/docPropsVTypes"/>
</file>