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台灣癌症登錄資料庫系列研究從傳統流行病學到深度學習的多維度整合分析研究成果總論"/>
    <w:p>
      <w:pPr>
        <w:pStyle w:val="Heading1"/>
      </w:pPr>
      <w:r>
        <w:t xml:space="preserve">台灣癌症登錄資料庫系列研究：從傳統流行病學到深度學習的多維度整合分析——研究成果總論</w:t>
      </w:r>
    </w:p>
    <w:p>
      <w:pPr>
        <w:pStyle w:val="FirstParagraph"/>
      </w:pPr>
      <w:r>
        <w:rPr>
          <w:bCs/>
          <w:b/>
        </w:rPr>
        <w:t xml:space="preserve">版本：</w:t>
      </w:r>
      <w:r>
        <w:t xml:space="preserve"> </w:t>
      </w:r>
      <w:r>
        <w:t xml:space="preserve">2026-06-06</w:t>
      </w:r>
      <w:r>
        <w:br/>
      </w:r>
      <w:r>
        <w:rPr>
          <w:bCs/>
          <w:b/>
        </w:rPr>
        <w:t xml:space="preserve">涵蓋子計畫：</w:t>
      </w:r>
      <w:r>
        <w:t xml:space="preserve"> </w:t>
      </w:r>
      <w:r>
        <w:t xml:space="preserve">17個（CMUH機構登錄系列12個、CMUH食道癌精細資料庫1個、TCGA多體學3個、TCGA-ESCA 1個）</w:t>
      </w:r>
      <w:r>
        <w:br/>
      </w:r>
      <w:r>
        <w:rPr>
          <w:bCs/>
          <w:b/>
        </w:rPr>
        <w:t xml:space="preserve">資料來源：</w:t>
      </w:r>
      <w:r>
        <w:t xml:space="preserve"> </w:t>
      </w:r>
      <w:r>
        <w:t xml:space="preserve">CMUH機構癌症登錄資料庫（n=84,161；46部位；2003–2020）、CMUH食道癌精細資料庫（n=344；2007–2010）、TCGA-ESCA/BRCA/THCA</w:t>
      </w:r>
      <w:r>
        <w:br/>
      </w:r>
      <w:r>
        <w:rPr>
          <w:bCs/>
          <w:b/>
        </w:rPr>
        <w:t xml:space="preserve">機構：</w:t>
      </w:r>
      <w:r>
        <w:t xml:space="preserve"> </w:t>
      </w:r>
      <w:r>
        <w:t xml:space="preserve">中山醫學大學附設醫院（China Medical University Hospital，CMUH），台中市</w:t>
      </w:r>
    </w:p>
    <w:p>
      <w:r>
        <w:pict>
          <v:rect style="width:0;height:1.5pt" o:hralign="center" o:hrstd="t" o:hr="t"/>
        </w:pict>
      </w:r>
    </w:p>
    <w:bookmarkStart w:id="20" w:name="摘要"/>
    <w:p>
      <w:pPr>
        <w:pStyle w:val="Heading2"/>
      </w:pPr>
      <w:r>
        <w:t xml:space="preserve">摘要</w:t>
      </w:r>
    </w:p>
    <w:p>
      <w:pPr>
        <w:pStyle w:val="FirstParagraph"/>
      </w:pPr>
      <w:r>
        <w:t xml:space="preserve">本系列研究以中山醫學大學附設醫院（CMUH）機構癌症登錄資料庫（n=84,161；46個癌症部位；2003–2020年）為核心，輔以CMUH食道癌精細資料庫（n=344；2007–2010年，含詳細治療及生物銀行資訊）及TCGA多體學資料集（ESCA、BRCA、THCA），系統性探索台灣北中部地區（CMUH轉介圈）特有的致癌暴露模式、共存癌症的生物學機制、遺傳症候群篩查，以及序列深度學習在個人化腫瘤監測中的應用。跨越十七個相互關聯的子計畫，本系列研究識別出台灣癌症共病空間的三個主要致癌軸：（1）上消化呼吸道（UADT）場域致癌效應（由檳榔、菸草、酒精三重暴露驅動）；（2）B型肝炎病毒（HBV）/腸胃道代謝軸（由台灣高盛行的HBV感染及代謝症候群共同形塑）；（3）荷爾蒙/婦科軸（以子宮體癌與乳癌的上升趨勢為代表）。深度學習轉換器模型在癌症序列預測中達到R@1=0.232（為隨機基準的8.6倍），並支援以首發癌症部位為條件的個人化後續監測日曆。本文就各子計畫之研究設計、核心發現、方法學創新及臨床轉化意涵進行系統性整合陳述。</w:t>
      </w:r>
    </w:p>
    <w:p>
      <w:r>
        <w:pict>
          <v:rect style="width:0;height:1.5pt" o:hralign="center" o:hrstd="t" o:hr="t"/>
        </w:pict>
      </w:r>
    </w:p>
    <w:bookmarkEnd w:id="20"/>
    <w:bookmarkStart w:id="21" w:name="一研究背景與整體架構"/>
    <w:p>
      <w:pPr>
        <w:pStyle w:val="Heading2"/>
      </w:pPr>
      <w:r>
        <w:t xml:space="preserve">一、研究背景與整體架構</w:t>
      </w:r>
    </w:p>
    <w:p>
      <w:pPr>
        <w:pStyle w:val="FirstParagraph"/>
      </w:pPr>
      <w:r>
        <w:t xml:space="preserve">中山醫學大學附設醫院（CMUH）是台灣中部重要的醫學中心，其機構癌症登錄資料庫涵蓋2003–2020年長達18年的完整追蹤，收錄84,161名患者、46個癌症部位，其中多重原發癌症患者規模（n=4,068，5.2%）足以支持統計方法的開發與驗證。作為大型轉介醫學中心，CMUH的患者組成呈現台灣中部都市及區域轉介的特徵：UADT癌症（食道癌、下咽癌）患者比例偏高，反映台灣特有的檳榔/菸草/酒精三重暴露文化。需注意，此為單中心醫院基礎登錄（hospital-based registry），非人口基礎（population-based）資料；轉介偏差（referral bias）是所有發生率與共發生率分析的根本限制，研究結論的外推應侷限於類似轉介醫學中心的患者群體。</w:t>
      </w:r>
    </w:p>
    <w:p>
      <w:pPr>
        <w:pStyle w:val="BodyText"/>
      </w:pPr>
      <w:r>
        <w:t xml:space="preserve">本系列研究採用「由資料出發、逐層深化」的研究策略，分為四個遞進層次：</w:t>
      </w:r>
    </w:p>
    <w:p>
      <w:pPr>
        <w:pStyle w:val="BodyText"/>
      </w:pPr>
      <w:r>
        <w:rPr>
          <w:bCs/>
          <w:b/>
        </w:rPr>
        <w:t xml:space="preserve">第一層：流行病學基礎建立</w:t>
      </w:r>
      <w:r>
        <w:t xml:space="preserve">——以古典統計方法（Cox比例風險模型、Kaplan-Meier分析、標準化發生比SIR）確立基礎臨床與流行病學事實。</w:t>
      </w:r>
    </w:p>
    <w:p>
      <w:pPr>
        <w:pStyle w:val="BodyText"/>
      </w:pPr>
      <w:r>
        <w:rPr>
          <w:bCs/>
          <w:b/>
        </w:rPr>
        <w:t xml:space="preserve">第二層：深度學習潛在結構發現</w:t>
      </w:r>
      <w:r>
        <w:t xml:space="preserve">——以變分自動編碼器（VAE）、masked prediction Transformer、DeepHit競爭風險模型，從高維共病矩陣中抽取人類肉眼不可直接觀察的致癌暴露軸。</w:t>
      </w:r>
    </w:p>
    <w:p>
      <w:pPr>
        <w:pStyle w:val="BodyText"/>
      </w:pPr>
      <w:r>
        <w:rPr>
          <w:bCs/>
          <w:b/>
        </w:rPr>
        <w:t xml:space="preserve">第三層：整合性驗證</w:t>
      </w:r>
      <w:r>
        <w:t xml:space="preserve">——以多元方法交叉驗證發現（SIR × 時變Cox × Transformer後驗機率），確保每項主要發現有獨立方法學的三角校驗。</w:t>
      </w:r>
    </w:p>
    <w:p>
      <w:pPr>
        <w:pStyle w:val="BodyText"/>
      </w:pPr>
      <w:r>
        <w:rPr>
          <w:bCs/>
          <w:b/>
        </w:rPr>
        <w:t xml:space="preserve">第四層：臨床轉化</w:t>
      </w:r>
      <w:r>
        <w:t xml:space="preserve">——將研究發現轉化為可操作的監測建議、遺傳諮詢轉介標準，及資料驅動的診療優化工具。</w:t>
      </w:r>
    </w:p>
    <w:p>
      <w:pPr>
        <w:pStyle w:val="BodyText"/>
      </w:pPr>
      <w:r>
        <w:t xml:space="preserve">CMUH機構癌症登錄資料庫的整體探索性分析（n=84,161；2003–2020年）確立了以下基礎事實：</w:t>
      </w:r>
      <w:r>
        <w:t xml:space="preserve"> </w:t>
      </w:r>
      <w:r>
        <w:t xml:space="preserve">- 高死亡率部位（&gt;70%）：C15食道（77%）、C22肝（76%）、C13下咽（73%）、C34肺（72%）</w:t>
      </w:r>
      <w:r>
        <w:t xml:space="preserve"> </w:t>
      </w:r>
      <w:r>
        <w:t xml:space="preserve">- 低死亡率部位（&lt;25%）：C50乳腺（22%）、C53子宮頸（20%）、C54子宮體（22%）</w:t>
      </w:r>
      <w:r>
        <w:t xml:space="preserve"> </w:t>
      </w:r>
      <w:r>
        <w:t xml:space="preserve">- 台灣特有性別極化：C15食道95%男性（全球平均~75%）、C13下咽97%男性</w:t>
      </w:r>
      <w:r>
        <w:t xml:space="preserve"> </w:t>
      </w:r>
      <w:r>
        <w:t xml:space="preserve">- 多重原發規模：5%患者有≥2個癌症（3,679人有2個，389人有3個以上，最多一人6個）</w:t>
      </w:r>
    </w:p>
    <w:p>
      <w:r>
        <w:pict>
          <v:rect style="width:0;height:1.5pt" o:hralign="center" o:hrstd="t" o:hr="t"/>
        </w:pict>
      </w:r>
    </w:p>
    <w:bookmarkEnd w:id="21"/>
    <w:bookmarkStart w:id="24" w:name="二食道鱗狀細胞癌的臨床預後研究"/>
    <w:p>
      <w:pPr>
        <w:pStyle w:val="Heading2"/>
      </w:pPr>
      <w:r>
        <w:t xml:space="preserve">二、食道鱗狀細胞癌的臨床預後研究</w:t>
      </w:r>
    </w:p>
    <w:bookmarkStart w:id="22" w:name="cmuh機構登錄分析c15子計畫"/>
    <w:p>
      <w:pPr>
        <w:pStyle w:val="Heading3"/>
      </w:pPr>
      <w:r>
        <w:t xml:space="preserve">2.1 CMUH機構登錄分析（C15子計畫）</w:t>
      </w:r>
    </w:p>
    <w:p>
      <w:pPr>
        <w:pStyle w:val="FirstParagraph"/>
      </w:pPr>
      <w:r>
        <w:t xml:space="preserve">C15子計畫以CMUH機構癌症登錄資料庫中2,367名食道癌患者為隊列（中位存活13.4個月；1,832例死亡，死亡率77.4%），建立了CMUH食道癌多因子Cox預後模型。隊列特徵：鱗狀細胞癌85.4%、男性94.5%、中位年齡57歲、分期遺漏609人（25.7%）。</w:t>
      </w:r>
    </w:p>
    <w:p>
      <w:pPr>
        <w:pStyle w:val="BodyText"/>
      </w:pPr>
      <w:r>
        <w:rPr>
          <w:bCs/>
          <w:b/>
        </w:rPr>
        <w:t xml:space="preserve">主要發現</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變數</w:t>
            </w:r>
          </w:p>
        </w:tc>
        <w:tc>
          <w:tcPr/>
          <w:p>
            <w:pPr>
              <w:pStyle w:val="Compact"/>
              <w:jc w:val="left"/>
            </w:pPr>
            <w:r>
              <w:t xml:space="preserve">HR</w:t>
            </w:r>
          </w:p>
        </w:tc>
        <w:tc>
          <w:tcPr/>
          <w:p>
            <w:pPr>
              <w:pStyle w:val="Compact"/>
              <w:jc w:val="left"/>
            </w:pPr>
            <w:r>
              <w:t xml:space="preserve">95% CI</w:t>
            </w:r>
          </w:p>
        </w:tc>
        <w:tc>
          <w:tcPr/>
          <w:p>
            <w:pPr>
              <w:pStyle w:val="Compact"/>
              <w:jc w:val="left"/>
            </w:pPr>
            <w:r>
              <w:t xml:space="preserve">p</w:t>
            </w:r>
          </w:p>
        </w:tc>
      </w:tr>
      <w:tr>
        <w:tc>
          <w:tcPr/>
          <w:p>
            <w:pPr>
              <w:pStyle w:val="Compact"/>
              <w:jc w:val="left"/>
            </w:pPr>
            <w:r>
              <w:t xml:space="preserve">R0切除邊緣</w:t>
            </w:r>
          </w:p>
        </w:tc>
        <w:tc>
          <w:tcPr/>
          <w:p>
            <w:pPr>
              <w:pStyle w:val="Compact"/>
              <w:jc w:val="left"/>
            </w:pPr>
            <w:r>
              <w:t xml:space="preserve">0.63</w:t>
            </w:r>
          </w:p>
        </w:tc>
        <w:tc>
          <w:tcPr/>
          <w:p>
            <w:pPr>
              <w:pStyle w:val="Compact"/>
              <w:jc w:val="left"/>
            </w:pPr>
            <w:r>
              <w:t xml:space="preserve">0.55–0.73</w:t>
            </w:r>
          </w:p>
        </w:tc>
        <w:tc>
          <w:tcPr/>
          <w:p>
            <w:pPr>
              <w:pStyle w:val="Compact"/>
              <w:jc w:val="left"/>
            </w:pPr>
            <w:r>
              <w:t xml:space="preserve">&lt;0.001</w:t>
            </w:r>
          </w:p>
        </w:tc>
      </w:tr>
      <w:tr>
        <w:tc>
          <w:tcPr/>
          <w:p>
            <w:pPr>
              <w:pStyle w:val="Compact"/>
              <w:jc w:val="left"/>
            </w:pPr>
            <w:r>
              <w:t xml:space="preserve">根治性食道切除</w:t>
            </w:r>
          </w:p>
        </w:tc>
        <w:tc>
          <w:tcPr/>
          <w:p>
            <w:pPr>
              <w:pStyle w:val="Compact"/>
              <w:jc w:val="left"/>
            </w:pPr>
            <w:r>
              <w:t xml:space="preserve">0.61</w:t>
            </w:r>
          </w:p>
        </w:tc>
        <w:tc>
          <w:tcPr/>
          <w:p>
            <w:pPr>
              <w:pStyle w:val="Compact"/>
              <w:jc w:val="left"/>
            </w:pPr>
            <w:r>
              <w:t xml:space="preserve">0.51–0.72</w:t>
            </w:r>
          </w:p>
        </w:tc>
        <w:tc>
          <w:tcPr/>
          <w:p>
            <w:pPr>
              <w:pStyle w:val="Compact"/>
              <w:jc w:val="left"/>
            </w:pPr>
            <w:r>
              <w:t xml:space="preserve">&lt;0.001</w:t>
            </w:r>
          </w:p>
        </w:tc>
      </w:tr>
      <w:tr>
        <w:tc>
          <w:tcPr/>
          <w:p>
            <w:pPr>
              <w:pStyle w:val="Compact"/>
              <w:jc w:val="left"/>
            </w:pPr>
            <w:r>
              <w:t xml:space="preserve">內視鏡切除術</w:t>
            </w:r>
          </w:p>
        </w:tc>
        <w:tc>
          <w:tcPr/>
          <w:p>
            <w:pPr>
              <w:pStyle w:val="Compact"/>
              <w:jc w:val="left"/>
            </w:pPr>
            <w:r>
              <w:t xml:space="preserve">0.48</w:t>
            </w:r>
          </w:p>
        </w:tc>
        <w:tc>
          <w:tcPr/>
          <w:p>
            <w:pPr>
              <w:pStyle w:val="Compact"/>
              <w:jc w:val="left"/>
            </w:pPr>
            <w:r>
              <w:t xml:space="preserve">0.38–0.60</w:t>
            </w:r>
          </w:p>
        </w:tc>
        <w:tc>
          <w:tcPr/>
          <w:p>
            <w:pPr>
              <w:pStyle w:val="Compact"/>
              <w:jc w:val="left"/>
            </w:pPr>
            <w:r>
              <w:t xml:space="preserve">&lt;0.001</w:t>
            </w:r>
          </w:p>
        </w:tc>
      </w:tr>
      <w:tr>
        <w:tc>
          <w:tcPr/>
          <w:p>
            <w:pPr>
              <w:pStyle w:val="Compact"/>
              <w:jc w:val="left"/>
            </w:pPr>
            <w:r>
              <w:t xml:space="preserve">Stage III vs I</w:t>
            </w:r>
          </w:p>
        </w:tc>
        <w:tc>
          <w:tcPr/>
          <w:p>
            <w:pPr>
              <w:pStyle w:val="Compact"/>
              <w:jc w:val="left"/>
            </w:pPr>
            <w:r>
              <w:t xml:space="preserve">1.23</w:t>
            </w:r>
          </w:p>
        </w:tc>
        <w:tc>
          <w:tcPr/>
          <w:p>
            <w:pPr>
              <w:pStyle w:val="Compact"/>
              <w:jc w:val="left"/>
            </w:pPr>
            <w:r>
              <w:t xml:space="preserve">1.07–1.41</w:t>
            </w:r>
          </w:p>
        </w:tc>
        <w:tc>
          <w:tcPr/>
          <w:p>
            <w:pPr>
              <w:pStyle w:val="Compact"/>
              <w:jc w:val="left"/>
            </w:pPr>
            <w:r>
              <w:t xml:space="preserve">0.003</w:t>
            </w:r>
          </w:p>
        </w:tc>
      </w:tr>
      <w:tr>
        <w:tc>
          <w:tcPr/>
          <w:p>
            <w:pPr>
              <w:pStyle w:val="Compact"/>
              <w:jc w:val="left"/>
            </w:pPr>
            <w:r>
              <w:t xml:space="preserve">Stage IV vs I（MICE主要）</w:t>
            </w:r>
          </w:p>
        </w:tc>
        <w:tc>
          <w:tcPr/>
          <w:p>
            <w:pPr>
              <w:pStyle w:val="Compact"/>
              <w:jc w:val="left"/>
            </w:pPr>
            <w:r>
              <w:t xml:space="preserve">1.63</w:t>
            </w:r>
          </w:p>
        </w:tc>
        <w:tc>
          <w:tcPr/>
          <w:p>
            <w:pPr>
              <w:pStyle w:val="Compact"/>
              <w:jc w:val="left"/>
            </w:pPr>
            <w:r>
              <w:t xml:space="preserve">1.42–1.87</w:t>
            </w:r>
          </w:p>
        </w:tc>
        <w:tc>
          <w:tcPr/>
          <w:p>
            <w:pPr>
              <w:pStyle w:val="Compact"/>
              <w:jc w:val="left"/>
            </w:pPr>
            <w:r>
              <w:t xml:space="preserve">&lt;0.001</w:t>
            </w:r>
          </w:p>
        </w:tc>
      </w:tr>
      <w:tr>
        <w:tc>
          <w:tcPr/>
          <w:p>
            <w:pPr>
              <w:pStyle w:val="Compact"/>
              <w:jc w:val="left"/>
            </w:pPr>
            <w:r>
              <w:t xml:space="preserve">Stage IV vs I（7th edition-only）</w:t>
            </w:r>
          </w:p>
        </w:tc>
        <w:tc>
          <w:tcPr/>
          <w:p>
            <w:pPr>
              <w:pStyle w:val="Compact"/>
              <w:jc w:val="left"/>
            </w:pPr>
            <w:r>
              <w:t xml:space="preserve">2.17</w:t>
            </w:r>
          </w:p>
        </w:tc>
        <w:tc>
          <w:tcPr/>
          <w:p>
            <w:pPr>
              <w:pStyle w:val="Compact"/>
              <w:jc w:val="left"/>
            </w:pPr>
            <w:r>
              <w:t xml:space="preserve">1.78–2.64</w:t>
            </w:r>
          </w:p>
        </w:tc>
        <w:tc>
          <w:tcPr/>
          <w:p>
            <w:pPr>
              <w:pStyle w:val="Compact"/>
              <w:jc w:val="left"/>
            </w:pPr>
            <w:r>
              <w:t xml:space="preserve">&lt;0.001</w:t>
            </w:r>
          </w:p>
        </w:tc>
      </w:tr>
      <w:tr>
        <w:tc>
          <w:tcPr/>
          <w:p>
            <w:pPr>
              <w:pStyle w:val="Compact"/>
              <w:jc w:val="left"/>
            </w:pPr>
            <w:r>
              <w:t xml:space="preserve">CCRT（MICE主要模型）</w:t>
            </w:r>
          </w:p>
        </w:tc>
        <w:tc>
          <w:tcPr/>
          <w:p>
            <w:pPr>
              <w:pStyle w:val="Compact"/>
              <w:jc w:val="left"/>
            </w:pPr>
            <w:r>
              <w:t xml:space="preserve">0.97</w:t>
            </w:r>
          </w:p>
        </w:tc>
        <w:tc>
          <w:tcPr/>
          <w:p>
            <w:pPr>
              <w:pStyle w:val="Compact"/>
              <w:jc w:val="left"/>
            </w:pPr>
            <w:r>
              <w:t xml:space="preserve">0.86–1.09</w:t>
            </w:r>
          </w:p>
        </w:tc>
        <w:tc>
          <w:tcPr/>
          <w:p>
            <w:pPr>
              <w:pStyle w:val="Compact"/>
              <w:jc w:val="left"/>
            </w:pPr>
            <w:r>
              <w:t xml:space="preserve">0.569 NS</w:t>
            </w:r>
          </w:p>
        </w:tc>
      </w:tr>
      <w:tr>
        <w:tc>
          <w:tcPr/>
          <w:p>
            <w:pPr>
              <w:pStyle w:val="Compact"/>
              <w:jc w:val="left"/>
            </w:pPr>
            <w:r>
              <w:t xml:space="preserve">C-index（apparent）</w:t>
            </w:r>
          </w:p>
        </w:tc>
        <w:tc>
          <w:tcPr/>
          <w:p>
            <w:pPr>
              <w:pStyle w:val="Compact"/>
              <w:jc w:val="left"/>
            </w:pPr>
            <w:r>
              <w:t xml:space="preserve">0.670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C-index（OOB B=500）</w:t>
            </w:r>
          </w:p>
        </w:tc>
        <w:tc>
          <w:tcPr/>
          <w:p>
            <w:pPr>
              <w:pStyle w:val="Compact"/>
              <w:jc w:val="left"/>
            </w:pPr>
            <w:r>
              <w:t xml:space="preserve">0.666</w:t>
            </w:r>
          </w:p>
        </w:tc>
        <w:tc>
          <w:tcPr/>
          <w:p>
            <w:pPr>
              <w:pStyle w:val="Compact"/>
              <w:jc w:val="left"/>
            </w:pPr>
            <w:r>
              <w:t xml:space="preserve">0.647–0.683</w:t>
            </w:r>
          </w:p>
        </w:tc>
        <w:tc>
          <w:tcPr/>
          <w:p>
            <w:pPr>
              <w:pStyle w:val="Compact"/>
              <w:jc w:val="left"/>
            </w:pPr>
            <w:r>
              <w:t xml:space="preserve">—</w:t>
            </w:r>
          </w:p>
        </w:tc>
      </w:tr>
    </w:tbl>
    <w:p>
      <w:pPr>
        <w:pStyle w:val="BodyText"/>
      </w:pPr>
      <w:r>
        <w:rPr>
          <w:bCs/>
          <w:b/>
        </w:rPr>
        <w:t xml:space="preserve">AJCC版本敏感性</w:t>
      </w:r>
      <w:r>
        <w:t xml:space="preserve">：CMUH癌症登錄跨越6th/7th edition轉換期，6th edition將頸部淋巴結轉移（M1a）歸為Stage IV，7th則重新分類為Stage III，導致6th版Stage IV盛行率45.0% vs 7th版24.9%。7th edition-only分析（n=1,187）顯示Stage IV HR=2.17，高於混用時的1.63，反映6th版M1a稀釋效應。</w:t>
      </w:r>
    </w:p>
    <w:p>
      <w:pPr>
        <w:pStyle w:val="BodyText"/>
      </w:pPr>
      <w:r>
        <w:rPr>
          <w:bCs/>
          <w:b/>
        </w:rPr>
        <w:t xml:space="preserve">CCRT時間依賴效應</w:t>
      </w:r>
      <w:r>
        <w:t xml:space="preserve">：三個模型設定的CCRT HR出現&gt;25%的分歧（MICE HR=0.97 NS；完整病例敏感性HR=0.72；Zero-coded HR=0.76），Schoenfeld殘差（χ²=17.1，p&lt;0.001）確認CCRT效應具有時間依賴性。二時段Cox（landmark=12個月）揭示：早期（&lt;12個月）HR=0.846（保護性，反映局部控制效益），晚期（&gt;12個月）HR=1.221（效益抵銷或反轉，與CCRT晚期毒性一致）。全時間段HR=0.97在數學上正確但生物學上無意義，無法代表整體CCRT效應。</w:t>
      </w:r>
    </w:p>
    <w:p>
      <w:pPr>
        <w:pStyle w:val="BodyText"/>
      </w:pPr>
      <w:r>
        <w:rPr>
          <w:bCs/>
          <w:b/>
        </w:rPr>
        <w:t xml:space="preserve">深度學習補充分析</w:t>
      </w:r>
      <w:r>
        <w:t xml:space="preserve">：自動編碼器→UMAP→k-means（k=3）識別三個表現型群體，但增量Cox檢定ΔC=−0.001（p&gt;0.37），確認在此規模下深度學習無法優於傳統臨床分期。</w:t>
      </w:r>
    </w:p>
    <w:p>
      <w:pPr>
        <w:pStyle w:val="BodyText"/>
      </w:pPr>
      <w:r>
        <w:rPr>
          <w:bCs/>
          <w:b/>
        </w:rPr>
        <w:t xml:space="preserve">MICE方法論</w:t>
      </w:r>
      <w:r>
        <w:t xml:space="preserve">：採用IterativeImputer+ExtraTreesRegressor處理25.7%分期遺漏，10次迭代，seed=42，提供了CMUH食道癌資料中最具方法學嚴謹性的遺漏值處理框架。</w:t>
      </w:r>
    </w:p>
    <w:bookmarkEnd w:id="22"/>
    <w:bookmarkStart w:id="23" w:name="cmuh食道癌精細資料庫分析cmuh-escc"/>
    <w:p>
      <w:pPr>
        <w:pStyle w:val="Heading3"/>
      </w:pPr>
      <w:r>
        <w:t xml:space="preserve">2.2 CMUH食道癌精細資料庫分析（CMUH ESCC）</w:t>
      </w:r>
    </w:p>
    <w:p>
      <w:pPr>
        <w:pStyle w:val="FirstParagraph"/>
      </w:pPr>
      <w:r>
        <w:t xml:space="preserve">CMUH食道癌精細資料庫（n=344；2007–2010年；AJCC 6th edition；93.9%男性；93.9%鱗狀細胞癌）係針對同一機構登錄中2007–2010年食道癌患者進行的詳細圖表回顧研究，涵蓋治療方案細節與生物銀行資訊，為機構登錄資料所不及。由於兩個資料集均來自CMUH，此比較係</w:t>
      </w:r>
      <w:r>
        <w:rPr>
          <w:bCs/>
          <w:b/>
        </w:rPr>
        <w:t xml:space="preserve">院內跨時段資料集比較</w:t>
      </w:r>
      <w:r>
        <w:t xml:space="preserve">（longitudinal intra-institutional comparison），而非獨立外部驗證。</w:t>
      </w:r>
    </w:p>
    <w:p>
      <w:pPr>
        <w:pStyle w:val="BodyText"/>
      </w:pPr>
      <w:r>
        <w:rPr>
          <w:bCs/>
          <w:b/>
        </w:rPr>
        <w:t xml:space="preserve">院內跨時段比較</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指標</w:t>
            </w:r>
          </w:p>
        </w:tc>
        <w:tc>
          <w:tcPr/>
          <w:p>
            <w:pPr>
              <w:pStyle w:val="Compact"/>
              <w:jc w:val="left"/>
            </w:pPr>
            <w:r>
              <w:t xml:space="preserve">C15 CMUH機構登錄（n=2,367）</w:t>
            </w:r>
          </w:p>
        </w:tc>
        <w:tc>
          <w:tcPr/>
          <w:p>
            <w:pPr>
              <w:pStyle w:val="Compact"/>
              <w:jc w:val="left"/>
            </w:pPr>
            <w:r>
              <w:t xml:space="preserve">CMUH精細資料庫（n=344）</w:t>
            </w:r>
          </w:p>
        </w:tc>
        <w:tc>
          <w:tcPr/>
          <w:p>
            <w:pPr>
              <w:pStyle w:val="Compact"/>
              <w:jc w:val="left"/>
            </w:pPr>
            <w:r>
              <w:t xml:space="preserve">判定</w:t>
            </w:r>
          </w:p>
        </w:tc>
      </w:tr>
      <w:tr>
        <w:tc>
          <w:tcPr/>
          <w:p>
            <w:pPr>
              <w:pStyle w:val="Compact"/>
              <w:jc w:val="left"/>
            </w:pPr>
            <w:r>
              <w:t xml:space="preserve">男性比例</w:t>
            </w:r>
          </w:p>
        </w:tc>
        <w:tc>
          <w:tcPr/>
          <w:p>
            <w:pPr>
              <w:pStyle w:val="Compact"/>
              <w:jc w:val="left"/>
            </w:pPr>
            <w:r>
              <w:t xml:space="preserve">94.5%</w:t>
            </w:r>
          </w:p>
        </w:tc>
        <w:tc>
          <w:tcPr/>
          <w:p>
            <w:pPr>
              <w:pStyle w:val="Compact"/>
              <w:jc w:val="left"/>
            </w:pPr>
            <w:r>
              <w:t xml:space="preserve">93.9%</w:t>
            </w:r>
          </w:p>
        </w:tc>
        <w:tc>
          <w:tcPr/>
          <w:p>
            <w:pPr>
              <w:pStyle w:val="Compact"/>
              <w:jc w:val="left"/>
            </w:pPr>
            <w:r>
              <w:t xml:space="preserve">✓ 一致</w:t>
            </w:r>
          </w:p>
        </w:tc>
      </w:tr>
      <w:tr>
        <w:tc>
          <w:tcPr/>
          <w:p>
            <w:pPr>
              <w:pStyle w:val="Compact"/>
              <w:jc w:val="left"/>
            </w:pPr>
            <w:r>
              <w:t xml:space="preserve">分期遺漏率</w:t>
            </w:r>
          </w:p>
        </w:tc>
        <w:tc>
          <w:tcPr/>
          <w:p>
            <w:pPr>
              <w:pStyle w:val="Compact"/>
              <w:jc w:val="left"/>
            </w:pPr>
            <w:r>
              <w:t xml:space="preserve">25.7%</w:t>
            </w:r>
          </w:p>
        </w:tc>
        <w:tc>
          <w:tcPr/>
          <w:p>
            <w:pPr>
              <w:pStyle w:val="Compact"/>
              <w:jc w:val="left"/>
            </w:pPr>
            <w:r>
              <w:t xml:space="preserve">27.0%</w:t>
            </w:r>
          </w:p>
        </w:tc>
        <w:tc>
          <w:tcPr/>
          <w:p>
            <w:pPr>
              <w:pStyle w:val="Compact"/>
              <w:jc w:val="left"/>
            </w:pPr>
            <w:r>
              <w:t xml:space="preserve">✓ 一致</w:t>
            </w:r>
          </w:p>
        </w:tc>
      </w:tr>
      <w:tr>
        <w:tc>
          <w:tcPr/>
          <w:p>
            <w:pPr>
              <w:pStyle w:val="Compact"/>
              <w:jc w:val="left"/>
            </w:pPr>
            <w:r>
              <w:t xml:space="preserve">R0率（手術者）</w:t>
            </w:r>
          </w:p>
        </w:tc>
        <w:tc>
          <w:tcPr/>
          <w:p>
            <w:pPr>
              <w:pStyle w:val="Compact"/>
              <w:jc w:val="left"/>
            </w:pPr>
            <w:r>
              <w:t xml:space="preserve">~87%</w:t>
            </w:r>
          </w:p>
        </w:tc>
        <w:tc>
          <w:tcPr/>
          <w:p>
            <w:pPr>
              <w:pStyle w:val="Compact"/>
              <w:jc w:val="left"/>
            </w:pPr>
            <w:r>
              <w:t xml:space="preserve">87.9%</w:t>
            </w:r>
          </w:p>
        </w:tc>
        <w:tc>
          <w:tcPr/>
          <w:p>
            <w:pPr>
              <w:pStyle w:val="Compact"/>
              <w:jc w:val="left"/>
            </w:pPr>
            <w:r>
              <w:t xml:space="preserve">✓ 一致</w:t>
            </w:r>
          </w:p>
        </w:tc>
      </w:tr>
      <w:tr>
        <w:tc>
          <w:tcPr/>
          <w:p>
            <w:pPr>
              <w:pStyle w:val="Compact"/>
              <w:jc w:val="left"/>
            </w:pPr>
            <w:r>
              <w:t xml:space="preserve">Cox C-index</w:t>
            </w:r>
          </w:p>
        </w:tc>
        <w:tc>
          <w:tcPr/>
          <w:p>
            <w:pPr>
              <w:pStyle w:val="Compact"/>
              <w:jc w:val="left"/>
            </w:pPr>
            <w:r>
              <w:t xml:space="preserve">0.670</w:t>
            </w:r>
          </w:p>
        </w:tc>
        <w:tc>
          <w:tcPr/>
          <w:p>
            <w:pPr>
              <w:pStyle w:val="Compact"/>
              <w:jc w:val="left"/>
            </w:pPr>
            <w:r>
              <w:t xml:space="preserve">0.691</w:t>
            </w:r>
          </w:p>
        </w:tc>
        <w:tc>
          <w:tcPr/>
          <w:p>
            <w:pPr>
              <w:pStyle w:val="Compact"/>
              <w:jc w:val="left"/>
            </w:pPr>
            <w:r>
              <w:t xml:space="preserve">✓ 一致</w:t>
            </w:r>
          </w:p>
        </w:tc>
      </w:tr>
      <w:tr>
        <w:tc>
          <w:tcPr/>
          <w:p>
            <w:pPr>
              <w:pStyle w:val="Compact"/>
              <w:jc w:val="left"/>
            </w:pPr>
            <w:r>
              <w:t xml:space="preserve">中位OS</w:t>
            </w:r>
          </w:p>
        </w:tc>
        <w:tc>
          <w:tcPr/>
          <w:p>
            <w:pPr>
              <w:pStyle w:val="Compact"/>
              <w:jc w:val="left"/>
            </w:pPr>
            <w:r>
              <w:t xml:space="preserve">13.4個月</w:t>
            </w:r>
          </w:p>
        </w:tc>
        <w:tc>
          <w:tcPr/>
          <w:p>
            <w:pPr>
              <w:pStyle w:val="Compact"/>
              <w:jc w:val="left"/>
            </w:pPr>
            <w:r>
              <w:t xml:space="preserve">9.6個月</w:t>
            </w:r>
          </w:p>
        </w:tc>
        <w:tc>
          <w:tcPr/>
          <w:p>
            <w:pPr>
              <w:pStyle w:val="Compact"/>
              <w:jc w:val="left"/>
            </w:pPr>
            <w:r>
              <w:t xml:space="preserve">⚠ 轉介中心效應</w:t>
            </w:r>
          </w:p>
        </w:tc>
      </w:tr>
      <w:tr>
        <w:tc>
          <w:tcPr/>
          <w:p>
            <w:pPr>
              <w:pStyle w:val="Compact"/>
              <w:jc w:val="left"/>
            </w:pPr>
            <w:r>
              <w:t xml:space="preserve">HR手術</w:t>
            </w:r>
          </w:p>
        </w:tc>
        <w:tc>
          <w:tcPr/>
          <w:p>
            <w:pPr>
              <w:pStyle w:val="Compact"/>
              <w:jc w:val="left"/>
            </w:pPr>
            <w:r>
              <w:t xml:space="preserve">0.61</w:t>
            </w:r>
          </w:p>
        </w:tc>
        <w:tc>
          <w:tcPr/>
          <w:p>
            <w:pPr>
              <w:pStyle w:val="Compact"/>
              <w:jc w:val="left"/>
            </w:pPr>
            <w:r>
              <w:t xml:space="preserve">0.41</w:t>
            </w:r>
          </w:p>
        </w:tc>
        <w:tc>
          <w:tcPr/>
          <w:p>
            <w:pPr>
              <w:pStyle w:val="Compact"/>
              <w:jc w:val="left"/>
            </w:pPr>
            <w:r>
              <w:t xml:space="preserve">△ 未調整分歧</w:t>
            </w:r>
          </w:p>
        </w:tc>
      </w:tr>
    </w:tbl>
    <w:p>
      <w:pPr>
        <w:pStyle w:val="BodyText"/>
      </w:pPr>
      <w:r>
        <w:rPr>
          <w:bCs/>
          <w:b/>
        </w:rPr>
        <w:t xml:space="preserve">深度學習四方法比較</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C-index</w:t>
            </w:r>
          </w:p>
        </w:tc>
        <w:tc>
          <w:tcPr/>
          <w:p>
            <w:pPr>
              <w:pStyle w:val="Compact"/>
              <w:jc w:val="left"/>
            </w:pPr>
            <w:r>
              <w:t xml:space="preserve">主要發現</w:t>
            </w:r>
          </w:p>
        </w:tc>
      </w:tr>
      <w:tr>
        <w:tc>
          <w:tcPr/>
          <w:p>
            <w:pPr>
              <w:pStyle w:val="Compact"/>
              <w:jc w:val="left"/>
            </w:pPr>
            <w:r>
              <w:t xml:space="preserve">DeepSurv</w:t>
            </w:r>
          </w:p>
        </w:tc>
        <w:tc>
          <w:tcPr/>
          <w:p>
            <w:pPr>
              <w:pStyle w:val="Compact"/>
              <w:jc w:val="left"/>
            </w:pPr>
            <w:r>
              <w:t xml:space="preserve">0.691±0.059</w:t>
            </w:r>
          </w:p>
        </w:tc>
        <w:tc>
          <w:tcPr/>
          <w:p>
            <w:pPr>
              <w:pStyle w:val="Compact"/>
              <w:jc w:val="left"/>
            </w:pPr>
            <w:r>
              <w:t xml:space="preserve">n=334時無增益</w:t>
            </w:r>
          </w:p>
        </w:tc>
      </w:tr>
      <w:tr>
        <w:tc>
          <w:tcPr/>
          <w:p>
            <w:pPr>
              <w:pStyle w:val="Compact"/>
              <w:jc w:val="left"/>
            </w:pPr>
            <w:r>
              <w:t xml:space="preserve">XGBoost-Cox</w:t>
            </w:r>
          </w:p>
        </w:tc>
        <w:tc>
          <w:tcPr/>
          <w:p>
            <w:pPr>
              <w:pStyle w:val="Compact"/>
              <w:jc w:val="left"/>
            </w:pPr>
            <w:r>
              <w:t xml:space="preserve">0.667±0.048</w:t>
            </w:r>
          </w:p>
        </w:tc>
        <w:tc>
          <w:tcPr/>
          <w:p>
            <w:pPr>
              <w:pStyle w:val="Compact"/>
              <w:jc w:val="left"/>
            </w:pPr>
            <w:r>
              <w:t xml:space="preserve">SHAP解釋：年齡為最強非線性驅動因子</w:t>
            </w:r>
          </w:p>
        </w:tc>
      </w:tr>
      <w:tr>
        <w:tc>
          <w:tcPr/>
          <w:p>
            <w:pPr>
              <w:pStyle w:val="Compact"/>
              <w:jc w:val="left"/>
            </w:pPr>
            <w:r>
              <w:t xml:space="preserve">自動編碼器k=5</w:t>
            </w:r>
          </w:p>
        </w:tc>
        <w:tc>
          <w:tcPr/>
          <w:p>
            <w:pPr>
              <w:pStyle w:val="Compact"/>
              <w:jc w:val="left"/>
            </w:pPr>
            <w:r>
              <w:t xml:space="preserve">—</w:t>
            </w:r>
          </w:p>
        </w:tc>
        <w:tc>
          <w:tcPr/>
          <w:p>
            <w:pPr>
              <w:pStyle w:val="Compact"/>
              <w:jc w:val="left"/>
            </w:pPr>
            <w:r>
              <w:t xml:space="preserve">5個表現型，log-rank p&lt;0.001</w:t>
            </w:r>
          </w:p>
        </w:tc>
      </w:tr>
      <w:tr>
        <w:tc>
          <w:tcPr/>
          <w:p>
            <w:pPr>
              <w:pStyle w:val="Compact"/>
              <w:jc w:val="left"/>
            </w:pPr>
            <w:r>
              <w:t xml:space="preserve">遷移學習（C15→CMUH）</w:t>
            </w:r>
          </w:p>
        </w:tc>
        <w:tc>
          <w:tcPr/>
          <w:p>
            <w:pPr>
              <w:pStyle w:val="Compact"/>
              <w:jc w:val="left"/>
            </w:pPr>
            <w:r>
              <w:t xml:space="preserve">0.599±0.086</w:t>
            </w:r>
          </w:p>
        </w:tc>
        <w:tc>
          <w:tcPr/>
          <w:p>
            <w:pPr>
              <w:pStyle w:val="Compact"/>
              <w:jc w:val="left"/>
            </w:pPr>
            <w:r>
              <w:t xml:space="preserve">時代+病例組合不相容，遷移失敗</w:t>
            </w:r>
          </w:p>
        </w:tc>
      </w:tr>
    </w:tbl>
    <w:p>
      <w:pPr>
        <w:pStyle w:val="BodyText"/>
      </w:pPr>
      <w:r>
        <w:t xml:space="preserve">遷移失敗根本原因：精細資料庫為2007–2010年早期嚴格收案（中位OS 9.6個月） vs 機構登錄為2007–2020年全時段（中位OS 13.4個月），時代差距與收案嚴格度差異超出遷移可接受範圍。若精細資料庫可擴展至2015年後，預期遷移表現可改善。</w:t>
      </w:r>
    </w:p>
    <w:p>
      <w:r>
        <w:pict>
          <v:rect style="width:0;height:1.5pt" o:hralign="center" o:hrstd="t" o:hr="t"/>
        </w:pict>
      </w:r>
    </w:p>
    <w:bookmarkEnd w:id="23"/>
    <w:bookmarkEnd w:id="24"/>
    <w:bookmarkStart w:id="25" w:name="三上消化呼吸道場域致癌效應"/>
    <w:p>
      <w:pPr>
        <w:pStyle w:val="Heading2"/>
      </w:pPr>
      <w:r>
        <w:t xml:space="preserve">三、上消化呼吸道場域致癌效應</w:t>
      </w:r>
    </w:p>
    <w:p>
      <w:pPr>
        <w:pStyle w:val="FirstParagraph"/>
      </w:pPr>
      <w:r>
        <w:t xml:space="preserve">UADT場域致癌（field cancerization）是指同一黏膜暴露場域內多個解剖部位共享致突變損傷的現象。在台灣，檳榔、菸草、酒精的三重暴露使此效應尤為突出。本子計畫以10個UADT部位（C02、C03、C04、C05、C06、C09、C10、C12、C13、C15）、10,113名患者（多場域1,067人，10.5%；三場域144人），建立了CMUH轉介圈UADT共病的流行病學圖像（單中心醫院基礎，轉介偏差為根本限制之一）。</w:t>
      </w:r>
    </w:p>
    <w:p>
      <w:pPr>
        <w:pStyle w:val="BodyText"/>
      </w:pPr>
      <w:r>
        <w:rPr>
          <w:bCs/>
          <w:b/>
        </w:rPr>
        <w:t xml:space="preserve">共發生率（最強配對）</w:t>
      </w:r>
      <w:r>
        <w:t xml:space="preserve">：</w:t>
      </w:r>
      <w:r>
        <w:t xml:space="preserve"> </w:t>
      </w:r>
      <w:r>
        <w:t xml:space="preserve">- C12梨狀竇 + C15食道：24.2%（每四名梨狀竇癌患者中即有一名發生食道癌，Rank 1）</w:t>
      </w:r>
      <w:r>
        <w:t xml:space="preserve"> </w:t>
      </w:r>
      <w:r>
        <w:t xml:space="preserve">- C13下咽 + C15食道：16.4%（Rank 2）</w:t>
      </w:r>
      <w:r>
        <w:t xml:space="preserve"> </w:t>
      </w:r>
      <w:r>
        <w:t xml:space="preserve">- 兩者均達BH校正FDR顯著</w:t>
      </w:r>
    </w:p>
    <w:p>
      <w:pPr>
        <w:pStyle w:val="BodyText"/>
      </w:pPr>
      <w:r>
        <w:rPr>
          <w:bCs/>
          <w:b/>
        </w:rPr>
        <w:t xml:space="preserve">SIR分析</w:t>
      </w:r>
      <w:r>
        <w:t xml:space="preserve">（內部對照，288,424人年，Poisson精確CI）：</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序列</w:t>
            </w:r>
          </w:p>
        </w:tc>
        <w:tc>
          <w:tcPr/>
          <w:p>
            <w:pPr>
              <w:pStyle w:val="Compact"/>
              <w:jc w:val="left"/>
            </w:pPr>
            <w:r>
              <w:t xml:space="preserve">SIR</w:t>
            </w:r>
          </w:p>
        </w:tc>
        <w:tc>
          <w:tcPr/>
          <w:p>
            <w:pPr>
              <w:pStyle w:val="Compact"/>
              <w:jc w:val="left"/>
            </w:pPr>
            <w:r>
              <w:t xml:space="preserve">95% CI</w:t>
            </w:r>
          </w:p>
        </w:tc>
      </w:tr>
      <w:tr>
        <w:tc>
          <w:tcPr/>
          <w:p>
            <w:pPr>
              <w:pStyle w:val="Compact"/>
              <w:jc w:val="left"/>
            </w:pPr>
            <w:r>
              <w:t xml:space="preserve">食道→下咽</w:t>
            </w:r>
          </w:p>
        </w:tc>
        <w:tc>
          <w:tcPr/>
          <w:p>
            <w:pPr>
              <w:pStyle w:val="Compact"/>
              <w:jc w:val="left"/>
            </w:pPr>
            <w:r>
              <w:t xml:space="preserve">4.7</w:t>
            </w:r>
          </w:p>
        </w:tc>
        <w:tc>
          <w:tcPr/>
          <w:p>
            <w:pPr>
              <w:pStyle w:val="Compact"/>
              <w:jc w:val="left"/>
            </w:pPr>
            <w:r>
              <w:t xml:space="preserve">3.1–6.7</w:t>
            </w:r>
          </w:p>
        </w:tc>
      </w:tr>
      <w:tr>
        <w:tc>
          <w:tcPr/>
          <w:p>
            <w:pPr>
              <w:pStyle w:val="Compact"/>
              <w:jc w:val="left"/>
            </w:pPr>
            <w:r>
              <w:t xml:space="preserve">梨狀竇→食道</w:t>
            </w:r>
          </w:p>
        </w:tc>
        <w:tc>
          <w:tcPr/>
          <w:p>
            <w:pPr>
              <w:pStyle w:val="Compact"/>
              <w:jc w:val="left"/>
            </w:pPr>
            <w:r>
              <w:t xml:space="preserve">3.8</w:t>
            </w:r>
          </w:p>
        </w:tc>
        <w:tc>
          <w:tcPr/>
          <w:p>
            <w:pPr>
              <w:pStyle w:val="Compact"/>
              <w:jc w:val="left"/>
            </w:pPr>
            <w:r>
              <w:t xml:space="preserve">2.4–5.7</w:t>
            </w:r>
          </w:p>
        </w:tc>
      </w:tr>
      <w:tr>
        <w:tc>
          <w:tcPr/>
          <w:p>
            <w:pPr>
              <w:pStyle w:val="Compact"/>
              <w:jc w:val="left"/>
            </w:pPr>
            <w:r>
              <w:t xml:space="preserve">食道→梨狀竇</w:t>
            </w:r>
          </w:p>
        </w:tc>
        <w:tc>
          <w:tcPr/>
          <w:p>
            <w:pPr>
              <w:pStyle w:val="Compact"/>
              <w:jc w:val="left"/>
            </w:pPr>
            <w:r>
              <w:t xml:space="preserve">3.6</w:t>
            </w:r>
          </w:p>
        </w:tc>
        <w:tc>
          <w:tcPr/>
          <w:p>
            <w:pPr>
              <w:pStyle w:val="Compact"/>
              <w:jc w:val="left"/>
            </w:pPr>
            <w:r>
              <w:t xml:space="preserve">1.9–6.3</w:t>
            </w:r>
          </w:p>
        </w:tc>
      </w:tr>
    </w:tbl>
    <w:p>
      <w:pPr>
        <w:pStyle w:val="BodyText"/>
      </w:pPr>
      <w:r>
        <w:rPr>
          <w:bCs/>
          <w:b/>
        </w:rPr>
        <w:t xml:space="preserve">方向對稱性</w:t>
      </w:r>
      <w:r>
        <w:t xml:space="preserve">：C13↔C15配對對稱指數=0.879（p=0.70，非顯著）；60%在6個月內為同步性（SYNC_MO=6），敏感性分析（SYNC_MO=3：56%；SYNC_MO=9：63%）結果穩健。此結果支持共同暴露（場域效應）而非腫瘤擴散（克隆播散）的機制。</w:t>
      </w:r>
    </w:p>
    <w:p>
      <w:pPr>
        <w:pStyle w:val="BodyText"/>
      </w:pPr>
      <w:r>
        <w:rPr>
          <w:bCs/>
          <w:b/>
        </w:rPr>
        <w:t xml:space="preserve">不死時間偏差修正</w:t>
      </w:r>
      <w:r>
        <w:t xml:space="preserve">：地標Cox（6個月）因殘餘不死時間偏差顯示HR=0.86（保護性假象），時變Cox（暴露時間從第二診斷日精確計算）顯示HR=2.14（95%CI 1.97–2.33，p&lt;0.0001）。HR從0.86反轉為2.14是文獻中記載最清晰的不死時間偏差示範之一，確認多場域發癌是獨立的不良預後因子。</w:t>
      </w:r>
    </w:p>
    <w:p>
      <w:pPr>
        <w:pStyle w:val="BodyText"/>
      </w:pPr>
      <w:r>
        <w:rPr>
          <w:bCs/>
          <w:b/>
        </w:rPr>
        <w:t xml:space="preserve">DeepHit競爭風險（UADT隊列）</w:t>
      </w:r>
      <w:r>
        <w:t xml:space="preserve">：5yr死亡CIF=56.7%，5yr第二UADT癌症CIF=10.4%。死亡在所有時間點均主導（C-td death=0.595）。臨床意涵：大多數UADT患者無法存活至晚期監測受益，因此監測應集中於確診後1–2年的早期窗口。</w:t>
      </w:r>
    </w:p>
    <w:p>
      <w:pPr>
        <w:pStyle w:val="BodyText"/>
      </w:pPr>
      <w:r>
        <w:rPr>
          <w:bCs/>
          <w:b/>
        </w:rPr>
        <w:t xml:space="preserve">臨床意涵</w:t>
      </w:r>
      <w:r>
        <w:t xml:space="preserve">：梨狀竇癌患者的常規食道鏡監測具有充分的流行病學支撐（24.2%共發生率，SIR=3.8）。</w:t>
      </w:r>
    </w:p>
    <w:p>
      <w:r>
        <w:pict>
          <v:rect style="width:0;height:1.5pt" o:hralign="center" o:hrstd="t" o:hr="t"/>
        </w:pict>
      </w:r>
    </w:p>
    <w:bookmarkEnd w:id="25"/>
    <w:bookmarkStart w:id="26" w:name="四共存癌症模式的資料驅動發現"/>
    <w:p>
      <w:pPr>
        <w:pStyle w:val="Heading2"/>
      </w:pPr>
      <w:r>
        <w:t xml:space="preserve">四、共存癌症模式的資料驅動發現</w:t>
      </w:r>
    </w:p>
    <w:p>
      <w:pPr>
        <w:pStyle w:val="FirstParagraph"/>
      </w:pPr>
      <w:r>
        <w:t xml:space="preserve">以CMUH機構登錄中78,621名患者×46癌症部位的多熱編碼矩陣，本子計畫識別出三個主要共病生物學域（單中心醫院基礎，以下結果代表CMUH患者群體的共病模式）：</w:t>
      </w:r>
    </w:p>
    <w:p>
      <w:pPr>
        <w:pStyle w:val="BodyText"/>
      </w:pPr>
      <w:r>
        <w:rPr>
          <w:bCs/>
          <w:b/>
        </w:rPr>
        <w:t xml:space="preserve">域1：上消化呼吸道SCC場域</w:t>
      </w:r>
      <w:r>
        <w:t xml:space="preserve">（97%男性，中位診斷年齡53歲，17%發生第三個癌症）</w:t>
      </w:r>
      <w:r>
        <w:t xml:space="preserve"> </w:t>
      </w:r>
      <w:r>
        <w:t xml:space="preserve">- 下咽↔食道：lift=5.50，OR=6.77，n=156（最強共發生訊號）</w:t>
      </w:r>
      <w:r>
        <w:t xml:space="preserve"> </w:t>
      </w:r>
      <w:r>
        <w:t xml:space="preserve">- 口腔對：lift 4–6（檳榔場域致癌）</w:t>
      </w:r>
      <w:r>
        <w:t xml:space="preserve"> </w:t>
      </w:r>
      <w:r>
        <w:t xml:space="preserve">- 29個男性特異 vs 5個女性特異的高lift配對</w:t>
      </w:r>
    </w:p>
    <w:p>
      <w:pPr>
        <w:pStyle w:val="BodyText"/>
      </w:pPr>
      <w:r>
        <w:rPr>
          <w:bCs/>
          <w:b/>
        </w:rPr>
        <w:t xml:space="preserve">域2：女性生殖道+乳腺</w:t>
      </w:r>
      <w:r>
        <w:t xml:space="preserve">（95%女性，年齡56歲）</w:t>
      </w:r>
      <w:r>
        <w:t xml:space="preserve"> </w:t>
      </w:r>
      <w:r>
        <w:t xml:space="preserve">- 子宮頸/子宮體/卵巢/乳腺的荷爾蒙/遺傳易感性共病網路</w:t>
      </w:r>
    </w:p>
    <w:p>
      <w:pPr>
        <w:pStyle w:val="BodyText"/>
      </w:pPr>
      <w:r>
        <w:rPr>
          <w:bCs/>
          <w:b/>
        </w:rPr>
        <w:t xml:space="preserve">域3：年齡相關腸胃道/泌尿道</w:t>
      </w:r>
      <w:r>
        <w:t xml:space="preserve"> </w:t>
      </w:r>
      <w:r>
        <w:t xml:space="preserve">- C34+C50（n=132）、C18+C22（n=113）、C61+C67（n=105）</w:t>
      </w:r>
      <w:r>
        <w:t xml:space="preserve"> </w:t>
      </w:r>
      <w:r>
        <w:t xml:space="preserve">- 反映老化相關的代謝與免疫監控失能</w:t>
      </w:r>
    </w:p>
    <w:p>
      <w:pPr>
        <w:pStyle w:val="BodyText"/>
      </w:pPr>
      <w:r>
        <w:rPr>
          <w:bCs/>
          <w:b/>
        </w:rPr>
        <w:t xml:space="preserve">NMF k=7程式</w:t>
      </w:r>
      <w:r>
        <w:t xml:space="preserve">（多重原發子隊列n=4,068，在全隊列進行NMF因單癌患者94.8%而退化）：</w:t>
      </w:r>
      <w:r>
        <w:t xml:space="preserve"> </w:t>
      </w:r>
      <w:r>
        <w:t xml:space="preserve">- P2「Aerodigestive SCC」：n=615，97%男性，年齡53，17%發生第三個癌症</w:t>
      </w:r>
      <w:r>
        <w:t xml:space="preserve"> </w:t>
      </w:r>
      <w:r>
        <w:t xml:space="preserve">- P5「口腔場域」：n=758，95%男性，年齡52，19%發生第三個癌症，3年間距</w:t>
      </w:r>
      <w:r>
        <w:t xml:space="preserve"> </w:t>
      </w:r>
      <w:r>
        <w:t xml:space="preserve">- P6「女性生殖/乳腺」：n=730，95%女性，年齡56</w:t>
      </w:r>
      <w:r>
        <w:t xml:space="preserve"> </w:t>
      </w:r>
      <w:r>
        <w:t xml:space="preserve">- P7「泌尿道」：n=406，90%男性，年齡72</w:t>
      </w:r>
    </w:p>
    <w:p>
      <w:pPr>
        <w:pStyle w:val="BodyText"/>
      </w:pPr>
      <w:r>
        <w:rPr>
          <w:bCs/>
          <w:b/>
        </w:rPr>
        <w:t xml:space="preserve">SIR+疾病軌跡分析</w:t>
      </w:r>
      <w:r>
        <w:t xml:space="preserve">（Jensen 2014式）：</w:t>
      </w:r>
      <w:r>
        <w:t xml:space="preserve"> </w:t>
      </w:r>
      <w:r>
        <w:t xml:space="preserve">- 最強SIR：食道→下咽SIR=12.2，食道→梨狀竇SIR=12.0</w:t>
      </w:r>
      <w:r>
        <w:t xml:space="preserve"> </w:t>
      </w:r>
      <w:r>
        <w:t xml:space="preserve">- 雙向+同步（UADT配對）：下咽↔食道60%在6個月內，方向p=0.70</w:t>
      </w:r>
      <w:r>
        <w:t xml:space="preserve"> </w:t>
      </w:r>
      <w:r>
        <w:t xml:space="preserve">- 單向+延遲（乳腺→肺，n=97）：影像監測偵測型模式</w:t>
      </w:r>
      <w:r>
        <w:t xml:space="preserve"> </w:t>
      </w:r>
      <w:r>
        <w:t xml:space="preserve">- 69/179個配對FDR&lt;0.05（總體288,424人年）</w:t>
      </w:r>
    </w:p>
    <w:p>
      <w:r>
        <w:pict>
          <v:rect style="width:0;height:1.5pt" o:hralign="center" o:hrstd="t" o:hr="t"/>
        </w:pict>
      </w:r>
    </w:p>
    <w:bookmarkEnd w:id="26"/>
    <w:bookmarkStart w:id="30" w:name="五深度學習潛在空間與三軸癌症分類"/>
    <w:p>
      <w:pPr>
        <w:pStyle w:val="Heading2"/>
      </w:pPr>
      <w:r>
        <w:t xml:space="preserve">五、深度學習潛在空間與三軸癌症分類</w:t>
      </w:r>
    </w:p>
    <w:bookmarkStart w:id="27" w:name="變分自動編碼器vae的低維潛在結構"/>
    <w:p>
      <w:pPr>
        <w:pStyle w:val="Heading3"/>
      </w:pPr>
      <w:r>
        <w:t xml:space="preserve">5.1 變分自動編碼器（VAE）的低維潛在結構</w:t>
      </w:r>
    </w:p>
    <w:p>
      <w:pPr>
        <w:pStyle w:val="FirstParagraph"/>
      </w:pPr>
      <w:r>
        <w:t xml:space="preserve">以CMUH機構登錄78,442名患者×37個部位的共病矩陣訓練VAE（12個潛在維度），僅3個維度呈現KL活躍（KL&gt;0.1），代表CMUH患者群體的癌症共病空間由三個主要致癌過程主宰：</w:t>
      </w:r>
    </w:p>
    <w:tbl>
      <w:tblPr>
        <w:tblStyle w:val="Table"/>
        <w:tblW w:type="pct" w:w="5000"/>
        <w:tblLook w:firstRow="1" w:lastRow="0" w:firstColumn="0" w:lastColumn="0" w:noHBand="0" w:noVBand="0" w:val="0020"/>
      </w:tblPr>
      <w:tblGrid>
        <w:gridCol w:w="1011"/>
        <w:gridCol w:w="1853"/>
        <w:gridCol w:w="1685"/>
        <w:gridCol w:w="1685"/>
        <w:gridCol w:w="1685"/>
      </w:tblGrid>
      <w:tr>
        <w:trPr>
          <w:tblHeader w:val="true"/>
        </w:trPr>
        <w:tc>
          <w:tcPr/>
          <w:p>
            <w:pPr>
              <w:pStyle w:val="Compact"/>
              <w:jc w:val="left"/>
            </w:pPr>
            <w:r>
              <w:t xml:space="preserve">維度</w:t>
            </w:r>
          </w:p>
        </w:tc>
        <w:tc>
          <w:tcPr/>
          <w:p>
            <w:pPr>
              <w:pStyle w:val="Compact"/>
              <w:jc w:val="left"/>
            </w:pPr>
            <w:r>
              <w:t xml:space="preserve">生物學識別</w:t>
            </w:r>
          </w:p>
        </w:tc>
        <w:tc>
          <w:tcPr/>
          <w:p>
            <w:pPr>
              <w:pStyle w:val="Compact"/>
              <w:jc w:val="left"/>
            </w:pPr>
            <w:r>
              <w:t xml:space="preserve">性別偏向</w:t>
            </w:r>
          </w:p>
        </w:tc>
        <w:tc>
          <w:tcPr/>
          <w:p>
            <w:pPr>
              <w:pStyle w:val="Compact"/>
              <w:jc w:val="left"/>
            </w:pPr>
            <w:r>
              <w:t xml:space="preserve">年齡相關</w:t>
            </w:r>
          </w:p>
        </w:tc>
        <w:tc>
          <w:tcPr/>
          <w:p>
            <w:pPr>
              <w:pStyle w:val="Compact"/>
              <w:jc w:val="left"/>
            </w:pPr>
            <w:r>
              <w:t xml:space="preserve">時代趨勢</w:t>
            </w:r>
          </w:p>
        </w:tc>
      </w:tr>
      <w:tr>
        <w:tc>
          <w:tcPr/>
          <w:p>
            <w:pPr>
              <w:pStyle w:val="Compact"/>
              <w:jc w:val="left"/>
            </w:pPr>
            <w:r>
              <w:t xml:space="preserve">z4</w:t>
            </w:r>
          </w:p>
        </w:tc>
        <w:tc>
          <w:tcPr/>
          <w:p>
            <w:pPr>
              <w:pStyle w:val="Compact"/>
              <w:jc w:val="left"/>
            </w:pPr>
            <w:r>
              <w:t xml:space="preserve">UADT/場域致癌</w:t>
            </w:r>
          </w:p>
        </w:tc>
        <w:tc>
          <w:tcPr/>
          <w:p>
            <w:pPr>
              <w:pStyle w:val="Compact"/>
              <w:jc w:val="left"/>
            </w:pPr>
            <w:r>
              <w:t xml:space="preserve">男性（RBI=0.62）</w:t>
            </w:r>
          </w:p>
        </w:tc>
        <w:tc>
          <w:tcPr/>
          <w:p>
            <w:pPr>
              <w:pStyle w:val="Compact"/>
              <w:jc w:val="left"/>
            </w:pPr>
            <w:r>
              <w:t xml:space="preserve">ρ=−0.23（年輕）</w:t>
            </w:r>
          </w:p>
        </w:tc>
        <w:tc>
          <w:tcPr/>
          <w:p>
            <w:pPr>
              <w:pStyle w:val="Compact"/>
              <w:jc w:val="left"/>
            </w:pPr>
            <w:r>
              <w:t xml:space="preserve">ρ=+0.003（穩定）</w:t>
            </w:r>
          </w:p>
        </w:tc>
      </w:tr>
      <w:tr>
        <w:tc>
          <w:tcPr/>
          <w:p>
            <w:pPr>
              <w:pStyle w:val="Compact"/>
              <w:jc w:val="left"/>
            </w:pPr>
            <w:r>
              <w:t xml:space="preserve">z0</w:t>
            </w:r>
          </w:p>
        </w:tc>
        <w:tc>
          <w:tcPr/>
          <w:p>
            <w:pPr>
              <w:pStyle w:val="Compact"/>
              <w:jc w:val="left"/>
            </w:pPr>
            <w:r>
              <w:t xml:space="preserve">荷爾蒙/婦科</w:t>
            </w:r>
          </w:p>
        </w:tc>
        <w:tc>
          <w:tcPr/>
          <w:p>
            <w:pPr>
              <w:pStyle w:val="Compact"/>
              <w:jc w:val="left"/>
            </w:pPr>
            <w:r>
              <w:t xml:space="preserve">女性（RBI=−0.16）</w:t>
            </w:r>
          </w:p>
        </w:tc>
        <w:tc>
          <w:tcPr/>
          <w:p>
            <w:pPr>
              <w:pStyle w:val="Compact"/>
              <w:jc w:val="left"/>
            </w:pPr>
            <w:r>
              <w:t xml:space="preserve">ρ=+0.11（年長）</w:t>
            </w:r>
          </w:p>
        </w:tc>
        <w:tc>
          <w:tcPr/>
          <w:p>
            <w:pPr>
              <w:pStyle w:val="Compact"/>
              <w:jc w:val="left"/>
            </w:pPr>
            <w:r>
              <w:t xml:space="preserve">ρ=+0.11（上升）</w:t>
            </w:r>
          </w:p>
        </w:tc>
      </w:tr>
      <w:tr>
        <w:tc>
          <w:tcPr/>
          <w:p>
            <w:pPr>
              <w:pStyle w:val="Compact"/>
              <w:jc w:val="left"/>
            </w:pPr>
            <w:r>
              <w:t xml:space="preserve">z5</w:t>
            </w:r>
          </w:p>
        </w:tc>
        <w:tc>
          <w:tcPr/>
          <w:p>
            <w:pPr>
              <w:pStyle w:val="Compact"/>
              <w:jc w:val="left"/>
            </w:pPr>
            <w:r>
              <w:t xml:space="preserve">荷爾蒙/婦科（第二）</w:t>
            </w:r>
          </w:p>
        </w:tc>
        <w:tc>
          <w:tcPr/>
          <w:p>
            <w:pPr>
              <w:pStyle w:val="Compact"/>
              <w:jc w:val="left"/>
            </w:pPr>
            <w:r>
              <w:t xml:space="preserve">女性（RBI=−0.41）</w:t>
            </w:r>
          </w:p>
        </w:tc>
        <w:tc>
          <w:tcPr/>
          <w:p>
            <w:pPr>
              <w:pStyle w:val="Compact"/>
              <w:jc w:val="left"/>
            </w:pPr>
            <w:r>
              <w:t xml:space="preserve">ρ=+0.33（年長）</w:t>
            </w:r>
          </w:p>
        </w:tc>
        <w:tc>
          <w:tcPr/>
          <w:p>
            <w:pPr>
              <w:pStyle w:val="Compact"/>
              <w:jc w:val="left"/>
            </w:pPr>
            <w:r>
              <w:t xml:space="preserve">ρ=+0.07（上升）</w:t>
            </w:r>
          </w:p>
        </w:tc>
      </w:tr>
    </w:tbl>
    <w:p>
      <w:pPr>
        <w:pStyle w:val="BodyText"/>
      </w:pPr>
      <w:r>
        <w:t xml:space="preserve">z4的時代穩定性反映台灣UADT致癌暴露（主要為檳榔）在2003–2020年間維持不變；z0/z5的上升反映婦科癌症（尤其子宮體癌）的逐漸增加，可能與代謝症候群盛行率上升有關。</w:t>
      </w:r>
    </w:p>
    <w:bookmarkEnd w:id="27"/>
    <w:bookmarkStart w:id="28" w:name="五群體分類與ph假設的重大修正"/>
    <w:p>
      <w:pPr>
        <w:pStyle w:val="Heading3"/>
      </w:pPr>
      <w:r>
        <w:t xml:space="preserve">5.2 五群體分類與PH假設的重大修正</w:t>
      </w:r>
    </w:p>
    <w:p>
      <w:pPr>
        <w:pStyle w:val="FirstParagraph"/>
      </w:pPr>
      <w:r>
        <w:t xml:space="preserve">KMeans k=5群體的全時間段Cox模型中，Cluster 3的HR=44（95%CI 12.8–151）曾為最引人注目的發現。Schoenfeld殘差檢定（χ²=177.6，p=10⁻⁴⁰）確認此為PH假設的根本性違反：C3患者以胃癌（C16）為主，中短期死亡率高；存活至晚期者則以子宮體癌（C54）為主，死亡率低。強迫單一比例風險模型描述此混合模式，導致數值極端膨脹。</w:t>
      </w:r>
    </w:p>
    <w:p>
      <w:pPr>
        <w:pStyle w:val="BodyText"/>
      </w:pPr>
      <w:r>
        <w:t xml:space="preserve">二時段Cox（landmark=2年）的正確結果：</w:t>
      </w:r>
      <w:r>
        <w:t xml:space="preserve"> </w:t>
      </w:r>
      <w:r>
        <w:t xml:space="preserve">- C3 HR=0.935（早期，p=0.004）</w:t>
      </w:r>
      <w:r>
        <w:t xml:space="preserve"> </w:t>
      </w:r>
      <w:r>
        <w:t xml:space="preserve">- C3 HR=0.870（晚期，p≈0）</w:t>
      </w:r>
    </w:p>
    <w:p>
      <w:pPr>
        <w:pStyle w:val="BodyText"/>
      </w:pPr>
      <w:r>
        <w:t xml:space="preserve">C3實際上是比參照群體C2更低的死亡風險群體；HR=44是方法學假象，而非真實的生物學風險。此結論擴及整個模型：5項共變數中5項違反PH假設（C1 χ²=317.7，C4 χ²=1093.7，年齡 χ²=273.3，性別 χ²=119.7），全時間段Cox結果均須以二時段模型替代。</w:t>
      </w:r>
    </w:p>
    <w:bookmarkEnd w:id="28"/>
    <w:bookmarkStart w:id="29" w:name="群體生物學標籤待完成"/>
    <w:p>
      <w:pPr>
        <w:pStyle w:val="Heading3"/>
      </w:pPr>
      <w:r>
        <w:t xml:space="preserve">5.3 群體生物學標籤（待完成）</w:t>
      </w:r>
    </w:p>
    <w:p>
      <w:pPr>
        <w:numPr>
          <w:ilvl w:val="0"/>
          <w:numId w:val="1001"/>
        </w:numPr>
        <w:pStyle w:val="Compact"/>
      </w:pPr>
      <w:r>
        <w:t xml:space="preserve">C0（n=17,449，死亡率21%）：荷爾蒙/婦科主導</w:t>
      </w:r>
    </w:p>
    <w:p>
      <w:pPr>
        <w:numPr>
          <w:ilvl w:val="0"/>
          <w:numId w:val="1001"/>
        </w:numPr>
        <w:pStyle w:val="Compact"/>
      </w:pPr>
      <w:r>
        <w:t xml:space="preserve">C1（n=13,089，死亡率63%）：C34肺/C61攝護腺/C71腦/C22肝——可能為放射線誘發或HBV/代謝</w:t>
      </w:r>
    </w:p>
    <w:p>
      <w:pPr>
        <w:numPr>
          <w:ilvl w:val="0"/>
          <w:numId w:val="1001"/>
        </w:numPr>
        <w:pStyle w:val="Compact"/>
      </w:pPr>
      <w:r>
        <w:t xml:space="preserve">C2（n=25,174，死亡率51%）：C20直腸/C77淋巴結——可能為轉移富集</w:t>
      </w:r>
    </w:p>
    <w:p>
      <w:pPr>
        <w:numPr>
          <w:ilvl w:val="0"/>
          <w:numId w:val="1001"/>
        </w:numPr>
        <w:pStyle w:val="Compact"/>
      </w:pPr>
      <w:r>
        <w:t xml:space="preserve">C3（n=10,576，死亡率48%）：C54子宮體/C56卵巢/C16胃——混合GI/婦科</w:t>
      </w:r>
    </w:p>
    <w:p>
      <w:pPr>
        <w:numPr>
          <w:ilvl w:val="0"/>
          <w:numId w:val="1001"/>
        </w:numPr>
        <w:pStyle w:val="Compact"/>
      </w:pPr>
      <w:r>
        <w:t xml:space="preserve">C4（n=12,154，死亡率77%）：待標記（最高死亡率）</w:t>
      </w:r>
    </w:p>
    <w:p>
      <w:r>
        <w:pict>
          <v:rect style="width:0;height:1.5pt" o:hralign="center" o:hrstd="t" o:hr="t"/>
        </w:pict>
      </w:r>
    </w:p>
    <w:bookmarkEnd w:id="29"/>
    <w:bookmarkEnd w:id="30"/>
    <w:bookmarkStart w:id="34" w:name="六序列感知癌症監測日曆"/>
    <w:p>
      <w:pPr>
        <w:pStyle w:val="Heading2"/>
      </w:pPr>
      <w:r>
        <w:t xml:space="preserve">六、序列感知癌症監測日曆</w:t>
      </w:r>
    </w:p>
    <w:bookmarkStart w:id="31" w:name="cancer-bert-transformer"/>
    <w:p>
      <w:pPr>
        <w:pStyle w:val="Heading3"/>
      </w:pPr>
      <w:r>
        <w:t xml:space="preserve">6.1 Cancer-BERT Transformer</w:t>
      </w:r>
    </w:p>
    <w:p>
      <w:pPr>
        <w:pStyle w:val="FirstParagraph"/>
      </w:pPr>
      <w:r>
        <w:t xml:space="preserve">以2層/4頭/d=64的BERT架構（參數量76k）進行leave-one-out masked訓練（4,052名多重癌症患者，8,538訓練樣本），在雙向重建任務（bidirectional）中達到：R@1=0.312（2.4×MLP基準），R@3=0.562，R@5=0.711。</w:t>
      </w:r>
    </w:p>
    <w:bookmarkEnd w:id="31"/>
    <w:bookmarkStart w:id="32" w:name="監測日曆script-12"/>
    <w:p>
      <w:pPr>
        <w:pStyle w:val="Heading3"/>
      </w:pPr>
      <w:r>
        <w:t xml:space="preserve">6.2 監測日曆（Script 12）</w:t>
      </w:r>
    </w:p>
    <w:p>
      <w:pPr>
        <w:pStyle w:val="FirstParagraph"/>
      </w:pPr>
      <w:r>
        <w:t xml:space="preserve">採用臨床現實情境查詢：</w:t>
      </w:r>
      <w:r>
        <w:rPr>
          <w:rStyle w:val="VerbatimChar"/>
        </w:rPr>
        <w:t xml:space="preserve">[CLS, 首發癌症, MASK]</w:t>
      </w:r>
      <w:r>
        <w:t xml:space="preserve">，僅使用首發診斷，模擬臨床一線醫師在首診時的預測場景。</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數值</w:t>
            </w:r>
          </w:p>
        </w:tc>
        <w:tc>
          <w:tcPr/>
          <w:p>
            <w:pPr>
              <w:pStyle w:val="Compact"/>
              <w:jc w:val="left"/>
            </w:pPr>
            <w:r>
              <w:t xml:space="preserve">說明</w:t>
            </w:r>
          </w:p>
        </w:tc>
      </w:tr>
      <w:tr>
        <w:tc>
          <w:tcPr/>
          <w:p>
            <w:pPr>
              <w:pStyle w:val="Compact"/>
              <w:jc w:val="left"/>
            </w:pPr>
            <w:r>
              <w:t xml:space="preserve">R@1</w:t>
            </w:r>
          </w:p>
        </w:tc>
        <w:tc>
          <w:tcPr/>
          <w:p>
            <w:pPr>
              <w:pStyle w:val="Compact"/>
              <w:jc w:val="left"/>
            </w:pPr>
            <w:r>
              <w:t xml:space="preserve">0.232</w:t>
            </w:r>
          </w:p>
        </w:tc>
        <w:tc>
          <w:tcPr/>
          <w:p>
            <w:pPr>
              <w:pStyle w:val="Compact"/>
              <w:jc w:val="left"/>
            </w:pPr>
            <w:r>
              <w:t xml:space="preserve">8.6×隨機基準（1/37）</w:t>
            </w:r>
          </w:p>
        </w:tc>
      </w:tr>
      <w:tr>
        <w:tc>
          <w:tcPr/>
          <w:p>
            <w:pPr>
              <w:pStyle w:val="Compact"/>
              <w:jc w:val="left"/>
            </w:pPr>
            <w:r>
              <w:t xml:space="preserve">R@3</w:t>
            </w:r>
          </w:p>
        </w:tc>
        <w:tc>
          <w:tcPr/>
          <w:p>
            <w:pPr>
              <w:pStyle w:val="Compact"/>
              <w:jc w:val="left"/>
            </w:pPr>
            <w:r>
              <w:t xml:space="preserve">0.498</w:t>
            </w:r>
          </w:p>
        </w:tc>
        <w:tc>
          <w:tcPr/>
          <w:p>
            <w:pPr>
              <w:pStyle w:val="Compact"/>
              <w:jc w:val="left"/>
            </w:pPr>
            <w:r>
              <w:t xml:space="preserve">前三名涵蓋約半數真實後繼癌症</w:t>
            </w:r>
          </w:p>
        </w:tc>
      </w:tr>
      <w:tr>
        <w:tc>
          <w:tcPr/>
          <w:p>
            <w:pPr>
              <w:pStyle w:val="Compact"/>
              <w:jc w:val="left"/>
            </w:pPr>
            <w:r>
              <w:t xml:space="preserve">R@5</w:t>
            </w:r>
          </w:p>
        </w:tc>
        <w:tc>
          <w:tcPr/>
          <w:p>
            <w:pPr>
              <w:pStyle w:val="Compact"/>
              <w:jc w:val="left"/>
            </w:pPr>
            <w:r>
              <w:t xml:space="preserve">0.664</w:t>
            </w:r>
          </w:p>
        </w:tc>
        <w:tc>
          <w:tcPr/>
          <w:p>
            <w:pPr>
              <w:pStyle w:val="Compact"/>
              <w:jc w:val="left"/>
            </w:pPr>
            <w:r>
              <w:t xml:space="preserve">前五名涵蓋三分之二患者</w:t>
            </w:r>
          </w:p>
        </w:tc>
      </w:tr>
      <w:tr>
        <w:tc>
          <w:tcPr/>
          <w:p>
            <w:pPr>
              <w:pStyle w:val="Compact"/>
              <w:jc w:val="left"/>
            </w:pPr>
            <w:r>
              <w:t xml:space="preserve">中位癌間間距</w:t>
            </w:r>
          </w:p>
        </w:tc>
        <w:tc>
          <w:tcPr/>
          <w:p>
            <w:pPr>
              <w:pStyle w:val="Compact"/>
              <w:jc w:val="left"/>
            </w:pPr>
            <w:r>
              <w:t xml:space="preserve">789天（2.2年）</w:t>
            </w:r>
          </w:p>
        </w:tc>
        <w:tc>
          <w:tcPr/>
          <w:p>
            <w:pPr>
              <w:pStyle w:val="Compact"/>
              <w:jc w:val="left"/>
            </w:pPr>
            <w:r>
              <w:t xml:space="preserve">IQR 461–1,175天</w:t>
            </w:r>
          </w:p>
        </w:tc>
      </w:tr>
      <w:tr>
        <w:tc>
          <w:tcPr/>
          <w:p>
            <w:pPr>
              <w:pStyle w:val="Compact"/>
              <w:jc w:val="left"/>
            </w:pPr>
            <w:r>
              <w:t xml:space="preserve">C12/C13→C15在6個月內</w:t>
            </w:r>
          </w:p>
        </w:tc>
        <w:tc>
          <w:tcPr/>
          <w:p>
            <w:pPr>
              <w:pStyle w:val="Compact"/>
              <w:jc w:val="left"/>
            </w:pPr>
            <w:r>
              <w:t xml:space="preserve">74%</w:t>
            </w:r>
          </w:p>
        </w:tc>
        <w:tc>
          <w:tcPr/>
          <w:p>
            <w:pPr>
              <w:pStyle w:val="Compact"/>
              <w:jc w:val="left"/>
            </w:pPr>
            <w:r>
              <w:t xml:space="preserve">與6個月食道鏡監測指引（Muto 2004）吻合</w:t>
            </w:r>
          </w:p>
        </w:tc>
      </w:tr>
      <w:tr>
        <w:tc>
          <w:tcPr/>
          <w:p>
            <w:pPr>
              <w:pStyle w:val="Compact"/>
              <w:jc w:val="left"/>
            </w:pPr>
            <w:r>
              <w:t xml:space="preserve">校準配對數</w:t>
            </w:r>
          </w:p>
        </w:tc>
        <w:tc>
          <w:tcPr/>
          <w:p>
            <w:pPr>
              <w:pStyle w:val="Compact"/>
              <w:jc w:val="left"/>
            </w:pPr>
            <w:r>
              <w:t xml:space="preserve">519個部位配對</w:t>
            </w:r>
          </w:p>
        </w:tc>
        <w:tc>
          <w:tcPr/>
          <w:p>
            <w:pPr>
              <w:pStyle w:val="Compact"/>
              <w:jc w:val="left"/>
            </w:pPr>
            <w:r>
              <w:t xml:space="preserve">涵蓋訓練集中的時序分佈Q1/中位數/Q3</w:t>
            </w:r>
          </w:p>
        </w:tc>
      </w:tr>
    </w:tbl>
    <w:bookmarkEnd w:id="32"/>
    <w:bookmarkStart w:id="33" w:name="多病史擴展的負面發現與bert限制"/>
    <w:p>
      <w:pPr>
        <w:pStyle w:val="Heading3"/>
      </w:pPr>
      <w:r>
        <w:t xml:space="preserve">6.3 多病史擴展的負面發現與BERT限制</w:t>
      </w:r>
    </w:p>
    <w:p>
      <w:pPr>
        <w:pStyle w:val="FirstParagraph"/>
      </w:pPr>
      <w:r>
        <w:t xml:space="preserve">以k=2（兩個癌症歷史）作為預測背景時，R@1=0.205（低於k=1的0.232），呈現「更多歷史反而更差」的悖論。根本原因：BERT雙向訓練架構對因果預測任務（以過去預測未來）存在根本性訓練/推論不匹配。模型在訓練時同時看到所有癌症（包括未來的），推論時僅有過去可用，導致模型退化為預測最常見的後繼癌症（C18大腸，約40%患者的Top-1預測）而喪失個人化預測能力。</w:t>
      </w:r>
    </w:p>
    <w:p>
      <w:pPr>
        <w:pStyle w:val="BodyText"/>
      </w:pPr>
      <w:r>
        <w:t xml:space="preserve">下一步方向：以GPT式因果訓練（下三角注意力掩碼）重新訓練，預期R@1可恢復至0.15–0.25。</w:t>
      </w:r>
    </w:p>
    <w:p>
      <w:r>
        <w:pict>
          <v:rect style="width:0;height:1.5pt" o:hralign="center" o:hrstd="t" o:hr="t"/>
        </w:pict>
      </w:r>
    </w:p>
    <w:bookmarkEnd w:id="33"/>
    <w:bookmarkEnd w:id="34"/>
    <w:bookmarkStart w:id="37" w:name="七b型肝炎腸胃道系統致癌軸"/>
    <w:p>
      <w:pPr>
        <w:pStyle w:val="Heading2"/>
      </w:pPr>
      <w:r>
        <w:t xml:space="preserve">七、B型肝炎/腸胃道系統致癌軸</w:t>
      </w:r>
    </w:p>
    <w:p>
      <w:pPr>
        <w:pStyle w:val="FirstParagraph"/>
      </w:pPr>
      <w:r>
        <w:t xml:space="preserve">台灣成年人HBV血清陽性率歷史上高達15–20%（1986年前出生世代），構成台灣癌症分布的獨特背景。本子計畫以三角驗證方法論確認HBV/GI軸的獨立存在。</w:t>
      </w:r>
    </w:p>
    <w:bookmarkStart w:id="35" w:name="三角驗證"/>
    <w:p>
      <w:pPr>
        <w:pStyle w:val="Heading3"/>
      </w:pPr>
      <w:r>
        <w:t xml:space="preserve">7.1 三角驗證</w:t>
      </w:r>
    </w:p>
    <w:p>
      <w:pPr>
        <w:pStyle w:val="FirstParagraph"/>
      </w:pPr>
      <w:r>
        <w:rPr>
          <w:bCs/>
          <w:b/>
        </w:rPr>
        <w:t xml:space="preserve">方法1：SIR分析</w:t>
      </w:r>
      <w:r>
        <w:t xml:space="preserve"> </w:t>
      </w:r>
      <w:r>
        <w:t xml:space="preserve">C22肝HCC作為第二原發癌症的SIR在所有指數部位均&lt;&lt;1（p&lt;0.001）。此看似「陰性」的結果實為生物學預期：HBV感染者HCC傾向作為首個惡性腫瘤出現；一旦非肝臟首發癌出現，此患者的HBV易感池已被預先篩除，且HCC存活率低（5年約15%），存活下來發展順序型第二癌的機率極低。</w:t>
      </w:r>
    </w:p>
    <w:p>
      <w:pPr>
        <w:pStyle w:val="BodyText"/>
      </w:pPr>
      <w:r>
        <w:rPr>
          <w:bCs/>
          <w:b/>
        </w:rPr>
        <w:t xml:space="preserve">方法2：共發生OR矩陣（多重原發子隊列）</w:t>
      </w:r>
      <w:r>
        <w:t xml:space="preserve"> </w:t>
      </w:r>
      <w:r>
        <w:t xml:space="preserve">- UADT部位對C22的共發生OR=0.11–0.35（強烈排斥）</w:t>
      </w:r>
      <w:r>
        <w:t xml:space="preserve"> </w:t>
      </w:r>
      <w:r>
        <w:t xml:space="preserve">- GI/系統部位對C22的OR=0.51–1.14（近中性，屬同軸共病）</w:t>
      </w:r>
      <w:r>
        <w:t xml:space="preserve"> </w:t>
      </w:r>
      <w:r>
        <w:t xml:space="preserve">- 兩軸在共病結構上完全不重疊</w:t>
      </w:r>
    </w:p>
    <w:p>
      <w:pPr>
        <w:pStyle w:val="BodyText"/>
      </w:pPr>
      <w:r>
        <w:rPr>
          <w:bCs/>
          <w:b/>
        </w:rPr>
        <w:t xml:space="preserve">方法3：Transformer後驗機率</w:t>
      </w:r>
      <w:r>
        <w:t xml:space="preserve"> </w:t>
      </w:r>
      <w:r>
        <w:t xml:space="preserve">- P(C22∈top-3 | GI指數部位)=0.83</w:t>
      </w:r>
      <w:r>
        <w:t xml:space="preserve"> </w:t>
      </w:r>
      <w:r>
        <w:t xml:space="preserve">- P(C22∈top-3 | UADT指數部位)=0.09</w:t>
      </w:r>
    </w:p>
    <w:bookmarkEnd w:id="35"/>
    <w:bookmarkStart w:id="36" w:name="兩個獨立非重疊致癌軸的確立"/>
    <w:p>
      <w:pPr>
        <w:pStyle w:val="Heading3"/>
      </w:pPr>
      <w:r>
        <w:t xml:space="preserve">7.2 兩個獨立非重疊致癌軸的確立</w:t>
      </w:r>
    </w:p>
    <w:tbl>
      <w:tblPr>
        <w:tblStyle w:val="Table"/>
        <w:tblW w:type="pct" w:w="5000"/>
        <w:tblLook w:firstRow="1" w:lastRow="0" w:firstColumn="0" w:lastColumn="0" w:noHBand="0" w:noVBand="0" w:val="0020"/>
      </w:tblPr>
      <w:tblGrid>
        <w:gridCol w:w="990"/>
        <w:gridCol w:w="1485"/>
        <w:gridCol w:w="2970"/>
        <w:gridCol w:w="2475"/>
      </w:tblGrid>
      <w:tr>
        <w:trPr>
          <w:tblHeader w:val="true"/>
        </w:trPr>
        <w:tc>
          <w:tcPr/>
          <w:p>
            <w:pPr>
              <w:pStyle w:val="Compact"/>
              <w:jc w:val="left"/>
            </w:pPr>
            <w:r>
              <w:t xml:space="preserve">軸</w:t>
            </w:r>
          </w:p>
        </w:tc>
        <w:tc>
          <w:tcPr/>
          <w:p>
            <w:pPr>
              <w:pStyle w:val="Compact"/>
              <w:jc w:val="left"/>
            </w:pPr>
            <w:r>
              <w:t xml:space="preserve">部位</w:t>
            </w:r>
          </w:p>
        </w:tc>
        <w:tc>
          <w:tcPr/>
          <w:p>
            <w:pPr>
              <w:pStyle w:val="Compact"/>
              <w:jc w:val="left"/>
            </w:pPr>
            <w:r>
              <w:t xml:space="preserve">推測驅動因子</w:t>
            </w:r>
          </w:p>
        </w:tc>
        <w:tc>
          <w:tcPr/>
          <w:p>
            <w:pPr>
              <w:pStyle w:val="Compact"/>
              <w:jc w:val="left"/>
            </w:pPr>
            <w:r>
              <w:t xml:space="preserve">驗證來源</w:t>
            </w:r>
          </w:p>
        </w:tc>
      </w:tr>
      <w:tr>
        <w:tc>
          <w:tcPr/>
          <w:p>
            <w:pPr>
              <w:pStyle w:val="Compact"/>
              <w:jc w:val="left"/>
            </w:pPr>
            <w:r>
              <w:t xml:space="preserve">UADT/場域軸</w:t>
            </w:r>
          </w:p>
        </w:tc>
        <w:tc>
          <w:tcPr/>
          <w:p>
            <w:pPr>
              <w:pStyle w:val="Compact"/>
              <w:jc w:val="left"/>
            </w:pPr>
            <w:r>
              <w:t xml:space="preserve">C12↔C13↔C15、C06/C02</w:t>
            </w:r>
          </w:p>
        </w:tc>
        <w:tc>
          <w:tcPr/>
          <w:p>
            <w:pPr>
              <w:pStyle w:val="Compact"/>
              <w:jc w:val="left"/>
            </w:pPr>
            <w:r>
              <w:t xml:space="preserve">檳榔/菸草/酒精</w:t>
            </w:r>
          </w:p>
        </w:tc>
        <w:tc>
          <w:tcPr/>
          <w:p>
            <w:pPr>
              <w:pStyle w:val="Compact"/>
              <w:jc w:val="left"/>
            </w:pPr>
            <w:r>
              <w:t xml:space="preserve">SIR=2.86–4.67；TV-Cox HR=2.14；對稱=0.879</w:t>
            </w:r>
          </w:p>
        </w:tc>
      </w:tr>
      <w:tr>
        <w:tc>
          <w:tcPr/>
          <w:p>
            <w:pPr>
              <w:pStyle w:val="Compact"/>
              <w:jc w:val="left"/>
            </w:pPr>
            <w:r>
              <w:t xml:space="preserve">HBV/GI系統軸</w:t>
            </w:r>
          </w:p>
        </w:tc>
        <w:tc>
          <w:tcPr/>
          <w:p>
            <w:pPr>
              <w:pStyle w:val="Compact"/>
              <w:jc w:val="left"/>
            </w:pPr>
            <w:r>
              <w:t xml:space="preserve">C22+C18+C16+C34+C61+C67</w:t>
            </w:r>
          </w:p>
        </w:tc>
        <w:tc>
          <w:tcPr/>
          <w:p>
            <w:pPr>
              <w:pStyle w:val="Compact"/>
              <w:jc w:val="left"/>
            </w:pPr>
            <w:r>
              <w:t xml:space="preserve">HBV感染/NAFLD/代謝症候群</w:t>
            </w:r>
          </w:p>
        </w:tc>
        <w:tc>
          <w:tcPr/>
          <w:p>
            <w:pPr>
              <w:pStyle w:val="Compact"/>
              <w:jc w:val="left"/>
            </w:pPr>
            <w:r>
              <w:t xml:space="preserve">C22 ρ=−0.983；OR矩陣；Transformer P=0.83</w:t>
            </w:r>
          </w:p>
        </w:tc>
      </w:tr>
    </w:tbl>
    <w:p>
      <w:r>
        <w:pict>
          <v:rect style="width:0;height:1.5pt" o:hralign="center" o:hrstd="t" o:hr="t"/>
        </w:pict>
      </w:r>
    </w:p>
    <w:bookmarkEnd w:id="36"/>
    <w:bookmarkEnd w:id="37"/>
    <w:bookmarkStart w:id="40" w:name="八癌症發生率的時序趨勢分析"/>
    <w:p>
      <w:pPr>
        <w:pStyle w:val="Heading2"/>
      </w:pPr>
      <w:r>
        <w:t xml:space="preserve">八、癌症發生率的時序趨勢分析</w:t>
      </w:r>
    </w:p>
    <w:bookmarkStart w:id="38" w:name="時序自相關修正方法chelton-1983"/>
    <w:p>
      <w:pPr>
        <w:pStyle w:val="Heading3"/>
      </w:pPr>
      <w:r>
        <w:t xml:space="preserve">8.1 時序自相關修正方法（Chelton 1983）</w:t>
      </w:r>
    </w:p>
    <w:p>
      <w:pPr>
        <w:pStyle w:val="FirstParagraph"/>
      </w:pPr>
      <w:r>
        <w:t xml:space="preserve">傳統Spearman ρ對18年時間序列（n=18個年度觀察值）的顯著性檢定，在AR(1)自相關係數φ≥0.5時，有效自由度可從16降至僅約6，造成第一類錯誤膨脹。本研究引入有效樣本量修正法：</w:t>
      </w:r>
    </w:p>
    <w:p>
      <w:pPr>
        <w:pStyle w:val="BodyText"/>
      </w:pPr>
      <m:oMathPara>
        <m:oMathParaPr>
          <m:jc m:val="center"/>
        </m:oMathParaPr>
        <m:oMath>
          <m:sSub>
            <m:e>
              <m:r>
                <m:t>n</m:t>
              </m:r>
            </m:e>
            <m:sub>
              <m:r>
                <m:t>e</m:t>
              </m:r>
              <m:r>
                <m:t>f</m:t>
              </m:r>
              <m:r>
                <m:t>f</m:t>
              </m:r>
            </m:sub>
          </m:sSub>
          <m:r>
            <m:rPr>
              <m:sty m:val="p"/>
            </m:rPr>
            <m:t>=</m:t>
          </m:r>
          <m:r>
            <m:t>n</m:t>
          </m:r>
          <m:r>
            <m:rPr>
              <m:sty m:val="p"/>
            </m:rPr>
            <m:t>⋅</m:t>
          </m:r>
          <m:f>
            <m:fPr>
              <m:type m:val="bar"/>
            </m:fPr>
            <m:num>
              <m:r>
                <m:t>1</m:t>
              </m:r>
              <m:r>
                <m:rPr>
                  <m:sty m:val="p"/>
                </m:rPr>
                <m:t>−</m:t>
              </m:r>
              <m:acc>
                <m:accPr>
                  <m:chr m:val="̂"/>
                </m:accPr>
                <m:e>
                  <m:r>
                    <m:t>ϕ</m:t>
                  </m:r>
                </m:e>
              </m:acc>
            </m:num>
            <m:den>
              <m:r>
                <m:t>1</m:t>
              </m:r>
              <m:r>
                <m:rPr>
                  <m:sty m:val="p"/>
                </m:rPr>
                <m:t>+</m:t>
              </m:r>
              <m:acc>
                <m:accPr>
                  <m:chr m:val="̂"/>
                </m:accPr>
                <m:e>
                  <m:r>
                    <m:t>ϕ</m:t>
                  </m:r>
                </m:e>
              </m:acc>
            </m:den>
          </m:f>
          <m:r>
            <m:rPr>
              <m:sty m:val="p"/>
            </m:rPr>
            <m:t>,</m:t>
          </m:r>
          <m:r>
            <m:t> </m:t>
          </m:r>
          <m:sSup>
            <m:e>
              <m:r>
                <m:t>t</m:t>
              </m:r>
            </m:e>
            <m:sup>
              <m:r>
                <m:rPr>
                  <m:sty m:val="p"/>
                </m:rPr>
                <m:t>*</m:t>
              </m:r>
            </m:sup>
          </m:sSup>
          <m:r>
            <m:rPr>
              <m:sty m:val="p"/>
            </m:rPr>
            <m:t>=</m:t>
          </m:r>
          <m:r>
            <m:t>ρ</m:t>
          </m:r>
          <m:rad>
            <m:radPr>
              <m:degHide m:val="1"/>
            </m:radPr>
            <m:deg/>
            <m:e>
              <m:f>
                <m:fPr>
                  <m:type m:val="bar"/>
                </m:fPr>
                <m:num>
                  <m:sSub>
                    <m:e>
                      <m:r>
                        <m:t>n</m:t>
                      </m:r>
                    </m:e>
                    <m:sub>
                      <m:r>
                        <m:t>e</m:t>
                      </m:r>
                      <m:r>
                        <m:t>f</m:t>
                      </m:r>
                      <m:r>
                        <m:t>f</m:t>
                      </m:r>
                    </m:sub>
                  </m:sSub>
                  <m:r>
                    <m:rPr>
                      <m:sty m:val="p"/>
                    </m:rPr>
                    <m:t>−</m:t>
                  </m:r>
                  <m:r>
                    <m:t>2</m:t>
                  </m:r>
                </m:num>
                <m:den>
                  <m:r>
                    <m:t>1</m:t>
                  </m:r>
                  <m:r>
                    <m:rPr>
                      <m:sty m:val="p"/>
                    </m:rPr>
                    <m:t>−</m:t>
                  </m:r>
                  <m:sSup>
                    <m:e>
                      <m:r>
                        <m:t>ρ</m:t>
                      </m:r>
                    </m:e>
                    <m:sup>
                      <m:r>
                        <m:t>2</m:t>
                      </m:r>
                    </m:sup>
                  </m:sSup>
                </m:den>
              </m:f>
            </m:e>
          </m:rad>
        </m:oMath>
      </m:oMathPara>
    </w:p>
    <w:p>
      <w:pPr>
        <w:pStyle w:val="FirstParagraph"/>
      </w:pPr>
      <w:r>
        <w:t xml:space="preserve">修正後，26個原本達naive顯著的部位趨勢降至19個——7個部位被識別為自相關假象。三項預先登錄假設因ρ值足夠大（|ρ|=0.773–0.983），在修正後仍維持顯著。</w:t>
      </w:r>
    </w:p>
    <w:bookmarkEnd w:id="38"/>
    <w:bookmarkStart w:id="39" w:name="三項預先登錄假設的驗證"/>
    <w:p>
      <w:pPr>
        <w:pStyle w:val="Heading3"/>
      </w:pPr>
      <w:r>
        <w:t xml:space="preserve">8.2 三項預先登錄假設的驗證</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假設</w:t>
            </w:r>
          </w:p>
        </w:tc>
        <w:tc>
          <w:tcPr/>
          <w:p>
            <w:pPr>
              <w:pStyle w:val="Compact"/>
              <w:jc w:val="left"/>
            </w:pPr>
            <w:r>
              <w:t xml:space="preserve">部位</w:t>
            </w:r>
          </w:p>
        </w:tc>
        <w:tc>
          <w:tcPr/>
          <w:p>
            <w:pPr>
              <w:pStyle w:val="Compact"/>
              <w:jc w:val="left"/>
            </w:pPr>
            <w:r>
              <w:t xml:space="preserve">ρ</w:t>
            </w:r>
          </w:p>
        </w:tc>
        <w:tc>
          <w:tcPr/>
          <w:p>
            <w:pPr>
              <w:pStyle w:val="Compact"/>
              <w:jc w:val="left"/>
            </w:pPr>
            <w:r>
              <w:t xml:space="preserve">修正後p</w:t>
            </w:r>
          </w:p>
        </w:tc>
        <w:tc>
          <w:tcPr/>
          <w:p>
            <w:pPr>
              <w:pStyle w:val="Compact"/>
              <w:jc w:val="left"/>
            </w:pPr>
            <w:r>
              <w:t xml:space="preserve">結論</w:t>
            </w:r>
          </w:p>
        </w:tc>
      </w:tr>
      <w:tr>
        <w:tc>
          <w:tcPr/>
          <w:p>
            <w:pPr>
              <w:pStyle w:val="Compact"/>
              <w:jc w:val="left"/>
            </w:pPr>
            <w:r>
              <w:t xml:space="preserve">H1：C22因HBV疫苗下降</w:t>
            </w:r>
          </w:p>
        </w:tc>
        <w:tc>
          <w:tcPr/>
          <w:p>
            <w:pPr>
              <w:pStyle w:val="Compact"/>
              <w:jc w:val="left"/>
            </w:pPr>
            <w:r>
              <w:t xml:space="preserve">C22肝</w:t>
            </w:r>
          </w:p>
        </w:tc>
        <w:tc>
          <w:tcPr/>
          <w:p>
            <w:pPr>
              <w:pStyle w:val="Compact"/>
              <w:jc w:val="left"/>
            </w:pPr>
            <w:r>
              <w:t xml:space="preserve">−0.983</w:t>
            </w:r>
          </w:p>
        </w:tc>
        <w:tc>
          <w:tcPr/>
          <w:p>
            <w:pPr>
              <w:pStyle w:val="Compact"/>
              <w:jc w:val="left"/>
            </w:pPr>
            <w:r>
              <w:t xml:space="preserve">&lt;0.001</w:t>
            </w:r>
          </w:p>
        </w:tc>
        <w:tc>
          <w:tcPr/>
          <w:p>
            <w:pPr>
              <w:pStyle w:val="Compact"/>
              <w:jc w:val="left"/>
            </w:pPr>
            <w:r>
              <w:rPr>
                <w:bCs/>
                <w:b/>
              </w:rPr>
              <w:t xml:space="preserve">確認</w:t>
            </w:r>
          </w:p>
        </w:tc>
      </w:tr>
      <w:tr>
        <w:tc>
          <w:tcPr/>
          <w:p>
            <w:pPr>
              <w:pStyle w:val="Compact"/>
              <w:jc w:val="left"/>
            </w:pPr>
            <w:r>
              <w:t xml:space="preserve">H2：UADT因檳榔防制下降</w:t>
            </w:r>
          </w:p>
        </w:tc>
        <w:tc>
          <w:tcPr/>
          <w:p>
            <w:pPr>
              <w:pStyle w:val="Compact"/>
              <w:jc w:val="left"/>
            </w:pPr>
            <w:r>
              <w:t xml:space="preserve">C13下咽</w:t>
            </w:r>
          </w:p>
        </w:tc>
        <w:tc>
          <w:tcPr/>
          <w:p>
            <w:pPr>
              <w:pStyle w:val="Compact"/>
              <w:jc w:val="left"/>
            </w:pPr>
            <w:r>
              <w:t xml:space="preserve">−0.773</w:t>
            </w:r>
          </w:p>
        </w:tc>
        <w:tc>
          <w:tcPr/>
          <w:p>
            <w:pPr>
              <w:pStyle w:val="Compact"/>
              <w:jc w:val="left"/>
            </w:pPr>
            <w:r>
              <w:t xml:space="preserve">&lt;0.001</w:t>
            </w:r>
          </w:p>
        </w:tc>
        <w:tc>
          <w:tcPr/>
          <w:p>
            <w:pPr>
              <w:pStyle w:val="Compact"/>
              <w:jc w:val="left"/>
            </w:pPr>
            <w:r>
              <w:rPr>
                <w:bCs/>
                <w:b/>
              </w:rPr>
              <w:t xml:space="preserve">確認</w:t>
            </w:r>
          </w:p>
        </w:tc>
      </w:tr>
      <w:tr>
        <w:tc>
          <w:tcPr/>
          <w:p>
            <w:pPr>
              <w:pStyle w:val="Compact"/>
              <w:jc w:val="left"/>
            </w:pPr>
            <w:r>
              <w:t xml:space="preserve">H2b：C12梨狀竇同步下降</w:t>
            </w:r>
          </w:p>
        </w:tc>
        <w:tc>
          <w:tcPr/>
          <w:p>
            <w:pPr>
              <w:pStyle w:val="Compact"/>
              <w:jc w:val="left"/>
            </w:pPr>
            <w:r>
              <w:t xml:space="preserve">C12</w:t>
            </w:r>
          </w:p>
        </w:tc>
        <w:tc>
          <w:tcPr/>
          <w:p>
            <w:pPr>
              <w:pStyle w:val="Compact"/>
              <w:jc w:val="left"/>
            </w:pPr>
            <w:r>
              <w:t xml:space="preserve">+0.562</w:t>
            </w:r>
          </w:p>
        </w:tc>
        <w:tc>
          <w:tcPr/>
          <w:p>
            <w:pPr>
              <w:pStyle w:val="Compact"/>
              <w:jc w:val="left"/>
            </w:pPr>
            <w:r>
              <w:t xml:space="preserve">0.015</w:t>
            </w:r>
          </w:p>
        </w:tc>
        <w:tc>
          <w:tcPr/>
          <w:p>
            <w:pPr>
              <w:pStyle w:val="Compact"/>
              <w:jc w:val="left"/>
            </w:pPr>
            <w:r>
              <w:rPr>
                <w:bCs/>
                <w:b/>
              </w:rPr>
              <w:t xml:space="preserve">拒絕——反而上升</w:t>
            </w:r>
          </w:p>
        </w:tc>
      </w:tr>
      <w:tr>
        <w:tc>
          <w:tcPr/>
          <w:p>
            <w:pPr>
              <w:pStyle w:val="Compact"/>
              <w:jc w:val="left"/>
            </w:pPr>
            <w:r>
              <w:t xml:space="preserve">H3：荷爾蒙/代謝相關上升</w:t>
            </w:r>
          </w:p>
        </w:tc>
        <w:tc>
          <w:tcPr/>
          <w:p>
            <w:pPr>
              <w:pStyle w:val="Compact"/>
              <w:jc w:val="left"/>
            </w:pPr>
            <w:r>
              <w:t xml:space="preserve">C54子宮體</w:t>
            </w:r>
          </w:p>
        </w:tc>
        <w:tc>
          <w:tcPr/>
          <w:p>
            <w:pPr>
              <w:pStyle w:val="Compact"/>
              <w:jc w:val="left"/>
            </w:pPr>
            <w:r>
              <w:t xml:space="preserve">+0.925</w:t>
            </w:r>
          </w:p>
        </w:tc>
        <w:tc>
          <w:tcPr/>
          <w:p>
            <w:pPr>
              <w:pStyle w:val="Compact"/>
              <w:jc w:val="left"/>
            </w:pPr>
            <w:r>
              <w:t xml:space="preserve">&lt;0.001</w:t>
            </w:r>
          </w:p>
        </w:tc>
        <w:tc>
          <w:tcPr/>
          <w:p>
            <w:pPr>
              <w:pStyle w:val="Compact"/>
              <w:jc w:val="left"/>
            </w:pPr>
            <w:r>
              <w:rPr>
                <w:bCs/>
                <w:b/>
              </w:rPr>
              <w:t xml:space="preserve">確認</w:t>
            </w:r>
          </w:p>
        </w:tc>
      </w:tr>
    </w:tbl>
    <w:p>
      <w:pPr>
        <w:pStyle w:val="BodyText"/>
      </w:pPr>
      <w:r>
        <w:rPr>
          <w:bCs/>
          <w:b/>
        </w:rPr>
        <w:t xml:space="preserve">額外顯著趨勢</w:t>
      </w:r>
      <w:r>
        <w:t xml:space="preserve">：C53子宮頸ρ=−0.946（HPV意識/疫苗效益）；C61攝護腺ρ=+0.895（PSA篩檢時代發現偏差）。</w:t>
      </w:r>
    </w:p>
    <w:p>
      <w:pPr>
        <w:pStyle w:val="BodyText"/>
      </w:pPr>
      <w:r>
        <w:rPr>
          <w:bCs/>
          <w:b/>
        </w:rPr>
        <w:t xml:space="preserve">C12悖論</w:t>
      </w:r>
      <w:r>
        <w:t xml:space="preserve">：緊鄰的C12梨狀竇（上升）與C13下咽（下降）呈現反向趨勢，可能機制包括：梨狀竇因食道鏡監測普及被順帶偵測（監測偏差），或存在時間依賴的解剖編碼重分類。此發現需要臨床子研究釐清。</w:t>
      </w:r>
    </w:p>
    <w:p>
      <w:pPr>
        <w:pStyle w:val="BodyText"/>
      </w:pPr>
      <w:r>
        <w:rPr>
          <w:bCs/>
          <w:b/>
        </w:rPr>
        <w:t xml:space="preserve">HBV疫苗效應的跨出生世代驗證</w:t>
      </w:r>
      <w:r>
        <w:t xml:space="preserve">：所有出生世代均呈現C22下降，1970年代後出生者ρ=−0.907（預計受益最大的疫苗接種世代），支持HBV疫苗接種為主要機制的假說。</w:t>
      </w:r>
    </w:p>
    <w:p>
      <w:r>
        <w:pict>
          <v:rect style="width:0;height:1.5pt" o:hralign="center" o:hrstd="t" o:hr="t"/>
        </w:pict>
      </w:r>
    </w:p>
    <w:bookmarkEnd w:id="39"/>
    <w:bookmarkEnd w:id="40"/>
    <w:bookmarkStart w:id="41" w:name="九遺傳症候群候選患者的資料驅動篩查"/>
    <w:p>
      <w:pPr>
        <w:pStyle w:val="Heading2"/>
      </w:pPr>
      <w:r>
        <w:t xml:space="preserve">九、遺傳症候群候選患者的資料驅動篩查</w:t>
      </w:r>
    </w:p>
    <w:p>
      <w:pPr>
        <w:pStyle w:val="FirstParagraph"/>
      </w:pPr>
      <w:r>
        <w:t xml:space="preserve">以自動編碼器識別的前1%異常患者（n=784，100%為多重癌症患者）進行Li-Fraumeni症候群（LFS）與Cowden症候群的表現型比對，在CMUH機構癌症登錄中完成首次基於單中心醫院登錄的遺傳症候群非指定篩查。</w:t>
      </w:r>
    </w:p>
    <w:p>
      <w:pPr>
        <w:pStyle w:val="BodyText"/>
      </w:pPr>
      <w:r>
        <w:rPr>
          <w:bCs/>
          <w:b/>
        </w:rPr>
        <w:t xml:space="preserve">Cowden症候群篩查結果</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篩查階段</w:t>
            </w:r>
          </w:p>
        </w:tc>
        <w:tc>
          <w:tcPr/>
          <w:p>
            <w:pPr>
              <w:pStyle w:val="Compact"/>
              <w:jc w:val="left"/>
            </w:pPr>
            <w:r>
              <w:t xml:space="preserve">候選數</w:t>
            </w:r>
          </w:p>
        </w:tc>
        <w:tc>
          <w:tcPr/>
          <w:p>
            <w:pPr>
              <w:pStyle w:val="Compact"/>
              <w:jc w:val="left"/>
            </w:pPr>
            <w:r>
              <w:t xml:space="preserve">篩選標準</w:t>
            </w:r>
          </w:p>
        </w:tc>
      </w:tr>
      <w:tr>
        <w:tc>
          <w:tcPr/>
          <w:p>
            <w:pPr>
              <w:pStyle w:val="Compact"/>
              <w:jc w:val="left"/>
            </w:pPr>
            <w:r>
              <w:t xml:space="preserve">自動編碼器anomaly screen</w:t>
            </w:r>
          </w:p>
        </w:tc>
        <w:tc>
          <w:tcPr/>
          <w:p>
            <w:pPr>
              <w:pStyle w:val="Compact"/>
              <w:jc w:val="left"/>
            </w:pPr>
            <w:r>
              <w:t xml:space="preserve">17</w:t>
            </w:r>
          </w:p>
        </w:tc>
        <w:tc>
          <w:tcPr/>
          <w:p>
            <w:pPr>
              <w:pStyle w:val="Compact"/>
              <w:jc w:val="left"/>
            </w:pPr>
            <w:r>
              <w:t xml:space="preserve">C50+C54，match_score≥0.4</w:t>
            </w:r>
          </w:p>
        </w:tc>
      </w:tr>
      <w:tr>
        <w:tc>
          <w:tcPr/>
          <w:p>
            <w:pPr>
              <w:pStyle w:val="Compact"/>
              <w:jc w:val="left"/>
            </w:pPr>
            <w:r>
              <w:t xml:space="preserve">高信心精確化</w:t>
            </w:r>
          </w:p>
        </w:tc>
        <w:tc>
          <w:tcPr/>
          <w:p>
            <w:pPr>
              <w:pStyle w:val="Compact"/>
              <w:jc w:val="left"/>
            </w:pPr>
            <w:r>
              <w:rPr>
                <w:bCs/>
                <w:b/>
              </w:rPr>
              <w:t xml:space="preserve">3</w:t>
            </w:r>
          </w:p>
        </w:tc>
        <w:tc>
          <w:tcPr/>
          <w:p>
            <w:pPr>
              <w:pStyle w:val="Compact"/>
              <w:jc w:val="left"/>
            </w:pPr>
            <w:r>
              <w:t xml:space="preserve">match_score=1.0（同時具有C50及C54）</w:t>
            </w:r>
          </w:p>
        </w:tc>
      </w:tr>
    </w:tbl>
    <w:p>
      <w:pPr>
        <w:pStyle w:val="BodyText"/>
      </w:pPr>
      <w:r>
        <w:t xml:space="preserve">三名高信心候選（均為女性，具有乳腺C50+子宮體C54）：</w:t>
      </w:r>
      <w:r>
        <w:t xml:space="preserve"> </w:t>
      </w:r>
      <w:r>
        <w:t xml:space="preserve">- 年齡46歲：存活；另有C34肺</w:t>
      </w:r>
      <w:r>
        <w:t xml:space="preserve"> </w:t>
      </w:r>
      <w:r>
        <w:t xml:space="preserve">- 年齡49歲：死亡；另有C42血液</w:t>
      </w:r>
      <w:r>
        <w:t xml:space="preserve"> </w:t>
      </w:r>
      <w:r>
        <w:t xml:space="preserve">- 年齡57歲：存活；另有C53子宮頸</w:t>
      </w:r>
    </w:p>
    <w:p>
      <w:pPr>
        <w:pStyle w:val="BodyText"/>
      </w:pPr>
      <w:r>
        <w:t xml:space="preserve">診斷年齡46/49/57歲與Cowden症候群乳腺/子宮體發病年齡範圍（文獻38–55歲）高度吻合。</w:t>
      </w:r>
      <w:r>
        <w:rPr>
          <w:bCs/>
          <w:b/>
        </w:rPr>
        <w:t xml:space="preserve">建議對三名患者進行PTEN種系基因檢測轉介。</w:t>
      </w:r>
    </w:p>
    <w:p>
      <w:pPr>
        <w:pStyle w:val="BodyText"/>
      </w:pPr>
      <w:r>
        <w:rPr>
          <w:bCs/>
          <w:b/>
        </w:rPr>
        <w:t xml:space="preserve">LFS篩查失敗分析</w:t>
      </w:r>
      <w:r>
        <w:t xml:space="preserve">：26名候選患者在精確化後全數排除，主因CMUH癌症登錄缺乏C49（軟組織肉瘤）與C74（腎上腺皮質癌）部位碼，LFS有效可辨識特徵塌縮至{C50, C71}（match_score=0.5），特異性不足以區分LFS與一般乳腺多發性癌症。</w:t>
      </w:r>
    </w:p>
    <w:p>
      <w:pPr>
        <w:pStyle w:val="BodyText"/>
      </w:pPr>
      <w:r>
        <w:rPr>
          <w:bCs/>
          <w:b/>
        </w:rPr>
        <w:t xml:space="preserve">登錄覆蓋率差距</w:t>
      </w:r>
      <w:r>
        <w:t xml:space="preserve">：C49（軟組織肉瘤）、C73（甲狀腺）、C74（腎上腺）的缺失是CMUH機構癌症登錄遺傳症候群篩查的根本限制，需與醫院登錄資料庫維護單位協調，將上述部位碼納入常規收錄。</w:t>
      </w:r>
    </w:p>
    <w:p>
      <w:r>
        <w:pict>
          <v:rect style="width:0;height:1.5pt" o:hralign="center" o:hrstd="t" o:hr="t"/>
        </w:pict>
      </w:r>
    </w:p>
    <w:bookmarkEnd w:id="41"/>
    <w:bookmarkStart w:id="42" w:name="十性別特異性癌症圖譜"/>
    <w:p>
      <w:pPr>
        <w:pStyle w:val="Heading2"/>
      </w:pPr>
      <w:r>
        <w:t xml:space="preserve">十、性別特異性癌症圖譜</w:t>
      </w:r>
    </w:p>
    <w:p>
      <w:pPr>
        <w:pStyle w:val="FirstParagraph"/>
      </w:pPr>
      <w:r>
        <w:t xml:space="preserve">針對37個癌症部位的全面性別分佈分析（費雪精確檢定+BH FDR校正），識別16個男性主導部位、4個女性主導部位（C50/C53/C54/C56）、17個性別中性部位。</w:t>
      </w:r>
    </w:p>
    <w:p>
      <w:pPr>
        <w:pStyle w:val="BodyText"/>
      </w:pPr>
      <w:r>
        <w:rPr>
          <w:bCs/>
          <w:b/>
        </w:rPr>
        <w:t xml:space="preserve">主要量化結果</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指標</w:t>
            </w:r>
          </w:p>
        </w:tc>
        <w:tc>
          <w:tcPr/>
          <w:p>
            <w:pPr>
              <w:pStyle w:val="Compact"/>
              <w:jc w:val="left"/>
            </w:pPr>
            <w:r>
              <w:t xml:space="preserve">數值</w:t>
            </w:r>
          </w:p>
        </w:tc>
      </w:tr>
      <w:tr>
        <w:tc>
          <w:tcPr/>
          <w:p>
            <w:pPr>
              <w:pStyle w:val="Compact"/>
              <w:jc w:val="left"/>
            </w:pPr>
            <w:r>
              <w:t xml:space="preserve">最強男性主導：C12梨狀竇</w:t>
            </w:r>
          </w:p>
        </w:tc>
        <w:tc>
          <w:tcPr/>
          <w:p>
            <w:pPr>
              <w:pStyle w:val="Compact"/>
              <w:jc w:val="left"/>
            </w:pPr>
            <w:r>
              <w:t xml:space="preserve">OR=40×</w:t>
            </w:r>
          </w:p>
        </w:tc>
      </w:tr>
      <w:tr>
        <w:tc>
          <w:tcPr/>
          <w:p>
            <w:pPr>
              <w:pStyle w:val="Compact"/>
              <w:jc w:val="left"/>
            </w:pPr>
            <w:r>
              <w:t xml:space="preserve">最強女性主導：C50乳腺</w:t>
            </w:r>
          </w:p>
        </w:tc>
        <w:tc>
          <w:tcPr/>
          <w:p>
            <w:pPr>
              <w:pStyle w:val="Compact"/>
              <w:jc w:val="left"/>
            </w:pPr>
            <w:r>
              <w:t xml:space="preserve">OR=0.002×（99.8%女性）</w:t>
            </w:r>
          </w:p>
        </w:tc>
      </w:tr>
      <w:tr>
        <w:tc>
          <w:tcPr/>
          <w:p>
            <w:pPr>
              <w:pStyle w:val="Compact"/>
              <w:jc w:val="left"/>
            </w:pPr>
            <w:r>
              <w:t xml:space="preserve">UADT男性比女性早診斷</w:t>
            </w:r>
          </w:p>
        </w:tc>
        <w:tc>
          <w:tcPr/>
          <w:p>
            <w:pPr>
              <w:pStyle w:val="Compact"/>
              <w:jc w:val="left"/>
            </w:pPr>
            <w:r>
              <w:t xml:space="preserve">5–9年（C02/C06/C15）</w:t>
            </w:r>
          </w:p>
        </w:tc>
      </w:tr>
      <w:tr>
        <w:tc>
          <w:tcPr/>
          <w:p>
            <w:pPr>
              <w:pStyle w:val="Compact"/>
              <w:jc w:val="left"/>
            </w:pPr>
            <w:r>
              <w:t xml:space="preserve">多重癌症率 男性 vs 女性</w:t>
            </w:r>
          </w:p>
        </w:tc>
        <w:tc>
          <w:tcPr/>
          <w:p>
            <w:pPr>
              <w:pStyle w:val="Compact"/>
              <w:jc w:val="left"/>
            </w:pPr>
            <w:r>
              <w:t xml:space="preserve">6.8% vs 3.4%（2.0×）</w:t>
            </w:r>
          </w:p>
        </w:tc>
      </w:tr>
      <w:tr>
        <w:tc>
          <w:tcPr/>
          <w:p>
            <w:pPr>
              <w:pStyle w:val="Compact"/>
              <w:jc w:val="left"/>
            </w:pPr>
            <w:r>
              <w:t xml:space="preserve">UADT子群 多重癌症率</w:t>
            </w:r>
          </w:p>
        </w:tc>
        <w:tc>
          <w:tcPr/>
          <w:p>
            <w:pPr>
              <w:pStyle w:val="Compact"/>
              <w:jc w:val="left"/>
            </w:pPr>
            <w:r>
              <w:t xml:space="preserve">14.9% vs 7.7%（1.9×）</w:t>
            </w:r>
          </w:p>
        </w:tc>
      </w:tr>
      <w:tr>
        <w:tc>
          <w:tcPr/>
          <w:p>
            <w:pPr>
              <w:pStyle w:val="Compact"/>
              <w:jc w:val="left"/>
            </w:pPr>
            <w:r>
              <w:t xml:space="preserve">排除UADT後的超額男性多重癌症率</w:t>
            </w:r>
          </w:p>
        </w:tc>
        <w:tc>
          <w:tcPr/>
          <w:p>
            <w:pPr>
              <w:pStyle w:val="Compact"/>
              <w:jc w:val="left"/>
            </w:pPr>
            <w:r>
              <w:t xml:space="preserve">6.0% vs 2.1%（2.9×）</w:t>
            </w:r>
          </w:p>
        </w:tc>
      </w:tr>
      <w:tr>
        <w:tc>
          <w:tcPr/>
          <w:p>
            <w:pPr>
              <w:pStyle w:val="Compact"/>
              <w:jc w:val="left"/>
            </w:pPr>
            <w:r>
              <w:t xml:space="preserve">VAE z4 UADT軸性別偏向</w:t>
            </w:r>
          </w:p>
        </w:tc>
        <w:tc>
          <w:tcPr/>
          <w:p>
            <w:pPr>
              <w:pStyle w:val="Compact"/>
              <w:jc w:val="left"/>
            </w:pPr>
            <w:r>
              <w:t xml:space="preserve">RBI=−0.621（男性）</w:t>
            </w:r>
          </w:p>
        </w:tc>
      </w:tr>
      <w:tr>
        <w:tc>
          <w:tcPr/>
          <w:p>
            <w:pPr>
              <w:pStyle w:val="Compact"/>
              <w:jc w:val="left"/>
            </w:pPr>
            <w:r>
              <w:t xml:space="preserve">VAE z5 荷爾蒙軸性別偏向</w:t>
            </w:r>
          </w:p>
        </w:tc>
        <w:tc>
          <w:tcPr/>
          <w:p>
            <w:pPr>
              <w:pStyle w:val="Compact"/>
              <w:jc w:val="left"/>
            </w:pPr>
            <w:r>
              <w:t xml:space="preserve">RBI=+0.409（女性）</w:t>
            </w:r>
          </w:p>
        </w:tc>
      </w:tr>
    </w:tbl>
    <w:p>
      <w:pPr>
        <w:pStyle w:val="BodyText"/>
      </w:pPr>
      <w:r>
        <w:rPr>
          <w:bCs/>
          <w:b/>
        </w:rPr>
        <w:t xml:space="preserve">兩個正交性別軸</w:t>
      </w:r>
      <w:r>
        <w:t xml:space="preserve">：</w:t>
      </w:r>
      <w:r>
        <w:t xml:space="preserve"> </w:t>
      </w:r>
      <w:r>
        <w:t xml:space="preserve">- 男性軸：檳榔/菸草UADT（z4）+ HBV/代謝GI；UADT男性比女性早5–9年確診，反映更早的致癌物暴露起始年齡</w:t>
      </w:r>
      <w:r>
        <w:t xml:space="preserve"> </w:t>
      </w:r>
      <w:r>
        <w:t xml:space="preserve">- 女性軸：荷爾蒙/婦科（z0/z5）；C50乳腺OR=0.002，C53/C54/C56實質上為女性排他性</w:t>
      </w:r>
    </w:p>
    <w:p>
      <w:pPr>
        <w:pStyle w:val="BodyText"/>
      </w:pPr>
      <w:r>
        <w:rPr>
          <w:bCs/>
          <w:b/>
        </w:rPr>
        <w:t xml:space="preserve">男性非UADT多重癌症超額之謎</w:t>
      </w:r>
      <w:r>
        <w:t xml:space="preserve">：排除UADT後，男性多重癌症率仍為女性的2.9倍，提示可能存在男性免疫監控效能較低、荷爾蒙相關DNA修復差異，或致癌物交叉效應等尚未釐清的機制，是重要的未來研究方向。</w:t>
      </w:r>
    </w:p>
    <w:p>
      <w:r>
        <w:pict>
          <v:rect style="width:0;height:1.5pt" o:hralign="center" o:hrstd="t" o:hr="t"/>
        </w:pict>
      </w:r>
    </w:p>
    <w:bookmarkEnd w:id="42"/>
    <w:bookmarkStart w:id="46" w:name="十一tcga多體學分析"/>
    <w:p>
      <w:pPr>
        <w:pStyle w:val="Heading2"/>
      </w:pPr>
      <w:r>
        <w:t xml:space="preserve">十一、TCGA多體學分析</w:t>
      </w:r>
    </w:p>
    <w:bookmarkStart w:id="43" w:name="tcga-thca乳突型甲狀腺癌的ecm重塑特徵"/>
    <w:p>
      <w:pPr>
        <w:pStyle w:val="Heading3"/>
      </w:pPr>
      <w:r>
        <w:t xml:space="preserve">11.1 TCGA-THCA：乳突型甲狀腺癌的ECM重塑特徵</w:t>
      </w:r>
    </w:p>
    <w:p>
      <w:pPr>
        <w:pStyle w:val="FirstParagraph"/>
      </w:pPr>
      <w:r>
        <w:rPr>
          <w:bCs/>
          <w:b/>
        </w:rPr>
        <w:t xml:space="preserve">隊列</w:t>
      </w:r>
      <w:r>
        <w:t xml:space="preserve">：n=499 PTC（TCGA-THCA）；RNA-seq（60,660基因）、WXS/MAF（498例）、臨床（507例）；PFI端點（50個事件；EPV=10）。</w:t>
      </w:r>
    </w:p>
    <w:p>
      <w:pPr>
        <w:pStyle w:val="BodyText"/>
      </w:pPr>
      <w:r>
        <w:rPr>
          <w:bCs/>
          <w:b/>
        </w:rPr>
        <w:t xml:space="preserve">ECM重塑特徵</w:t>
      </w:r>
      <w:r>
        <w:t xml:space="preserve">：</w:t>
      </w:r>
      <w:r>
        <w:t xml:space="preserve"> </w:t>
      </w:r>
      <w:r>
        <w:t xml:space="preserve">- 進展期 vs 早期DEGs：241個，</w:t>
      </w:r>
      <w:r>
        <w:rPr>
          <w:iCs/>
          <w:i/>
        </w:rPr>
        <w:t xml:space="preserve">ASPN</w:t>
      </w:r>
      <w:r>
        <w:t xml:space="preserve">、</w:t>
      </w:r>
      <w:r>
        <w:rPr>
          <w:iCs/>
          <w:i/>
        </w:rPr>
        <w:t xml:space="preserve">POSTN</w:t>
      </w:r>
      <w:r>
        <w:t xml:space="preserve">、</w:t>
      </w:r>
      <w:r>
        <w:rPr>
          <w:iCs/>
          <w:i/>
        </w:rPr>
        <w:t xml:space="preserve">COL1A1</w:t>
      </w:r>
      <w:r>
        <w:t xml:space="preserve">、</w:t>
      </w:r>
      <w:r>
        <w:rPr>
          <w:iCs/>
          <w:i/>
        </w:rPr>
        <w:t xml:space="preserve">ADAM12</w:t>
      </w:r>
      <w:r>
        <w:t xml:space="preserve">上調；</w:t>
      </w:r>
      <w:r>
        <w:rPr>
          <w:iCs/>
          <w:i/>
        </w:rPr>
        <w:t xml:space="preserve">PVALB</w:t>
      </w:r>
      <w:r>
        <w:t xml:space="preserve">、</w:t>
      </w:r>
      <w:r>
        <w:rPr>
          <w:iCs/>
          <w:i/>
        </w:rPr>
        <w:t xml:space="preserve">CASR</w:t>
      </w:r>
      <w:r>
        <w:t xml:space="preserve">、</w:t>
      </w:r>
      <w:r>
        <w:rPr>
          <w:iCs/>
          <w:i/>
        </w:rPr>
        <w:t xml:space="preserve">SFRP1</w:t>
      </w:r>
      <w:r>
        <w:t xml:space="preserve">下調</w:t>
      </w:r>
      <w:r>
        <w:t xml:space="preserve"> </w:t>
      </w:r>
      <w:r>
        <w:t xml:space="preserve">- GSEA最強NES：膠原纖維組織（NES=2.94）、ECM分解（NES=2.80）</w:t>
      </w:r>
      <w:r>
        <w:t xml:space="preserve"> </w:t>
      </w:r>
      <w:r>
        <w:t xml:space="preserve">- ESTIMATE間質評分在進展期顯著升高（p&lt;0.001）</w:t>
      </w:r>
    </w:p>
    <w:p>
      <w:pPr>
        <w:pStyle w:val="BodyText"/>
      </w:pPr>
      <w:r>
        <w:rPr>
          <w:bCs/>
          <w:b/>
        </w:rPr>
        <w:t xml:space="preserve">BRAF V600E</w:t>
      </w:r>
      <w:r>
        <w:t xml:space="preserve">：</w:t>
      </w:r>
      <w:r>
        <w:t xml:space="preserve"> </w:t>
      </w:r>
      <w:r>
        <w:t xml:space="preserve">- 主要驅動突變（61.1%），與RAS互斥</w:t>
      </w:r>
      <w:r>
        <w:t xml:space="preserve"> </w:t>
      </w:r>
      <w:r>
        <w:t xml:space="preserve">- BRAF+有3,062個DEGs，含</w:t>
      </w:r>
      <w:r>
        <w:rPr>
          <w:iCs/>
          <w:i/>
        </w:rPr>
        <w:t xml:space="preserve">TGFBR1</w:t>
      </w:r>
      <w:r>
        <w:t xml:space="preserve">上調及T細胞途徑富集（NES 2.29–2.43）</w:t>
      </w:r>
      <w:r>
        <w:t xml:space="preserve"> </w:t>
      </w:r>
      <w:r>
        <w:t xml:space="preserve">- RF BRAF預測OOB AUC=0.935（從Top-50 DEG表達）</w:t>
      </w:r>
      <w:r>
        <w:t xml:space="preserve"> </w:t>
      </w:r>
      <w:r>
        <w:t xml:space="preserve">- Cox模型中BRAF非獨立預後因子（p&gt;0.05）</w:t>
      </w:r>
    </w:p>
    <w:p>
      <w:pPr>
        <w:pStyle w:val="BodyText"/>
      </w:pPr>
      <w:r>
        <w:rPr>
          <w:bCs/>
          <w:b/>
        </w:rPr>
        <w:t xml:space="preserve">Cox存活預測（Model B，n=496，50個事件）</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預測因子</w:t>
            </w:r>
          </w:p>
        </w:tc>
        <w:tc>
          <w:tcPr/>
          <w:p>
            <w:pPr>
              <w:pStyle w:val="Compact"/>
              <w:jc w:val="left"/>
            </w:pPr>
            <w:r>
              <w:t xml:space="preserve">HR</w:t>
            </w:r>
          </w:p>
        </w:tc>
        <w:tc>
          <w:tcPr/>
          <w:p>
            <w:pPr>
              <w:pStyle w:val="Compact"/>
              <w:jc w:val="left"/>
            </w:pPr>
            <w:r>
              <w:t xml:space="preserve">95% CI</w:t>
            </w:r>
          </w:p>
        </w:tc>
        <w:tc>
          <w:tcPr/>
          <w:p>
            <w:pPr>
              <w:pStyle w:val="Compact"/>
              <w:jc w:val="left"/>
            </w:pPr>
            <w:r>
              <w:t xml:space="preserve">p</w:t>
            </w:r>
          </w:p>
        </w:tc>
      </w:tr>
      <w:tr>
        <w:tc>
          <w:tcPr/>
          <w:p>
            <w:pPr>
              <w:pStyle w:val="Compact"/>
              <w:jc w:val="left"/>
            </w:pPr>
            <w:r>
              <w:t xml:space="preserve">T3–T4分期</w:t>
            </w:r>
          </w:p>
        </w:tc>
        <w:tc>
          <w:tcPr/>
          <w:p>
            <w:pPr>
              <w:pStyle w:val="Compact"/>
              <w:jc w:val="left"/>
            </w:pPr>
            <w:r>
              <w:t xml:space="preserve">2.36</w:t>
            </w:r>
          </w:p>
        </w:tc>
        <w:tc>
          <w:tcPr/>
          <w:p>
            <w:pPr>
              <w:pStyle w:val="Compact"/>
              <w:jc w:val="left"/>
            </w:pPr>
            <w:r>
              <w:t xml:space="preserve">1.28–4.33</w:t>
            </w:r>
          </w:p>
        </w:tc>
        <w:tc>
          <w:tcPr/>
          <w:p>
            <w:pPr>
              <w:pStyle w:val="Compact"/>
              <w:jc w:val="left"/>
            </w:pPr>
            <w:r>
              <w:t xml:space="preserve">0.006</w:t>
            </w:r>
          </w:p>
        </w:tc>
      </w:tr>
      <w:tr>
        <w:tc>
          <w:tcPr/>
          <w:p>
            <w:pPr>
              <w:pStyle w:val="Compact"/>
              <w:jc w:val="left"/>
            </w:pPr>
            <w:r>
              <w:t xml:space="preserve">年齡≥55歲</w:t>
            </w:r>
          </w:p>
        </w:tc>
        <w:tc>
          <w:tcPr/>
          <w:p>
            <w:pPr>
              <w:pStyle w:val="Compact"/>
              <w:jc w:val="left"/>
            </w:pPr>
            <w:r>
              <w:t xml:space="preserve">1.96</w:t>
            </w:r>
          </w:p>
        </w:tc>
        <w:tc>
          <w:tcPr/>
          <w:p>
            <w:pPr>
              <w:pStyle w:val="Compact"/>
              <w:jc w:val="left"/>
            </w:pPr>
            <w:r>
              <w:t xml:space="preserve">1.11–3.46</w:t>
            </w:r>
          </w:p>
        </w:tc>
        <w:tc>
          <w:tcPr/>
          <w:p>
            <w:pPr>
              <w:pStyle w:val="Compact"/>
              <w:jc w:val="left"/>
            </w:pPr>
            <w:r>
              <w:t xml:space="preserve">0.021</w:t>
            </w:r>
          </w:p>
        </w:tc>
      </w:tr>
      <w:tr>
        <w:tc>
          <w:tcPr/>
          <w:p>
            <w:pPr>
              <w:pStyle w:val="Compact"/>
              <w:jc w:val="left"/>
            </w:pPr>
            <w:r>
              <w:t xml:space="preserve">N1、BRAF+、Follicular Variant</w:t>
            </w:r>
          </w:p>
        </w:tc>
        <w:tc>
          <w:tcPr/>
          <w:p>
            <w:pPr>
              <w:pStyle w:val="Compact"/>
              <w:jc w:val="left"/>
            </w:pPr>
            <w:r>
              <w:t xml:space="preserve">NS</w:t>
            </w:r>
          </w:p>
        </w:tc>
        <w:tc>
          <w:tcPr/>
          <w:p>
            <w:pPr>
              <w:pStyle w:val="Compact"/>
              <w:jc w:val="left"/>
            </w:pPr>
            <w:r>
              <w:t xml:space="preserve">—</w:t>
            </w:r>
          </w:p>
        </w:tc>
        <w:tc>
          <w:tcPr/>
          <w:p>
            <w:pPr>
              <w:pStyle w:val="Compact"/>
              <w:jc w:val="left"/>
            </w:pPr>
            <w:r>
              <w:t xml:space="preserve">&gt;0.05</w:t>
            </w:r>
          </w:p>
        </w:tc>
      </w:tr>
    </w:tbl>
    <w:p>
      <w:pPr>
        <w:pStyle w:val="BodyText"/>
      </w:pPr>
      <w:r>
        <w:t xml:space="preserve">Schoenfeld全域p=0.41（所有5項共變數通過PH假設，p範圍0.23–0.97），Bootstrap B=200校正後C-index=0.677（apparent C=0.689，optimism=0.012）。</w:t>
      </w:r>
    </w:p>
    <w:p>
      <w:pPr>
        <w:pStyle w:val="BodyText"/>
      </w:pPr>
      <w:r>
        <w:t xml:space="preserve">GSEA 500排列數（修正前使用100排列）：BRAF顯著路徑數1,684→1,632（修正後），確保p值計算精確度（最小可達p=1/500=0.002）。</w:t>
      </w:r>
    </w:p>
    <w:bookmarkEnd w:id="43"/>
    <w:bookmarkStart w:id="44" w:name="tcga-brca乳癌vae表現型分析"/>
    <w:p>
      <w:pPr>
        <w:pStyle w:val="Heading3"/>
      </w:pPr>
      <w:r>
        <w:t xml:space="preserve">11.2 TCGA-BRCA：乳癌VAE表現型分析</w:t>
      </w:r>
    </w:p>
    <w:p>
      <w:pPr>
        <w:pStyle w:val="FirstParagraph"/>
      </w:pPr>
      <w:r>
        <w:rPr>
          <w:bCs/>
          <w:b/>
        </w:rPr>
        <w:t xml:space="preserve">隊列</w:t>
      </w:r>
      <w:r>
        <w:t xml:space="preserve">：n=1,072（RNA-seq 60,660基因×1,095樣本）；VAE最佳k=7（log-rank p=0.018）；PAM50 ARI=0.301/NMI=0.449。</w:t>
      </w:r>
    </w:p>
    <w:p>
      <w:pPr>
        <w:pStyle w:val="BodyText"/>
      </w:pPr>
      <w:r>
        <w:rPr>
          <w:bCs/>
          <w:b/>
        </w:rPr>
        <w:t xml:space="preserve">Basal的異質性（核心發現）</w:t>
      </w:r>
      <w:r>
        <w:t xml:space="preserve">：</w:t>
      </w:r>
      <w:r>
        <w:t xml:space="preserve"> </w:t>
      </w:r>
      <w:r>
        <w:t xml:space="preserve">- C5（n=62，中位OS 614天）：預後差Basal</w:t>
      </w:r>
      <w:r>
        <w:t xml:space="preserve"> </w:t>
      </w:r>
      <w:r>
        <w:t xml:space="preserve">- C6（n=130，中位OS 1,093天）：預後較好Basal</w:t>
      </w:r>
      <w:r>
        <w:t xml:space="preserve"> </w:t>
      </w:r>
      <w:r>
        <w:t xml:space="preserve">- 兩組差距1.8倍；兩組在常規PAM50分類下均為「Basal」</w:t>
      </w:r>
    </w:p>
    <w:p>
      <w:pPr>
        <w:pStyle w:val="BodyText"/>
      </w:pPr>
      <w:r>
        <w:rPr>
          <w:bCs/>
          <w:b/>
        </w:rPr>
        <w:t xml:space="preserve">HOXB基因特徵</w:t>
      </w:r>
      <w:r>
        <w:t xml:space="preserve">：SHAP識別HOXB5（rank 1）、HOXB6、HOXB3、HOXB4為最主要表現型驅動基因（C6&gt;C5）。外部驗證：</w:t>
      </w:r>
      <w:r>
        <w:t xml:space="preserve"> </w:t>
      </w:r>
      <w:r>
        <w:t xml:space="preserve">- METABRIC：HOXB4 FDR=0.0007（所有HOXB基因p&lt;0.001）</w:t>
      </w:r>
      <w:r>
        <w:t xml:space="preserve"> </w:t>
      </w:r>
      <w:r>
        <w:t xml:space="preserve">- GSE96058（SCAN-B）：所有HOXB基因p&lt;0.001</w:t>
      </w:r>
    </w:p>
    <w:p>
      <w:pPr>
        <w:pStyle w:val="BodyText"/>
      </w:pPr>
      <w:r>
        <w:rPr>
          <w:bCs/>
          <w:b/>
        </w:rPr>
        <w:t xml:space="preserve">預後預測</w:t>
      </w:r>
      <w:r>
        <w:t xml:space="preserve">：XGBoost-Cox C-index=0.727（最高），但相對PAM50+分期的增量ΔC=+0.005，未達實質臨床增量，顯示現有DL模型在乳癌預後預測上尚未超越已知分子分類系統。</w:t>
      </w:r>
    </w:p>
    <w:bookmarkEnd w:id="44"/>
    <w:bookmarkStart w:id="45" w:name="tcga-escatp53突變的免疫微環境分析"/>
    <w:p>
      <w:pPr>
        <w:pStyle w:val="Heading3"/>
      </w:pPr>
      <w:r>
        <w:t xml:space="preserve">11.3 TCGA-ESCA：TP53突變的免疫微環境分析</w:t>
      </w:r>
    </w:p>
    <w:p>
      <w:pPr>
        <w:pStyle w:val="FirstParagraph"/>
      </w:pPr>
      <w:r>
        <w:rPr>
          <w:bCs/>
          <w:b/>
        </w:rPr>
        <w:t xml:space="preserve">隊列</w:t>
      </w:r>
      <w:r>
        <w:t xml:space="preserve">：143名通過CIBERSORT QC篩選（nu=0.5；p&lt;0.05 permutation）的TCGA食道癌患者（突變=122，野生型=21）。</w:t>
      </w:r>
    </w:p>
    <w:p>
      <w:pPr>
        <w:pStyle w:val="BodyText"/>
      </w:pPr>
      <w:r>
        <w:rPr>
          <w:bCs/>
          <w:b/>
        </w:rPr>
        <w:t xml:space="preserve">M2巨噬細胞增加（FDR=0.045）</w:t>
      </w:r>
      <w:r>
        <w:t xml:space="preserve">：TP53突變患者M2巨噬細胞浸潤顯著升高（零值膨脹特性：58%突變型非零 vs 24%野生型），與TP53介導的免疫抑制性腫瘤微環境重塑機制一致。</w:t>
      </w:r>
    </w:p>
    <w:p>
      <w:pPr>
        <w:pStyle w:val="BodyText"/>
      </w:pPr>
      <w:r>
        <w:rPr>
          <w:bCs/>
          <w:b/>
        </w:rPr>
        <w:t xml:space="preserve">CD8+ T細胞：生物學零假設確認</w:t>
      </w:r>
      <w:r>
        <w:t xml:space="preserve">：</w:t>
      </w:r>
      <w:r>
        <w:t xml:space="preserve"> </w:t>
      </w:r>
      <w:r>
        <w:t xml:space="preserve">- 10種去卷積方法最佳p=0.189（Wilcoxon），FDR=0.515</w:t>
      </w:r>
      <w:r>
        <w:t xml:space="preserve"> </w:t>
      </w:r>
      <w:r>
        <w:t xml:space="preserve">- CD8A/CD8B基因表達差異：p=0.298（非顯著）</w:t>
      </w:r>
      <w:r>
        <w:t xml:space="preserve"> </w:t>
      </w:r>
      <w:r>
        <w:t xml:space="preserve">- Cohen’s d=0.234（小效應量）</w:t>
      </w:r>
      <w:r>
        <w:t xml:space="preserve"> </w:t>
      </w:r>
      <w:r>
        <w:t xml:space="preserve">- 達80%功效所需n_wt=194（現有n_wt=21；差距9.2倍）</w:t>
      </w:r>
      <w:r>
        <w:t xml:space="preserve"> </w:t>
      </w:r>
      <w:r>
        <w:t xml:space="preserve">- 根本原因：ESCC中TP53突變率幾乎100%，「突變 vs 野生型」的比較在ESCC中生物學上缺乏足夠對照組</w:t>
      </w:r>
    </w:p>
    <w:p>
      <w:r>
        <w:pict>
          <v:rect style="width:0;height:1.5pt" o:hralign="center" o:hrstd="t" o:hr="t"/>
        </w:pict>
      </w:r>
    </w:p>
    <w:bookmarkEnd w:id="45"/>
    <w:bookmarkEnd w:id="46"/>
    <w:bookmarkStart w:id="51" w:name="十二方法學創新與系統性貢獻"/>
    <w:p>
      <w:pPr>
        <w:pStyle w:val="Heading2"/>
      </w:pPr>
      <w:r>
        <w:t xml:space="preserve">十二、方法學創新與系統性貢獻</w:t>
      </w:r>
    </w:p>
    <w:p>
      <w:pPr>
        <w:pStyle w:val="FirstParagraph"/>
      </w:pPr>
      <w:r>
        <w:t xml:space="preserve">本系列研究在方法學上作出以下系統性貢獻，超越個別子計畫的具體發現：</w:t>
      </w:r>
    </w:p>
    <w:bookmarkStart w:id="47" w:name="比例風險假設的系統性驗證"/>
    <w:p>
      <w:pPr>
        <w:pStyle w:val="Heading3"/>
      </w:pPr>
      <w:r>
        <w:t xml:space="preserve">12.1 比例風險假設的系統性驗證</w:t>
      </w:r>
    </w:p>
    <w:p>
      <w:pPr>
        <w:pStyle w:val="FirstParagraph"/>
      </w:pPr>
      <w:r>
        <w:t xml:space="preserve">所有Cox模型均執行Schoenfeld殘差檢定（Python:</w:t>
      </w:r>
      <w:r>
        <w:t xml:space="preserve"> </w:t>
      </w:r>
      <w:r>
        <w:rPr>
          <w:rStyle w:val="VerbatimChar"/>
        </w:rPr>
        <w:t xml:space="preserve">lifelines.proportional_hazard_test</w:t>
      </w:r>
      <w:r>
        <w:t xml:space="preserve">；R:</w:t>
      </w:r>
      <w:r>
        <w:t xml:space="preserve"> </w:t>
      </w:r>
      <w:r>
        <w:rPr>
          <w:rStyle w:val="VerbatimChar"/>
        </w:rPr>
        <w:t xml:space="preserve">cox.zph</w:t>
      </w:r>
      <w:r>
        <w:t xml:space="preserve">）。三個子計畫發現重要的PH違反：</w:t>
      </w:r>
    </w:p>
    <w:tbl>
      <w:tblPr>
        <w:tblStyle w:val="Table"/>
        <w:tblW w:type="pct" w:w="5000"/>
        <w:tblLook w:firstRow="1" w:lastRow="0" w:firstColumn="0" w:lastColumn="0" w:noHBand="0" w:noVBand="0" w:val="0020"/>
      </w:tblPr>
      <w:tblGrid>
        <w:gridCol w:w="2043"/>
        <w:gridCol w:w="2299"/>
        <w:gridCol w:w="1277"/>
        <w:gridCol w:w="2299"/>
      </w:tblGrid>
      <w:tr>
        <w:trPr>
          <w:tblHeader w:val="true"/>
        </w:trPr>
        <w:tc>
          <w:tcPr/>
          <w:p>
            <w:pPr>
              <w:pStyle w:val="Compact"/>
              <w:jc w:val="left"/>
            </w:pPr>
            <w:r>
              <w:t xml:space="preserve">子計畫</w:t>
            </w:r>
          </w:p>
        </w:tc>
        <w:tc>
          <w:tcPr/>
          <w:p>
            <w:pPr>
              <w:pStyle w:val="Compact"/>
              <w:jc w:val="left"/>
            </w:pPr>
            <w:r>
              <w:t xml:space="preserve">違反變數</w:t>
            </w:r>
          </w:p>
        </w:tc>
        <w:tc>
          <w:tcPr/>
          <w:p>
            <w:pPr>
              <w:pStyle w:val="Compact"/>
              <w:jc w:val="left"/>
            </w:pPr>
            <w:r>
              <w:t xml:space="preserve">χ²</w:t>
            </w:r>
          </w:p>
        </w:tc>
        <w:tc>
          <w:tcPr/>
          <w:p>
            <w:pPr>
              <w:pStyle w:val="Compact"/>
              <w:jc w:val="left"/>
            </w:pPr>
            <w:r>
              <w:t xml:space="preserve">結果修正</w:t>
            </w:r>
          </w:p>
        </w:tc>
      </w:tr>
      <w:tr>
        <w:tc>
          <w:tcPr/>
          <w:p>
            <w:pPr>
              <w:pStyle w:val="Compact"/>
              <w:jc w:val="left"/>
            </w:pPr>
            <w:r>
              <w:t xml:space="preserve">三軸分類</w:t>
            </w:r>
          </w:p>
        </w:tc>
        <w:tc>
          <w:tcPr/>
          <w:p>
            <w:pPr>
              <w:pStyle w:val="Compact"/>
              <w:jc w:val="left"/>
            </w:pPr>
            <w:r>
              <w:t xml:space="preserve">C3、C1、C4、年齡、性別</w:t>
            </w:r>
          </w:p>
        </w:tc>
        <w:tc>
          <w:tcPr/>
          <w:p>
            <w:pPr>
              <w:pStyle w:val="Compact"/>
              <w:jc w:val="left"/>
            </w:pPr>
            <w:r>
              <w:t xml:space="preserve">177.6–1093.7</w:t>
            </w:r>
          </w:p>
        </w:tc>
        <w:tc>
          <w:tcPr/>
          <w:p>
            <w:pPr>
              <w:pStyle w:val="Compact"/>
              <w:jc w:val="left"/>
            </w:pPr>
            <w:r>
              <w:t xml:space="preserve">全時間段Cox替換為二時段模型</w:t>
            </w:r>
          </w:p>
        </w:tc>
      </w:tr>
      <w:tr>
        <w:tc>
          <w:tcPr/>
          <w:p>
            <w:pPr>
              <w:pStyle w:val="Compact"/>
              <w:jc w:val="left"/>
            </w:pPr>
            <w:r>
              <w:t xml:space="preserve">C15食道癌</w:t>
            </w:r>
          </w:p>
        </w:tc>
        <w:tc>
          <w:tcPr/>
          <w:p>
            <w:pPr>
              <w:pStyle w:val="Compact"/>
              <w:jc w:val="left"/>
            </w:pPr>
            <w:r>
              <w:t xml:space="preserve">CCRT、Margin R0、Stage IV</w:t>
            </w:r>
          </w:p>
        </w:tc>
        <w:tc>
          <w:tcPr/>
          <w:p>
            <w:pPr>
              <w:pStyle w:val="Compact"/>
              <w:jc w:val="left"/>
            </w:pPr>
            <w:r>
              <w:t xml:space="preserve">8.1–17.1</w:t>
            </w:r>
          </w:p>
        </w:tc>
        <w:tc>
          <w:tcPr/>
          <w:p>
            <w:pPr>
              <w:pStyle w:val="Compact"/>
              <w:jc w:val="left"/>
            </w:pPr>
            <w:r>
              <w:t xml:space="preserve">早期/晚期分段HR代替單一HR</w:t>
            </w:r>
          </w:p>
        </w:tc>
      </w:tr>
      <w:tr>
        <w:tc>
          <w:tcPr/>
          <w:p>
            <w:pPr>
              <w:pStyle w:val="Compact"/>
              <w:jc w:val="left"/>
            </w:pPr>
            <w:r>
              <w:t xml:space="preserve">TCGA-THCA</w:t>
            </w:r>
          </w:p>
        </w:tc>
        <w:tc>
          <w:tcPr/>
          <w:p>
            <w:pPr>
              <w:pStyle w:val="Compact"/>
              <w:jc w:val="left"/>
            </w:pPr>
            <w:r>
              <w:t xml:space="preserve">全部通過</w:t>
            </w:r>
          </w:p>
        </w:tc>
        <w:tc>
          <w:tcPr/>
          <w:p>
            <w:pPr>
              <w:pStyle w:val="Compact"/>
              <w:jc w:val="left"/>
            </w:pPr>
            <w:r>
              <w:t xml:space="preserve">全域p=0.41</w:t>
            </w:r>
          </w:p>
        </w:tc>
        <w:tc>
          <w:tcPr/>
          <w:p>
            <w:pPr>
              <w:pStyle w:val="Compact"/>
              <w:jc w:val="left"/>
            </w:pPr>
            <w:r>
              <w:t xml:space="preserve">確認模型有效性</w:t>
            </w:r>
          </w:p>
        </w:tc>
      </w:tr>
    </w:tbl>
    <w:bookmarkEnd w:id="47"/>
    <w:bookmarkStart w:id="48" w:name="不死時間偏差的時變cox修正"/>
    <w:p>
      <w:pPr>
        <w:pStyle w:val="Heading3"/>
      </w:pPr>
      <w:r>
        <w:t xml:space="preserve">12.2 不死時間偏差的時變Cox修正</w:t>
      </w:r>
    </w:p>
    <w:p>
      <w:pPr>
        <w:pStyle w:val="FirstParagraph"/>
      </w:pPr>
      <w:r>
        <w:t xml:space="preserve">UADT場域存活分析中，地標Cox（HR=0.86，保護性假象）vs 時變Cox（HR=2.14，真實效應）的4.8倍反轉，對任何使用多重原發事件作為暴露定義的存活分析提供關鍵的方法學警示。</w:t>
      </w:r>
    </w:p>
    <w:bookmarkEnd w:id="48"/>
    <w:bookmarkStart w:id="49" w:name="時序自相關修正"/>
    <w:p>
      <w:pPr>
        <w:pStyle w:val="Heading3"/>
      </w:pPr>
      <w:r>
        <w:t xml:space="preserve">12.3 時序自相關修正</w:t>
      </w:r>
    </w:p>
    <w:p>
      <w:pPr>
        <w:pStyle w:val="FirstParagraph"/>
      </w:pPr>
      <w:r>
        <w:t xml:space="preserve">Chelton（1983）有效樣本量法將26項naive顯著趨勢修正為19項，確保趨勢分析結論的統計有效性。三項預先登錄假設因效應量足夠大（|ρ|=0.773–0.983），在修正後仍穩健顯著。</w:t>
      </w:r>
    </w:p>
    <w:bookmarkEnd w:id="49"/>
    <w:bookmarkStart w:id="50" w:name="bert訓練推論一致性的定量評估"/>
    <w:p>
      <w:pPr>
        <w:pStyle w:val="Heading3"/>
      </w:pPr>
      <w:r>
        <w:t xml:space="preserve">12.4 BERT訓練/推論一致性的定量評估</w:t>
      </w:r>
    </w:p>
    <w:p>
      <w:pPr>
        <w:pStyle w:val="FirstParagraph"/>
      </w:pPr>
      <w:r>
        <w:t xml:space="preserve">多病史分析量化了BERT雙向訓練對因果推論任務的架構不匹配效應：Script 25三個累積程式錯誤（架構不匹配+年齡正規化錯誤+去重複化缺失）造成R@1從0.232人為降至0.067（3.5倍假象下降），是醫學AI系統架構選擇的重要警示案例。修正全部錯誤後，R@1=0.232的監測日曆準確度確認有效。</w:t>
      </w:r>
    </w:p>
    <w:p>
      <w:r>
        <w:pict>
          <v:rect style="width:0;height:1.5pt" o:hralign="center" o:hrstd="t" o:hr="t"/>
        </w:pict>
      </w:r>
    </w:p>
    <w:bookmarkEnd w:id="50"/>
    <w:bookmarkEnd w:id="51"/>
    <w:bookmarkStart w:id="55" w:name="十三整合性結論與研究展望"/>
    <w:p>
      <w:pPr>
        <w:pStyle w:val="Heading2"/>
      </w:pPr>
      <w:r>
        <w:t xml:space="preserve">十三、整合性結論與研究展望</w:t>
      </w:r>
    </w:p>
    <w:bookmarkStart w:id="52" w:name="cmuh患者群體的三軸致癌格局"/>
    <w:p>
      <w:pPr>
        <w:pStyle w:val="Heading3"/>
      </w:pPr>
      <w:r>
        <w:t xml:space="preserve">13.1 CMUH患者群體的三軸致癌格局</w:t>
      </w:r>
    </w:p>
    <w:p>
      <w:pPr>
        <w:pStyle w:val="FirstParagraph"/>
      </w:pPr>
      <w:r>
        <w:t xml:space="preserve">基於本系列研究的全景視角，CMUH機構登錄中的癌症共病空間可以以三個互補且非重疊的致癌軸加以統一描述（注意：以下結論來自單中心醫院基礎資料，其方向性可能反映台灣中部整體流行病學格局，但盛行率數值受到轉介偏差影響，不宜直接外推至全國人口）：</w:t>
      </w:r>
    </w:p>
    <w:p>
      <w:pPr>
        <w:pStyle w:val="BodyText"/>
      </w:pPr>
      <w:r>
        <w:rPr>
          <w:bCs/>
          <w:b/>
        </w:rPr>
        <w:t xml:space="preserve">第一軸：UADT場域致癌軸（男性，穩定，台灣特有）</w:t>
      </w:r>
      <w:r>
        <w:t xml:space="preserve"> </w:t>
      </w:r>
      <w:r>
        <w:t xml:space="preserve">- 由台灣特有的檳榔/菸草/酒精三重暴露驅動，在CMUH患者群體中尤為突出</w:t>
      </w:r>
      <w:r>
        <w:t xml:space="preserve"> </w:t>
      </w:r>
      <w:r>
        <w:t xml:space="preserve">- 95–97%男性，中位診斷年齡53歲</w:t>
      </w:r>
      <w:r>
        <w:t xml:space="preserve"> </w:t>
      </w:r>
      <w:r>
        <w:t xml:space="preserve">- 2003–2020年在VAE潛在空間中保持時代穩定（ρ≈0），顯示三重暴露行為未在本研究期間改變</w:t>
      </w:r>
      <w:r>
        <w:t xml:space="preserve"> </w:t>
      </w:r>
      <w:r>
        <w:t xml:space="preserve">- 跨方法三角驗證：SIR=3.8–4.7、TV-Cox HR=2.14、Transformer P(C15|C12)=0.12</w:t>
      </w:r>
    </w:p>
    <w:p>
      <w:pPr>
        <w:pStyle w:val="BodyText"/>
      </w:pPr>
      <w:r>
        <w:rPr>
          <w:bCs/>
          <w:b/>
        </w:rPr>
        <w:t xml:space="preserve">第二軸：HBV/GI代謝軸（跨性別，持續下降）</w:t>
      </w:r>
      <w:r>
        <w:t xml:space="preserve"> </w:t>
      </w:r>
      <w:r>
        <w:t xml:space="preserve">- 由台灣歷史性HBV高盛行率驅動，受惠於1986年起的全面疫苗接種政策</w:t>
      </w:r>
      <w:r>
        <w:t xml:space="preserve"> </w:t>
      </w:r>
      <w:r>
        <w:t xml:space="preserve">- CMUH患者中C22肝HCC發生率ρ=−0.983（下降）持續跨越所有出生世代</w:t>
      </w:r>
      <w:r>
        <w:t xml:space="preserve"> </w:t>
      </w:r>
      <w:r>
        <w:t xml:space="preserve">- 長期監測可量化HBV疫苗在醫院患者群體層次的抗癌效益</w:t>
      </w:r>
    </w:p>
    <w:p>
      <w:pPr>
        <w:pStyle w:val="BodyText"/>
      </w:pPr>
      <w:r>
        <w:rPr>
          <w:bCs/>
          <w:b/>
        </w:rPr>
        <w:t xml:space="preserve">第三軸：荷爾蒙/婦科軸（女性，持續上升）</w:t>
      </w:r>
      <w:r>
        <w:t xml:space="preserve"> </w:t>
      </w:r>
      <w:r>
        <w:t xml:space="preserve">- 以子宮體癌（C54，ρ=+0.925）的快速上升為代表</w:t>
      </w:r>
      <w:r>
        <w:t xml:space="preserve"> </w:t>
      </w:r>
      <w:r>
        <w:t xml:space="preserve">- 與代謝症候群盛行率上升及女性生活型態改變相關</w:t>
      </w:r>
      <w:r>
        <w:t xml:space="preserve"> </w:t>
      </w:r>
      <w:r>
        <w:t xml:space="preserve">- 預期隨人口老化持續增加，是CMUH婦科腫瘤科的重要預期負擔</w:t>
      </w:r>
    </w:p>
    <w:bookmarkEnd w:id="52"/>
    <w:bookmarkStart w:id="53" w:name="臨床轉化的優先事項"/>
    <w:p>
      <w:pPr>
        <w:pStyle w:val="Heading3"/>
      </w:pPr>
      <w:r>
        <w:t xml:space="preserve">13.2 臨床轉化的優先事項</w:t>
      </w:r>
    </w:p>
    <w:p>
      <w:pPr>
        <w:pStyle w:val="FirstParagraph"/>
      </w:pPr>
      <w:r>
        <w:rPr>
          <w:bCs/>
          <w:b/>
        </w:rPr>
        <w:t xml:space="preserve">最高優先（立即可行）</w:t>
      </w:r>
      <w:r>
        <w:t xml:space="preserve">：</w:t>
      </w:r>
      <w:r>
        <w:t xml:space="preserve"> </w:t>
      </w:r>
      <w:r>
        <w:t xml:space="preserve">1.</w:t>
      </w:r>
      <w:r>
        <w:t xml:space="preserve"> </w:t>
      </w:r>
      <w:r>
        <w:rPr>
          <w:bCs/>
          <w:b/>
        </w:rPr>
        <w:t xml:space="preserve">梨狀竇癌患者的常規食道鏡監測</w:t>
      </w:r>
      <w:r>
        <w:t xml:space="preserve">——24.2%共發生率與SIR=3.8提供充分的流行病學依據；監測時間窗（74%在6個月內）已被資料驗證，符合現行指引（Muto 2004，Huang 2015）。</w:t>
      </w:r>
      <w:r>
        <w:t xml:space="preserve"> </w:t>
      </w:r>
      <w:r>
        <w:t xml:space="preserve">2.</w:t>
      </w:r>
      <w:r>
        <w:t xml:space="preserve"> </w:t>
      </w:r>
      <w:r>
        <w:rPr>
          <w:bCs/>
          <w:b/>
        </w:rPr>
        <w:t xml:space="preserve">PTEN種系基因檢測轉介</w:t>
      </w:r>
      <w:r>
        <w:t xml:space="preserve">——3名Cowden症候群高信心候選患者（C50+C54，年齡46/49/57歲）應接受遺傳諮詢。</w:t>
      </w:r>
    </w:p>
    <w:p>
      <w:pPr>
        <w:pStyle w:val="BodyText"/>
      </w:pPr>
      <w:r>
        <w:rPr>
          <w:bCs/>
          <w:b/>
        </w:rPr>
        <w:t xml:space="preserve">高優先（待研究啟動）</w:t>
      </w:r>
      <w:r>
        <w:t xml:space="preserve">：</w:t>
      </w:r>
      <w:r>
        <w:t xml:space="preserve"> </w:t>
      </w:r>
      <w:r>
        <w:t xml:space="preserve">3.</w:t>
      </w:r>
      <w:r>
        <w:t xml:space="preserve"> </w:t>
      </w:r>
      <w:r>
        <w:rPr>
          <w:bCs/>
          <w:b/>
        </w:rPr>
        <w:t xml:space="preserve">監測日曆的電子病歷整合</w:t>
      </w:r>
      <w:r>
        <w:t xml:space="preserve">——以R@1=0.232的Transformer監測日曆為核心，建立首發診斷時自動觸發的後續癌症風險評估工具，UADT患者群體為首要目標。</w:t>
      </w:r>
      <w:r>
        <w:t xml:space="preserve"> </w:t>
      </w:r>
      <w:r>
        <w:t xml:space="preserve">4.</w:t>
      </w:r>
      <w:r>
        <w:t xml:space="preserve"> </w:t>
      </w:r>
      <w:r>
        <w:rPr>
          <w:bCs/>
          <w:b/>
        </w:rPr>
        <w:t xml:space="preserve">全面C50+C54 Cowden篩查</w:t>
      </w:r>
      <w:r>
        <w:t xml:space="preserve">——對全部多重原發癌症患者（不限前1%異常患者）執行match_score=1.0篩選，擴大高信心候選識別。</w:t>
      </w:r>
    </w:p>
    <w:p>
      <w:pPr>
        <w:pStyle w:val="BodyText"/>
      </w:pPr>
      <w:r>
        <w:rPr>
          <w:bCs/>
          <w:b/>
        </w:rPr>
        <w:t xml:space="preserve">中優先（需資料或基礎設施）</w:t>
      </w:r>
      <w:r>
        <w:t xml:space="preserve">：</w:t>
      </w:r>
      <w:r>
        <w:t xml:space="preserve"> </w:t>
      </w:r>
      <w:r>
        <w:t xml:space="preserve">5.</w:t>
      </w:r>
      <w:r>
        <w:t xml:space="preserve"> </w:t>
      </w:r>
      <w:r>
        <w:rPr>
          <w:bCs/>
          <w:b/>
        </w:rPr>
        <w:t xml:space="preserve">因果Transformer重訓練</w:t>
      </w:r>
      <w:r>
        <w:t xml:space="preserve">——GPT式下三角注意力掩碼重訓練，預期多病史推論R@1可恢復至0.15–0.25。</w:t>
      </w:r>
      <w:r>
        <w:t xml:space="preserve"> </w:t>
      </w:r>
      <w:r>
        <w:t xml:space="preserve">6.</w:t>
      </w:r>
      <w:r>
        <w:t xml:space="preserve"> </w:t>
      </w:r>
      <w:r>
        <w:rPr>
          <w:bCs/>
          <w:b/>
        </w:rPr>
        <w:t xml:space="preserve">HBV血清學臨床子隊列整合</w:t>
      </w:r>
      <w:r>
        <w:t xml:space="preserve">——以解決登錄資料中HBV狀態缺失的根本限制。</w:t>
      </w:r>
      <w:r>
        <w:t xml:space="preserve"> </w:t>
      </w:r>
      <w:r>
        <w:t xml:space="preserve">7.</w:t>
      </w:r>
      <w:r>
        <w:t xml:space="preserve"> </w:t>
      </w:r>
      <w:r>
        <w:rPr>
          <w:bCs/>
          <w:b/>
        </w:rPr>
        <w:t xml:space="preserve">登錄覆蓋率補充</w:t>
      </w:r>
      <w:r>
        <w:t xml:space="preserve">——C49/C73/C74的納入，以實現完整的遺傳症候群篩查。</w:t>
      </w:r>
    </w:p>
    <w:bookmarkEnd w:id="53"/>
    <w:bookmarkStart w:id="54" w:name="研究限制的系統性彙整"/>
    <w:p>
      <w:pPr>
        <w:pStyle w:val="Heading3"/>
      </w:pPr>
      <w:r>
        <w:t xml:space="preserve">13.3 研究限制的系統性彙整</w:t>
      </w:r>
    </w:p>
    <w:p>
      <w:pPr>
        <w:pStyle w:val="FirstParagraph"/>
      </w:pPr>
      <w:r>
        <w:rPr>
          <w:bCs/>
          <w:b/>
        </w:rPr>
        <w:t xml:space="preserve">資料層面</w:t>
      </w:r>
      <w:r>
        <w:t xml:space="preserve">：</w:t>
      </w:r>
      <w:r>
        <w:t xml:space="preserve"> </w:t>
      </w:r>
      <w:r>
        <w:t xml:space="preserve">- 無個人基因組/體細胞突變資料，無法識別分子亞型</w:t>
      </w:r>
      <w:r>
        <w:t xml:space="preserve"> </w:t>
      </w:r>
      <w:r>
        <w:t xml:space="preserve">- 無治療記錄，存活模型受治療混淆</w:t>
      </w:r>
      <w:r>
        <w:t xml:space="preserve"> </w:t>
      </w:r>
      <w:r>
        <w:t xml:space="preserve">- 無檳榔/菸草個人暴露量，僅能進行生態層次的暴露推論</w:t>
      </w:r>
      <w:r>
        <w:t xml:space="preserve"> </w:t>
      </w:r>
      <w:r>
        <w:t xml:space="preserve">- 無HBV血清學狀態</w:t>
      </w:r>
    </w:p>
    <w:p>
      <w:pPr>
        <w:pStyle w:val="BodyText"/>
      </w:pPr>
      <w:r>
        <w:rPr>
          <w:bCs/>
          <w:b/>
        </w:rPr>
        <w:t xml:space="preserve">統計層面</w:t>
      </w:r>
      <w:r>
        <w:t xml:space="preserve">：</w:t>
      </w:r>
      <w:r>
        <w:t xml:space="preserve"> </w:t>
      </w:r>
      <w:r>
        <w:t xml:space="preserve">- EPV（事件數/預測因子數）：THCA EPV=10，屬假說生成層次</w:t>
      </w:r>
      <w:r>
        <w:t xml:space="preserve"> </w:t>
      </w:r>
      <w:r>
        <w:t xml:space="preserve">- 遺傳症候群篩查n=3，缺乏背景盛行率分母（無效假設模型）</w:t>
      </w:r>
      <w:r>
        <w:t xml:space="preserve"> </w:t>
      </w:r>
      <w:r>
        <w:t xml:space="preserve">- 多重癌症率的時序下降分析受限於追蹤時間不均一（較晚診斷者追蹤較短）</w:t>
      </w:r>
    </w:p>
    <w:p>
      <w:pPr>
        <w:pStyle w:val="BodyText"/>
      </w:pPr>
      <w:r>
        <w:rPr>
          <w:bCs/>
          <w:b/>
        </w:rPr>
        <w:t xml:space="preserve">驗證層面</w:t>
      </w:r>
      <w:r>
        <w:t xml:space="preserve">：</w:t>
      </w:r>
      <w:r>
        <w:t xml:space="preserve"> </w:t>
      </w:r>
      <w:r>
        <w:t xml:space="preserve">- 所有深度學習發現均為回顧性；R@1=0.232需前瞻性內視鏡產出作為終點的獨立驗證</w:t>
      </w:r>
      <w:r>
        <w:t xml:space="preserve"> </w:t>
      </w:r>
      <w:r>
        <w:t xml:space="preserve">- Basal乳癌HOXB分層的臨床實用性需在前瞻性隊列中驗證</w:t>
      </w:r>
      <w:r>
        <w:t xml:space="preserve"> </w:t>
      </w:r>
      <w:r>
        <w:t xml:space="preserve">- Cowden候選患者為個案層次，需群體層次的PTEN突變率估算</w:t>
      </w:r>
    </w:p>
    <w:p>
      <w:r>
        <w:pict>
          <v:rect style="width:0;height:1.5pt" o:hralign="center" o:hrstd="t" o:hr="t"/>
        </w:pict>
      </w:r>
    </w:p>
    <w:bookmarkEnd w:id="54"/>
    <w:bookmarkEnd w:id="55"/>
    <w:bookmarkStart w:id="56" w:name="資料可及性"/>
    <w:p>
      <w:pPr>
        <w:pStyle w:val="Heading2"/>
      </w:pPr>
      <w:r>
        <w:t xml:space="preserve">資料可及性</w:t>
      </w:r>
    </w:p>
    <w:p>
      <w:pPr>
        <w:pStyle w:val="FirstParagraph"/>
      </w:pPr>
      <w:r>
        <w:t xml:space="preserve">所有分析程式碼公開於：</w:t>
      </w:r>
      <w:r>
        <w:t xml:space="preserve"> </w:t>
      </w:r>
      <w:r>
        <w:t xml:space="preserve">-</w:t>
      </w:r>
      <w:r>
        <w:t xml:space="preserve"> </w:t>
      </w:r>
      <w:r>
        <w:rPr>
          <w:rStyle w:val="VerbatimChar"/>
        </w:rPr>
        <w:t xml:space="preserve">github.com/jnynlin/taiwan-cancer-registry</w:t>
      </w:r>
      <w:r>
        <w:t xml:space="preserve">（CMUH機構登錄系列）</w:t>
      </w:r>
      <w:r>
        <w:t xml:space="preserve"> </w:t>
      </w:r>
      <w:r>
        <w:t xml:space="preserve">-</w:t>
      </w:r>
      <w:r>
        <w:t xml:space="preserve"> </w:t>
      </w:r>
      <w:r>
        <w:rPr>
          <w:rStyle w:val="VerbatimChar"/>
        </w:rPr>
        <w:t xml:space="preserve">github.com/jnynlin/tcga-brca</w:t>
      </w:r>
      <w:r>
        <w:t xml:space="preserve">（TCGA-BRCA）</w:t>
      </w:r>
      <w:r>
        <w:t xml:space="preserve"> </w:t>
      </w:r>
      <w:r>
        <w:t xml:space="preserve">-</w:t>
      </w:r>
      <w:r>
        <w:t xml:space="preserve"> </w:t>
      </w:r>
      <w:r>
        <w:rPr>
          <w:rStyle w:val="VerbatimChar"/>
        </w:rPr>
        <w:t xml:space="preserve">github.com/jnynlin/tcga-thca</w:t>
      </w:r>
      <w:r>
        <w:t xml:space="preserve">（TCGA-THCA）</w:t>
      </w:r>
    </w:p>
    <w:p>
      <w:pPr>
        <w:pStyle w:val="BodyText"/>
      </w:pPr>
      <w:r>
        <w:t xml:space="preserve">患者層級資料受隱私保護而不公開。統計摘要輸出可應要求提供。CMUH機構癌症登錄資料依中山醫學大學附設醫院人體試驗委員會 IRB [編號] 審查通過。TCGA資料依GDC資料使用政策取得，無需額外IRB審查。</w:t>
      </w:r>
    </w:p>
    <w:p>
      <w:r>
        <w:pict>
          <v:rect style="width:0;height:1.5pt" o:hralign="center" o:hrstd="t" o:hr="t"/>
        </w:pict>
      </w:r>
    </w:p>
    <w:bookmarkEnd w:id="56"/>
    <w:bookmarkStart w:id="57" w:name="致謝"/>
    <w:p>
      <w:pPr>
        <w:pStyle w:val="Heading2"/>
      </w:pPr>
      <w:r>
        <w:t xml:space="preserve">致謝</w:t>
      </w:r>
    </w:p>
    <w:p>
      <w:pPr>
        <w:pStyle w:val="FirstParagraph"/>
      </w:pPr>
      <w:r>
        <w:rPr>
          <w:bCs/>
          <w:b/>
        </w:rPr>
        <w:t xml:space="preserve">作者：</w:t>
      </w:r>
      <w:r>
        <w:t xml:space="preserve"> </w:t>
      </w:r>
      <w:r>
        <w:t xml:space="preserve">[AUTHOR 1]¹, [AUTHOR 2]², [CORRESPONDING AUTHOR]¹</w:t>
      </w:r>
      <w:r>
        <w:br/>
      </w:r>
      <w:r>
        <w:rPr>
          <w:bCs/>
          <w:b/>
        </w:rPr>
        <w:t xml:space="preserve">機構：</w:t>
      </w:r>
      <w:r>
        <w:t xml:space="preserve"> </w:t>
      </w:r>
      <w:r>
        <w:t xml:space="preserve">¹[Institution 1], ²[Institution 2]</w:t>
      </w:r>
      <w:r>
        <w:br/>
      </w:r>
      <w:r>
        <w:rPr>
          <w:bCs/>
          <w:b/>
        </w:rPr>
        <w:t xml:space="preserve">通訊作者：</w:t>
      </w:r>
      <w:r>
        <w:t xml:space="preserve"> </w:t>
      </w:r>
      <w:r>
        <w:t xml:space="preserve">[email@institution.edu.tw]</w:t>
      </w:r>
      <w:r>
        <w:br/>
      </w:r>
      <w:r>
        <w:rPr>
          <w:bCs/>
          <w:b/>
        </w:rPr>
        <w:t xml:space="preserve">倫理聲明：</w:t>
      </w:r>
      <w:r>
        <w:t xml:space="preserve"> </w:t>
      </w:r>
      <w:r>
        <w:t xml:space="preserve">IRB [編號]</w:t>
      </w:r>
      <w:r>
        <w:br/>
      </w:r>
      <w:r>
        <w:rPr>
          <w:bCs/>
          <w:b/>
        </w:rPr>
        <w:t xml:space="preserve">資助聲明：</w:t>
      </w:r>
      <w:r>
        <w:t xml:space="preserve"> </w:t>
      </w:r>
      <w:r>
        <w:t xml:space="preserve">[待填]</w:t>
      </w:r>
      <w:r>
        <w:br/>
      </w:r>
      <w:r>
        <w:rPr>
          <w:bCs/>
          <w:b/>
        </w:rPr>
        <w:t xml:space="preserve">利益衝突：</w:t>
      </w:r>
      <w:r>
        <w:t xml:space="preserve"> </w:t>
      </w:r>
      <w:r>
        <w:t xml:space="preserve">無</w:t>
      </w:r>
    </w:p>
    <w:p>
      <w:r>
        <w:pict>
          <v:rect style="width:0;height:1.5pt" o:hralign="center" o:hrstd="t" o:hr="t"/>
        </w:pict>
      </w:r>
    </w:p>
    <w:p>
      <w:pPr>
        <w:pStyle w:val="FirstParagraph"/>
      </w:pPr>
      <w:r>
        <w:rPr>
          <w:iCs/>
          <w:i/>
        </w:rPr>
        <w:t xml:space="preserve">本總論版本：2026-06-06。涵蓋17個子計畫之核心發現，包含三項方法學修正（比例風險假設、不死時間偏差、時序自相關）及其對研究結論的影響說明。</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2026-06-06T05:15:56Z</dcterms:created>
  <dcterms:modified xsi:type="dcterms:W3CDTF">2026-06-06T05:15:56Z</dcterms:modified>
</cp:coreProperties>
</file>

<file path=docProps/custom.xml><?xml version="1.0" encoding="utf-8"?>
<Properties xmlns="http://schemas.openxmlformats.org/officeDocument/2006/custom-properties" xmlns:vt="http://schemas.openxmlformats.org/officeDocument/2006/docPropsVTypes"/>
</file>