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4e79"/>
          <w:sz w:val="40"/>
          <w:szCs w:val="40"/>
          <w:rtl w:val="0"/>
        </w:rPr>
        <w:t xml:space="preserve"> Text-to-SQL Evaluation Project</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color w:val="444444"/>
          <w:sz w:val="26"/>
          <w:szCs w:val="26"/>
          <w:rtl w:val="0"/>
        </w:rPr>
        <w:t xml:space="preserve">Approach and Methodology Report</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tl w:val="0"/>
        </w:rPr>
      </w:r>
    </w:p>
    <w:p w:rsidR="00000000" w:rsidDel="00000000" w:rsidP="00000000" w:rsidRDefault="00000000" w:rsidRPr="00000000" w14:paraId="00000004">
      <w:pPr>
        <w:pStyle w:val="Heading1"/>
        <w:pBdr>
          <w:bottom w:color="1f4e79" w:space="4" w:sz="6" w:val="single"/>
        </w:pBdr>
        <w:spacing w:after="160" w:before="320" w:lineRule="auto"/>
        <w:rPr/>
      </w:pPr>
      <w:r w:rsidDel="00000000" w:rsidR="00000000" w:rsidRPr="00000000">
        <w:rPr>
          <w:b w:val="1"/>
          <w:bCs w:val="1"/>
          <w:color w:val="1f4e79"/>
          <w:sz w:val="28"/>
          <w:szCs w:val="28"/>
          <w:rtl w:val="0"/>
        </w:rPr>
        <w:t xml:space="preserve">1. Project Overview</w:t>
      </w:r>
      <w:r w:rsidDel="00000000" w:rsidR="00000000" w:rsidRPr="00000000">
        <w:rPr>
          <w:rtl w:val="0"/>
        </w:rPr>
      </w:r>
    </w:p>
    <w:p w:rsidR="00000000" w:rsidDel="00000000" w:rsidP="00000000" w:rsidRDefault="00000000" w:rsidRPr="00000000" w14:paraId="00000005">
      <w:pPr>
        <w:spacing w:after="160" w:line="300" w:lineRule="auto"/>
        <w:rPr/>
      </w:pPr>
      <w:r w:rsidDel="00000000" w:rsidR="00000000" w:rsidRPr="00000000">
        <w:rPr>
          <w:sz w:val="22"/>
          <w:szCs w:val="22"/>
          <w:rtl w:val="0"/>
        </w:rPr>
        <w:t xml:space="preserve">This project set out to build a complete evaluation environment for a read-only Text-to-SQL / RAG assistant designed to answer natural-language HR questions against relational databases. The scope covered three separate database engines PostgreSQL, MySQL, and SQL Server — each following a database-per-tenant isolation model with three independent tenant databases per engine, plus a golden evaluation dataset of hand-verified test cases used to score the assistant's correctness, language handling, and safety behavior.</w:t>
      </w:r>
      <w:r w:rsidDel="00000000" w:rsidR="00000000" w:rsidRPr="00000000">
        <w:rPr>
          <w:rtl w:val="0"/>
        </w:rPr>
      </w:r>
    </w:p>
    <w:p w:rsidR="00000000" w:rsidDel="00000000" w:rsidP="00000000" w:rsidRDefault="00000000" w:rsidRPr="00000000" w14:paraId="00000006">
      <w:pPr>
        <w:spacing w:after="160" w:line="300" w:lineRule="auto"/>
        <w:rPr/>
      </w:pPr>
      <w:r w:rsidDel="00000000" w:rsidR="00000000" w:rsidRPr="00000000">
        <w:rPr>
          <w:sz w:val="22"/>
          <w:szCs w:val="22"/>
          <w:rtl w:val="0"/>
        </w:rPr>
        <w:t xml:space="preserve">The work naturally split into four phases: understanding the requirements and designing a schema that could realistically exercise every required test category, choosing a working environment that could support three different engines at once, generating the seed data in a deliberate and verifiable way, and finally reviewing everything for mistakes and correcting them before the dataset could be trusted as “golden.”</w:t>
      </w:r>
      <w:r w:rsidDel="00000000" w:rsidR="00000000" w:rsidRPr="00000000">
        <w:rPr>
          <w:rtl w:val="0"/>
        </w:rPr>
      </w:r>
    </w:p>
    <w:p w:rsidR="00000000" w:rsidDel="00000000" w:rsidP="00000000" w:rsidRDefault="00000000" w:rsidRPr="00000000" w14:paraId="00000007">
      <w:pPr>
        <w:pStyle w:val="Heading1"/>
        <w:pBdr>
          <w:bottom w:color="1f4e79" w:space="4" w:sz="6" w:val="single"/>
        </w:pBdr>
        <w:spacing w:after="160" w:before="320" w:lineRule="auto"/>
        <w:rPr/>
      </w:pPr>
      <w:r w:rsidDel="00000000" w:rsidR="00000000" w:rsidRPr="00000000">
        <w:rPr>
          <w:b w:val="1"/>
          <w:bCs w:val="1"/>
          <w:color w:val="1f4e79"/>
          <w:sz w:val="28"/>
          <w:szCs w:val="28"/>
          <w:rtl w:val="0"/>
        </w:rPr>
        <w:t xml:space="preserve">2. Understanding the Requirements and Designing the Schema</w:t>
      </w:r>
      <w:r w:rsidDel="00000000" w:rsidR="00000000" w:rsidRPr="00000000">
        <w:rPr>
          <w:rtl w:val="0"/>
        </w:rPr>
      </w:r>
    </w:p>
    <w:p w:rsidR="00000000" w:rsidDel="00000000" w:rsidP="00000000" w:rsidRDefault="00000000" w:rsidRPr="00000000" w14:paraId="00000008">
      <w:pPr>
        <w:spacing w:after="160" w:line="300" w:lineRule="auto"/>
        <w:rPr/>
      </w:pPr>
      <w:r w:rsidDel="00000000" w:rsidR="00000000" w:rsidRPr="00000000">
        <w:rPr>
          <w:sz w:val="22"/>
          <w:szCs w:val="22"/>
          <w:rtl w:val="0"/>
        </w:rPr>
        <w:t xml:space="preserve">This phase took the largest share of the total time. The requirement was not just to have a database with some HR data in it, but to have a schema rich enough that every evaluation category — lookups, filtering, sorting, aggregation, date-based queries, multi-table joins, ambiguous questions, unanswerable questions, zero-result queries, out-of-scope tables, and unsafe or security-sensitive operations — could be exercised by real, naturally occurring data rather than artificial or contrived examples.</w:t>
      </w:r>
      <w:r w:rsidDel="00000000" w:rsidR="00000000" w:rsidRPr="00000000">
        <w:rPr>
          <w:rtl w:val="0"/>
        </w:rPr>
      </w:r>
    </w:p>
    <w:p w:rsidR="00000000" w:rsidDel="00000000" w:rsidP="00000000" w:rsidRDefault="00000000" w:rsidRPr="00000000" w14:paraId="00000009">
      <w:pPr>
        <w:spacing w:after="160" w:line="300" w:lineRule="auto"/>
        <w:rPr/>
      </w:pPr>
      <w:r w:rsidDel="00000000" w:rsidR="00000000" w:rsidRPr="00000000">
        <w:rPr>
          <w:sz w:val="22"/>
          <w:szCs w:val="22"/>
          <w:rtl w:val="0"/>
        </w:rPr>
        <w:t xml:space="preserve">Translating each abstract requirement into a concrete schema decision required careful thought. For example: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role_permissions table was added specifically so security and access-control scenarios would have something real to query against.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employee_bank_accounts table was added on purpose as an out-of-scope table, so refusal behavior could be tested against a table that genuinely exists and contains real (synthetic) data, not just an imaginary one.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Department, role, and attendance data were shaped so that a truly empty department and other zero-result scenarios would occur naturally in the data rather than being faked.</w:t>
      </w:r>
      <w:r w:rsidDel="00000000" w:rsidR="00000000" w:rsidRPr="00000000">
        <w:rPr>
          <w:rtl w:val="0"/>
        </w:rPr>
      </w:r>
    </w:p>
    <w:p w:rsidR="00000000" w:rsidDel="00000000" w:rsidP="00000000" w:rsidRDefault="00000000" w:rsidRPr="00000000" w14:paraId="0000000D">
      <w:pPr>
        <w:spacing w:after="160" w:line="300" w:lineRule="auto"/>
        <w:rPr/>
      </w:pPr>
      <w:r w:rsidDel="00000000" w:rsidR="00000000" w:rsidRPr="00000000">
        <w:rPr>
          <w:sz w:val="22"/>
          <w:szCs w:val="22"/>
          <w:rtl w:val="0"/>
        </w:rPr>
        <w:t xml:space="preserve">Because the same schema had to be replicated identically across three engines with three different SQL dialects and constraints, every design decision also had to be checked for portability before it could be finalized, which added another layer of iteration to this phase.</w:t>
      </w:r>
      <w:r w:rsidDel="00000000" w:rsidR="00000000" w:rsidRPr="00000000">
        <w:rPr>
          <w:rtl w:val="0"/>
        </w:rPr>
      </w:r>
    </w:p>
    <w:p w:rsidR="00000000" w:rsidDel="00000000" w:rsidP="00000000" w:rsidRDefault="00000000" w:rsidRPr="00000000" w14:paraId="0000000E">
      <w:pPr>
        <w:pStyle w:val="Heading1"/>
        <w:pBdr>
          <w:bottom w:color="1f4e79" w:space="4" w:sz="6" w:val="single"/>
        </w:pBdr>
        <w:spacing w:after="160" w:before="320" w:lineRule="auto"/>
        <w:rPr/>
      </w:pPr>
      <w:r w:rsidDel="00000000" w:rsidR="00000000" w:rsidRPr="00000000">
        <w:rPr>
          <w:b w:val="1"/>
          <w:bCs w:val="1"/>
          <w:color w:val="1f4e79"/>
          <w:sz w:val="28"/>
          <w:szCs w:val="28"/>
          <w:rtl w:val="0"/>
        </w:rPr>
        <w:t xml:space="preserve">3. Tooling Choice: DBeaver</w:t>
      </w:r>
      <w:r w:rsidDel="00000000" w:rsidR="00000000" w:rsidRPr="00000000">
        <w:rPr>
          <w:rtl w:val="0"/>
        </w:rPr>
      </w:r>
    </w:p>
    <w:p w:rsidR="00000000" w:rsidDel="00000000" w:rsidP="00000000" w:rsidRDefault="00000000" w:rsidRPr="00000000" w14:paraId="0000000F">
      <w:pPr>
        <w:spacing w:after="160" w:line="300" w:lineRule="auto"/>
        <w:rPr/>
      </w:pPr>
      <w:r w:rsidDel="00000000" w:rsidR="00000000" w:rsidRPr="00000000">
        <w:rPr>
          <w:sz w:val="22"/>
          <w:szCs w:val="22"/>
          <w:rtl w:val="0"/>
        </w:rPr>
        <w:t xml:space="preserve">DBeaver was chosen as the primary working environment because it is one of the few tools that lets you connect to and work with PostgreSQL, MySQL, and SQL Server side by side in a single interface. Since the same schema and seed data needed to be authored three times — with engine-specific syntax such as SERIAL versus AUTO_INCREMENT versus IDENTITY, different quoting and encoding rules, and different date functions — having all three engines reachable from one tool made it far easier to keep the underlying data identical while adapting only the syntax that had to differ.</w:t>
      </w:r>
      <w:r w:rsidDel="00000000" w:rsidR="00000000" w:rsidRPr="00000000">
        <w:rPr>
          <w:rtl w:val="0"/>
        </w:rPr>
      </w:r>
    </w:p>
    <w:p w:rsidR="00000000" w:rsidDel="00000000" w:rsidP="00000000" w:rsidRDefault="00000000" w:rsidRPr="00000000" w14:paraId="00000010">
      <w:pPr>
        <w:spacing w:after="160" w:line="300" w:lineRule="auto"/>
        <w:rPr/>
      </w:pPr>
      <w:r w:rsidDel="00000000" w:rsidR="00000000" w:rsidRPr="00000000">
        <w:rPr>
          <w:sz w:val="22"/>
          <w:szCs w:val="22"/>
          <w:rtl w:val="0"/>
        </w:rPr>
        <w:t xml:space="preserve">In practice, this meant running the DDL and seed scripts against all three engines from the same session, then re-running verification queries — row counts, joins, aggregates — directly in DBeaver against each engine to confirm they returned identical results before locking a case's Expected SQL and Expected Final Answer into the golden dataset. Being able to switch connections without leaving the tool made the cross-engine consistency checks (for example, confirming that a LIMIT 5 query in PostgreSQL/MySQL and the equivalent TOP 5 query in SQL Server return exactly the same rows) much faster than working with three separate clients would have been.</w:t>
      </w:r>
      <w:r w:rsidDel="00000000" w:rsidR="00000000" w:rsidRPr="00000000">
        <w:rPr>
          <w:rtl w:val="0"/>
        </w:rPr>
      </w:r>
    </w:p>
    <w:p w:rsidR="00000000" w:rsidDel="00000000" w:rsidP="00000000" w:rsidRDefault="00000000" w:rsidRPr="00000000" w14:paraId="00000011">
      <w:pPr>
        <w:pStyle w:val="Heading1"/>
        <w:pBdr>
          <w:bottom w:color="1f4e79" w:space="4" w:sz="6" w:val="single"/>
        </w:pBdr>
        <w:spacing w:after="160" w:before="320" w:lineRule="auto"/>
        <w:rPr/>
      </w:pPr>
      <w:r w:rsidDel="00000000" w:rsidR="00000000" w:rsidRPr="00000000">
        <w:rPr>
          <w:b w:val="1"/>
          <w:bCs w:val="1"/>
          <w:color w:val="1f4e79"/>
          <w:sz w:val="28"/>
          <w:szCs w:val="28"/>
          <w:rtl w:val="0"/>
        </w:rPr>
        <w:t xml:space="preserve">4. Data Generation Methodology</w:t>
      </w:r>
      <w:r w:rsidDel="00000000" w:rsidR="00000000" w:rsidRPr="00000000">
        <w:rPr>
          <w:rtl w:val="0"/>
        </w:rPr>
      </w:r>
    </w:p>
    <w:p w:rsidR="00000000" w:rsidDel="00000000" w:rsidP="00000000" w:rsidRDefault="00000000" w:rsidRPr="00000000" w14:paraId="00000012">
      <w:pPr>
        <w:spacing w:after="160" w:line="300" w:lineRule="auto"/>
        <w:rPr/>
      </w:pPr>
      <w:r w:rsidDel="00000000" w:rsidR="00000000" w:rsidRPr="00000000">
        <w:rPr>
          <w:sz w:val="22"/>
          <w:szCs w:val="22"/>
          <w:rtl w:val="0"/>
        </w:rPr>
        <w:t xml:space="preserve">Every value in the seed data was chosen deliberately rather than typed in arbitrarily, so that every downstream test case would have a deterministic, calculable expected answer. Salary bands, hire dates, attendance records, and department/role assignments were all shaped with specific test scenarios in mind: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Salary and hire-date ranges wide enough to produce meaningful filtering, sorting, and aggregation results (for example, a clear top-5 by salary, and a clean split around common thresholds).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attendance window anchored to a fixed evaluation date, so that relative date filters (“last 7 days,” “more than 5 years of tenure”) would always resolve to the same, reproducible answer regardless of when the assistant is actually evaluated.</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least one inactive employee and one genuinely empty department, so status filters and zero-result cases are backed by real data rather than a hypothetical scenario.</w:t>
      </w:r>
      <w:r w:rsidDel="00000000" w:rsidR="00000000" w:rsidRPr="00000000">
        <w:rPr>
          <w:rtl w:val="0"/>
        </w:rPr>
      </w:r>
    </w:p>
    <w:p w:rsidR="00000000" w:rsidDel="00000000" w:rsidP="00000000" w:rsidRDefault="00000000" w:rsidRPr="00000000" w14:paraId="00000016">
      <w:pPr>
        <w:spacing w:after="160" w:line="300" w:lineRule="auto"/>
        <w:rPr/>
      </w:pPr>
      <w:r w:rsidDel="00000000" w:rsidR="00000000" w:rsidRPr="00000000">
        <w:rPr>
          <w:sz w:val="22"/>
          <w:szCs w:val="22"/>
          <w:rtl w:val="0"/>
        </w:rPr>
        <w:t xml:space="preserve">Because every fact was chosen this way, each case in the golden dataset could commit to an exact Expected Final Answer — a specific row count, a specific set of names, a specific aggregate value — rather than a vague description of expected behavior. This is also what made it possible, later, to build a much larger (~100,000-row) synthetic dataset for load and performance testing using the same schema, naming conventions, and generation logic, while keeping it clearly separate from the golden dataset, since data at that scale can no longer be verified by hand.</w:t>
      </w:r>
      <w:r w:rsidDel="00000000" w:rsidR="00000000" w:rsidRPr="00000000">
        <w:rPr>
          <w:rtl w:val="0"/>
        </w:rPr>
      </w:r>
    </w:p>
    <w:p w:rsidR="00000000" w:rsidDel="00000000" w:rsidP="00000000" w:rsidRDefault="00000000" w:rsidRPr="00000000" w14:paraId="00000017">
      <w:pPr>
        <w:pStyle w:val="Heading1"/>
        <w:pBdr>
          <w:bottom w:color="1f4e79" w:space="4" w:sz="6" w:val="single"/>
        </w:pBdr>
        <w:spacing w:after="160" w:before="320" w:lineRule="auto"/>
        <w:rPr/>
      </w:pPr>
      <w:r w:rsidDel="00000000" w:rsidR="00000000" w:rsidRPr="00000000">
        <w:rPr>
          <w:b w:val="1"/>
          <w:bCs w:val="1"/>
          <w:color w:val="1f4e79"/>
          <w:sz w:val="28"/>
          <w:szCs w:val="28"/>
          <w:rtl w:val="0"/>
        </w:rPr>
        <w:t xml:space="preserve">5. Review Process: Finding and Fixing Errors</w:t>
      </w:r>
      <w:r w:rsidDel="00000000" w:rsidR="00000000" w:rsidRPr="00000000">
        <w:rPr>
          <w:rtl w:val="0"/>
        </w:rPr>
      </w:r>
    </w:p>
    <w:p w:rsidR="00000000" w:rsidDel="00000000" w:rsidP="00000000" w:rsidRDefault="00000000" w:rsidRPr="00000000" w14:paraId="00000018">
      <w:pPr>
        <w:spacing w:after="160" w:line="300" w:lineRule="auto"/>
        <w:rPr/>
      </w:pPr>
      <w:r w:rsidDel="00000000" w:rsidR="00000000" w:rsidRPr="00000000">
        <w:rPr>
          <w:sz w:val="22"/>
          <w:szCs w:val="22"/>
          <w:rtl w:val="0"/>
        </w:rPr>
        <w:t xml:space="preserve">Once the first version of the dataset existed, it was reviewed systematically by cross-checking every Expected Final Answer against what the seed data would actually produce, and by re-running the underlying DDL/seed scripts end to end on each engine. This review surfaced several real mistakes, each of which was traced back to its root cause and corrected rather than patched superficially. The table below summarizes the main issues found and how each was resolved.</w:t>
      </w: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5500"/>
        <w:tblGridChange w:id="0">
          <w:tblGrid>
            <w:gridCol w:w="4300"/>
            <w:gridCol w:w="5500"/>
          </w:tblGrid>
        </w:tblGridChange>
      </w:tblGrid>
      <w:tr>
        <w:trPr>
          <w:cantSplit w:val="0"/>
          <w:tblHeader w:val="1"/>
        </w:trPr>
        <w:tc>
          <w:tcPr>
            <w:shd w:fill="1f4e79" w:val="clear"/>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Issue identified</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1A">
            <w:pPr>
              <w:rPr/>
            </w:pPr>
            <w:r w:rsidDel="00000000" w:rsidR="00000000" w:rsidRPr="00000000">
              <w:rPr>
                <w:b w:val="1"/>
                <w:bCs w:val="1"/>
                <w:color w:val="ffffff"/>
                <w:sz w:val="20"/>
                <w:szCs w:val="20"/>
                <w:rtl w:val="0"/>
              </w:rPr>
              <w:t xml:space="preserve">Resolution applied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B">
            <w:pPr>
              <w:rPr/>
            </w:pPr>
            <w:r w:rsidDel="00000000" w:rsidR="00000000" w:rsidRPr="00000000">
              <w:rPr>
                <w:b w:val="0"/>
                <w:bCs w:val="0"/>
                <w:color w:val="000000"/>
                <w:sz w:val="20"/>
                <w:szCs w:val="20"/>
                <w:rtl w:val="0"/>
              </w:rPr>
              <w:t xml:space="preserve">Reserved case numbers left unfilled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b w:val="0"/>
                <w:bCs w:val="0"/>
                <w:color w:val="000000"/>
                <w:sz w:val="20"/>
                <w:szCs w:val="20"/>
                <w:rtl w:val="0"/>
              </w:rPr>
              <w:t xml:space="preserve">Went back and completed every reserved ID with a fully computed, hand-verified case instead of leaving a placeholder.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b w:val="0"/>
                <w:bCs w:val="0"/>
                <w:color w:val="000000"/>
                <w:sz w:val="20"/>
                <w:szCs w:val="20"/>
                <w:rtl w:val="0"/>
              </w:rPr>
              <w:t xml:space="preserve">Missing Arabic/English equivalence pairs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b w:val="0"/>
                <w:bCs w:val="0"/>
                <w:color w:val="000000"/>
                <w:sz w:val="20"/>
                <w:szCs w:val="20"/>
                <w:rtl w:val="0"/>
              </w:rPr>
              <w:t xml:space="preserve">Identified questions that had only one language variant and authored the missing counterpart to complete the pair.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b w:val="0"/>
                <w:bCs w:val="0"/>
                <w:color w:val="000000"/>
                <w:sz w:val="20"/>
                <w:szCs w:val="20"/>
                <w:rtl w:val="0"/>
              </w:rPr>
              <w:t xml:space="preserve">Incorrect canary value in a security test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b w:val="0"/>
                <w:bCs w:val="0"/>
                <w:color w:val="000000"/>
                <w:sz w:val="20"/>
                <w:szCs w:val="20"/>
                <w:rtl w:val="0"/>
              </w:rPr>
              <w:t xml:space="preserve">A refusal test referenced the wrong employee's IBAN. Traced it back to the seed data and corrected it to the real seeded value for the correct employee, across all three engine sheets.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b w:val="0"/>
                <w:bCs w:val="0"/>
                <w:color w:val="000000"/>
                <w:sz w:val="20"/>
                <w:szCs w:val="20"/>
                <w:rtl w:val="0"/>
              </w:rPr>
              <w:t xml:space="preserve">SQL Server rejected explicit IDs into IDENTITY columns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b w:val="0"/>
                <w:bCs w:val="0"/>
                <w:color w:val="000000"/>
                <w:sz w:val="20"/>
                <w:szCs w:val="20"/>
                <w:rtl w:val="0"/>
              </w:rPr>
              <w:t xml:space="preserve">Wrapped the relevant inserts in SET IDENTITY_INSERT ON / OFF for every table in every tenant.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b w:val="0"/>
                <w:bCs w:val="0"/>
                <w:color w:val="000000"/>
                <w:sz w:val="20"/>
                <w:szCs w:val="20"/>
                <w:rtl w:val="0"/>
              </w:rPr>
              <w:t xml:space="preserve">Arabic text corruption risk on SQL Server and MySQL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b w:val="0"/>
                <w:bCs w:val="0"/>
                <w:color w:val="000000"/>
                <w:sz w:val="20"/>
                <w:szCs w:val="20"/>
                <w:rtl w:val="0"/>
              </w:rPr>
              <w:t xml:space="preserve">Added the N'' prefix to every Arabic literal in SQL Server and enforced utf8mb4 charset/collation on every MySQL table.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b w:val="0"/>
                <w:bCs w:val="0"/>
                <w:color w:val="000000"/>
                <w:sz w:val="20"/>
                <w:szCs w:val="20"/>
                <w:rtl w:val="0"/>
              </w:rPr>
              <w:t xml:space="preserve">PostgreSQL sequence collision after explicit-ID inserts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b w:val="0"/>
                <w:bCs w:val="0"/>
                <w:color w:val="000000"/>
                <w:sz w:val="20"/>
                <w:szCs w:val="20"/>
                <w:rtl w:val="0"/>
              </w:rPr>
              <w:t xml:space="preserve">Added setval() calls for every SERIAL sequence so the next auto-generated ID would not collide with seeded rows.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b w:val="0"/>
                <w:bCs w:val="0"/>
                <w:color w:val="000000"/>
                <w:sz w:val="20"/>
                <w:szCs w:val="20"/>
                <w:rtl w:val="0"/>
              </w:rPr>
              <w:t xml:space="preserve">No genuine zero-result department existed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b w:val="0"/>
                <w:bCs w:val="0"/>
                <w:color w:val="000000"/>
                <w:sz w:val="20"/>
                <w:szCs w:val="20"/>
                <w:rtl w:val="0"/>
              </w:rPr>
              <w:t xml:space="preserve">Added an “IT Security” department with zero employees so the zero-result category is backed by a real, not simulated, scenario.</w:t>
            </w:r>
            <w:r w:rsidDel="00000000" w:rsidR="00000000" w:rsidRPr="00000000">
              <w:rPr>
                <w:rtl w:val="0"/>
              </w:rPr>
            </w:r>
          </w:p>
        </w:tc>
      </w:tr>
    </w:tbl>
    <w:p w:rsidR="00000000" w:rsidDel="00000000" w:rsidP="00000000" w:rsidRDefault="00000000" w:rsidRPr="00000000" w14:paraId="00000029">
      <w:pPr>
        <w:spacing w:before="200" w:lineRule="auto"/>
        <w:rPr/>
      </w:pPr>
      <w:r w:rsidDel="00000000" w:rsidR="00000000" w:rsidRPr="00000000">
        <w:rPr>
          <w:rtl w:val="0"/>
        </w:rPr>
      </w:r>
    </w:p>
    <w:p w:rsidR="00000000" w:rsidDel="00000000" w:rsidP="00000000" w:rsidRDefault="00000000" w:rsidRPr="00000000" w14:paraId="0000002A">
      <w:pPr>
        <w:spacing w:after="160" w:line="300" w:lineRule="auto"/>
        <w:rPr/>
      </w:pPr>
      <w:r w:rsidDel="00000000" w:rsidR="00000000" w:rsidRPr="00000000">
        <w:rPr>
          <w:sz w:val="22"/>
          <w:szCs w:val="22"/>
          <w:rtl w:val="0"/>
        </w:rPr>
        <w:t xml:space="preserve">Every fix above was followed by re-running the affected verification queries in DBeaver against the relevant tenant and engine, and recording the result, rather than assuming the fix was correct. This is what allowed the final dataset to be accompanied by a Compliance Matrix (mapping each requirement to the cases that cover it) and a Validation Log (recording the outcome of every automated check), so the “golden” label reflects an audited and re-verified state rather than a single unchecked pass.</w:t>
      </w:r>
      <w:r w:rsidDel="00000000" w:rsidR="00000000" w:rsidRPr="00000000">
        <w:rPr>
          <w:rtl w:val="0"/>
        </w:rPr>
      </w:r>
    </w:p>
    <w:p w:rsidR="00000000" w:rsidDel="00000000" w:rsidP="00000000" w:rsidRDefault="00000000" w:rsidRPr="00000000" w14:paraId="0000002B">
      <w:pPr>
        <w:pStyle w:val="Heading1"/>
        <w:pBdr>
          <w:bottom w:color="1f4e79" w:space="4" w:sz="6" w:val="single"/>
        </w:pBdr>
        <w:spacing w:after="160" w:before="320" w:lineRule="auto"/>
        <w:rPr/>
      </w:pPr>
      <w:r w:rsidDel="00000000" w:rsidR="00000000" w:rsidRPr="00000000">
        <w:rPr>
          <w:b w:val="1"/>
          <w:bCs w:val="1"/>
          <w:color w:val="1f4e79"/>
          <w:sz w:val="28"/>
          <w:szCs w:val="28"/>
          <w:rtl w:val="0"/>
        </w:rPr>
        <w:t xml:space="preserve">6. Outcome</w:t>
      </w:r>
      <w:r w:rsidDel="00000000" w:rsidR="00000000" w:rsidRPr="00000000">
        <w:rPr>
          <w:rtl w:val="0"/>
        </w:rPr>
      </w:r>
    </w:p>
    <w:p w:rsidR="00000000" w:rsidDel="00000000" w:rsidP="00000000" w:rsidRDefault="00000000" w:rsidRPr="00000000" w14:paraId="0000002C">
      <w:pPr>
        <w:spacing w:after="160" w:line="300" w:lineRule="auto"/>
        <w:rPr/>
      </w:pPr>
      <w:r w:rsidDel="00000000" w:rsidR="00000000" w:rsidRPr="00000000">
        <w:rPr>
          <w:sz w:val="22"/>
          <w:szCs w:val="22"/>
          <w:rtl w:val="0"/>
        </w:rPr>
        <w:t xml:space="preserve">The result of this process is three fully seeded, multi-tenant HR databases replicated consistently across PostgreSQL, MySQL, and SQL Server; a 156-case golden evaluation dataset (52 cases per engine) with hand-verified expected answers, data provenance for hallucination checking, and full coverage of every required test category and language variant; and a supplementary ~100,000-row synthetic dataset for performance and load testing, kept intentionally separate from the golden dataset. Two self-audit artifacts — the Compliance Matrix and the Validation Log — document exactly what has been verified and what remains open, so the state of the evaluation suite is transparent rather than assumed.</w:t>
      </w:r>
      <w:r w:rsidDel="00000000" w:rsidR="00000000" w:rsidRPr="00000000">
        <w:rPr>
          <w:rtl w:val="0"/>
        </w:rPr>
      </w:r>
    </w:p>
    <w:sectPr>
      <w:pgSz w:h="16838" w:w="11906"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6yzfGuNHlv7/bkglutEvgcwpg==">CgMxLjA4AHIhMU1ZU1hrR08zc1ljRk5McWttY0l3aU9wOUZncTBpOHhJ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2026-09-27T20:33:00.384Z</dcterms:created>
  <dc:creator>Un-named</dc:creator>
</cp:coreProperties>
</file>

<file path=docProps/custom.xml><?xml version="1.0" encoding="utf-8"?>
<Properties xmlns="http://schemas.openxmlformats.org/officeDocument/2006/custom-properties" xmlns:vt="http://schemas.openxmlformats.org/officeDocument/2006/docPropsVTypes"/>
</file>