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1143000" cy="2232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n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2328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143000" cy="1649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v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64980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</w:p>
    <w:p>
      <w:pPr>
        <w:spacing w:after="60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/>
          <w:p>
            <w:pPr>
              <w:spacing w:after="160"/>
              <w:jc w:val="center"/>
            </w:pPr>
            <w:r>
              <w:rPr>
                <w:rFonts w:ascii="Cambria" w:hAnsi="Cambria"/>
                <w:b w:val="0"/>
                <w:i w:val="0"/>
                <w:color w:val="FFFFFF"/>
                <w:sz w:val="22"/>
              </w:rPr>
              <w:t>GUÍA DE USUARIO</w:t>
            </w:r>
          </w:p>
          <w:p>
            <w:pPr>
              <w:spacing w:after="1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52"/>
              </w:rPr>
              <w:t>DOCUMENT PROCESSOR</w:t>
            </w:r>
          </w:p>
          <w:p>
            <w:pPr>
              <w:spacing w:after="160"/>
              <w:jc w:val="center"/>
            </w:pPr>
            <w:r>
              <w:rPr>
                <w:rFonts w:ascii="Cambria" w:hAnsi="Cambria"/>
                <w:b w:val="0"/>
                <w:i w:val="0"/>
                <w:color w:val="FFFFFF"/>
                <w:sz w:val="26"/>
              </w:rPr>
              <w:t>Sistema de análisis y aprendizaje documental</w:t>
            </w:r>
          </w:p>
        </w:tc>
      </w:tr>
    </w:tbl>
    <w:p>
      <w:pPr>
        <w:spacing w:after="720"/>
      </w:pPr>
    </w:p>
    <w:p>
      <w:pPr>
        <w:jc w:val="center"/>
      </w:pPr>
      <w:r>
        <w:rPr>
          <w:rFonts w:ascii="Cambria" w:hAnsi="Cambria"/>
          <w:b/>
          <w:i w:val="0"/>
          <w:color w:val="0A1E4D"/>
          <w:sz w:val="22"/>
        </w:rPr>
        <w:t>Manual integral para operación pública, administración e integración API</w:t>
      </w:r>
    </w:p>
    <w:p>
      <w:pPr>
        <w:jc w:val="center"/>
      </w:pPr>
      <w:r>
        <w:rPr>
          <w:rFonts w:ascii="Arial" w:hAnsi="Arial"/>
          <w:b w:val="0"/>
          <w:i w:val="0"/>
          <w:color w:val="555555"/>
          <w:sz w:val="18"/>
        </w:rPr>
        <w:t>Versión 1.0  |  Agosto de 2026</w:t>
      </w:r>
    </w:p>
    <w:p>
      <w:r>
        <w:br w:type="page"/>
      </w:r>
    </w:p>
    <w:p>
      <w:pPr>
        <w:pStyle w:val="Heading1"/>
      </w:pPr>
      <w:r>
        <w:t>Control documental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Este manual describe la versión desplegada de Document Processor en AWS EC2 y debe actualizarse cuando cambien los flujos visibles, los permisos o los endpoints públicos.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Elemento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Documento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Manual de usuario de Document Processor</w:t>
            </w:r>
          </w:p>
        </w:tc>
      </w:tr>
      <w:tr>
        <w:tc>
          <w:tcPr>
            <w:tcW w:type="dxa" w:w="25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Versión</w:t>
            </w:r>
          </w:p>
        </w:tc>
        <w:tc>
          <w:tcPr>
            <w:tcW w:type="dxa" w:w="68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1.0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Fecha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25 de agosto de 2026</w:t>
            </w:r>
          </w:p>
        </w:tc>
      </w:tr>
      <w:tr>
        <w:tc>
          <w:tcPr>
            <w:tcW w:type="dxa" w:w="25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Estado</w:t>
            </w:r>
          </w:p>
        </w:tc>
        <w:tc>
          <w:tcPr>
            <w:tcW w:type="dxa" w:w="68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Vigente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Cobertura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Analizador público, consola administrativa e integración API</w:t>
            </w:r>
          </w:p>
        </w:tc>
      </w:tr>
      <w:tr>
        <w:tc>
          <w:tcPr>
            <w:tcW w:type="dxa" w:w="25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Entorno verificado</w:t>
            </w:r>
          </w:p>
        </w:tc>
        <w:tc>
          <w:tcPr>
            <w:tcW w:type="dxa" w:w="68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AWS EC2 - despliegue productivo</w:t>
            </w:r>
          </w:p>
        </w:tc>
      </w:tr>
    </w:tbl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Tabla P.1. </w:t>
      </w:r>
      <w:r>
        <w:rPr>
          <w:rFonts w:ascii="Cambria" w:hAnsi="Cambria"/>
          <w:b w:val="0"/>
          <w:i w:val="0"/>
          <w:color w:val="171717"/>
          <w:sz w:val="16"/>
        </w:rPr>
        <w:t>Control del documento.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NOTA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Las capturas reflejan el entorno disponible durante la elaboración. Los datos operativos pueden cambiar sin alterar el procedimiento general.</w:t>
            </w:r>
          </w:p>
        </w:tc>
      </w:tr>
    </w:tbl>
    <w:p>
      <w:pPr>
        <w:spacing w:after="20"/>
      </w:pPr>
    </w:p>
    <w:p>
      <w:pPr>
        <w:pStyle w:val="Heading2"/>
      </w:pPr>
      <w:r>
        <w:t>Público objetivo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Personal que carga documentos y consulta resultados de extracción.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Personal administrador que configura tipos, campos, plantillas, anotaciones, lotes y modelos.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Personal técnico que integra sistemas mediante API key.</w:t>
      </w:r>
    </w:p>
    <w:p>
      <w:r>
        <w:br w:type="page"/>
      </w:r>
    </w:p>
    <w:p>
      <w:pPr>
        <w:pStyle w:val="Heading1"/>
      </w:pPr>
      <w:r>
        <w:t>Siglas y acrónimos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Sigla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API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Interfaz de programación de aplicaciones</w:t>
            </w:r>
          </w:p>
        </w:tc>
      </w:tr>
      <w:tr>
        <w:tc>
          <w:tcPr>
            <w:tcW w:type="dxa" w:w="16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EC2</w:t>
            </w:r>
          </w:p>
        </w:tc>
        <w:tc>
          <w:tcPr>
            <w:tcW w:type="dxa" w:w="77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Elastic Compute Cloud de Amazon Web Services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JSON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Notación de objetos de JavaScript</w:t>
            </w:r>
          </w:p>
        </w:tc>
      </w:tr>
      <w:tr>
        <w:tc>
          <w:tcPr>
            <w:tcW w:type="dxa" w:w="16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NLP</w:t>
            </w:r>
          </w:p>
        </w:tc>
        <w:tc>
          <w:tcPr>
            <w:tcW w:type="dxa" w:w="77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Procesamiento de lenguaje natural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OCR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Reconocimiento óptico de caracteres</w:t>
            </w:r>
          </w:p>
        </w:tc>
      </w:tr>
      <w:tr>
        <w:tc>
          <w:tcPr>
            <w:tcW w:type="dxa" w:w="16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PDF</w:t>
            </w:r>
          </w:p>
        </w:tc>
        <w:tc>
          <w:tcPr>
            <w:tcW w:type="dxa" w:w="77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Formato de documento portátil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REST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Estilo de arquitectura para servicios web</w:t>
            </w:r>
          </w:p>
        </w:tc>
      </w:tr>
      <w:tr>
        <w:tc>
          <w:tcPr>
            <w:tcW w:type="dxa" w:w="16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spaCy</w:t>
            </w:r>
          </w:p>
        </w:tc>
        <w:tc>
          <w:tcPr>
            <w:tcW w:type="dxa" w:w="77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Biblioteca de procesamiento de lenguaje natural utilizada por el sistema</w:t>
            </w:r>
          </w:p>
        </w:tc>
      </w:tr>
    </w:tbl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Tabla P.2. </w:t>
      </w:r>
      <w:r>
        <w:rPr>
          <w:rFonts w:ascii="Cambria" w:hAnsi="Cambria"/>
          <w:b w:val="0"/>
          <w:i w:val="0"/>
          <w:color w:val="171717"/>
          <w:sz w:val="16"/>
        </w:rPr>
        <w:t>Siglas utilizadas en el manual.</w:t>
      </w:r>
    </w:p>
    <w:p>
      <w:r>
        <w:br w:type="page"/>
      </w:r>
    </w:p>
    <w:p>
      <w:pPr>
        <w:spacing w:after="280"/>
        <w:pBdr>
          <w:bottom w:val="single" w:sz="8" w:space="3" w:color="77933C"/>
        </w:pBdr>
      </w:pPr>
      <w:r>
        <w:rPr>
          <w:rFonts w:ascii="Cambria" w:hAnsi="Cambria"/>
          <w:b/>
          <w:i w:val="0"/>
          <w:color w:val="0A1E4D"/>
          <w:sz w:val="38"/>
        </w:rPr>
        <w:t>ÍNDICE DE FIGURAS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Figura 2.1. Acceso administrativo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2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Figura 2.2. Consola documental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3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Figura 3.1. Analizador público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4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Figura 4.1. Asistente de tipo documental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6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Figura 4.2. Campos documentales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7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Figura 5.1. Plantilla aprendida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8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Figura 5.2. Anotación asistida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9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Figura 6.1. Lotes de entrenamiento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10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Figura 6.2. Versiones de modelo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11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Figura 7.1. Conexión API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12</w:t>
            </w:r>
          </w:p>
        </w:tc>
      </w:tr>
    </w:tbl>
    <w:p>
      <w:r>
        <w:br w:type="page"/>
      </w:r>
    </w:p>
    <w:p>
      <w:pPr>
        <w:spacing w:after="280"/>
        <w:pBdr>
          <w:bottom w:val="single" w:sz="8" w:space="3" w:color="77933C"/>
        </w:pBdr>
      </w:pPr>
      <w:r>
        <w:rPr>
          <w:rFonts w:ascii="Cambria" w:hAnsi="Cambria"/>
          <w:b/>
          <w:i w:val="0"/>
          <w:color w:val="0A1E4D"/>
          <w:sz w:val="38"/>
        </w:rPr>
        <w:t>ÍNDICE DE TABLAS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Tabla 1.1. Perfiles de uso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Tabla 2.1. Elementos de la consola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3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Tabla 3.1. Campos del analizador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4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Tabla 4.1. Datos de un campo documental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7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Tabla 5.1. Métodos de preprocesamiento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9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Tabla 6.1. Etapas del aprendizaje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10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Tabla 7.1. Endpoints de integración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13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Tabla 8.1. Solución de problemas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14</w:t>
            </w:r>
          </w:p>
        </w:tc>
      </w:tr>
    </w:tbl>
    <w:p>
      <w:r>
        <w:br w:type="page"/>
      </w:r>
    </w:p>
    <w:p>
      <w:pPr>
        <w:spacing w:after="280"/>
        <w:pBdr>
          <w:bottom w:val="single" w:sz="8" w:space="3" w:color="77933C"/>
        </w:pBdr>
      </w:pPr>
      <w:r>
        <w:rPr>
          <w:rFonts w:ascii="Cambria" w:hAnsi="Cambria"/>
          <w:b/>
          <w:i w:val="0"/>
          <w:color w:val="0A1E4D"/>
          <w:sz w:val="38"/>
        </w:rPr>
        <w:t>ÍNDICE GENERAL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1  Introducción al sistema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2  Acceso, perfiles y navegación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2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3  Analizador público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4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4  Tipos documentales y campos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6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5  Plantillas y anotación asistida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8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6  Aprendizaje, lotes y modelos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10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7  Claves e integración API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12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8  Solución de problemas y buenas prácticas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14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0"/>
        <w:gridCol w:w="1160"/>
      </w:tblGrid>
      <w:tr>
        <w:tc>
          <w:tcPr>
            <w:tcW w:type="dxa" w:w="8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9  Glosario y referencias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77933C"/>
                <w:sz w:val="18"/>
              </w:rPr>
              <w:t>15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123" w:right="1123" w:bottom="1037" w:left="1238" w:header="504" w:footer="504" w:gutter="0"/>
          <w:cols w:space="720"/>
          <w:titlePg/>
          <w:docGrid w:linePitch="360"/>
          <w:pgNumType w:fmt="upperRoman" w:start="1"/>
        </w:sectP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0"/>
        <w:gridCol w:w="7830"/>
      </w:tblGrid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mbria" w:hAnsi="Cambria"/>
                <w:b w:val="0"/>
                <w:i w:val="0"/>
                <w:color w:val="171717"/>
                <w:sz w:val="92"/>
              </w:rPr>
              <w:t>1</w:t>
            </w:r>
          </w:p>
        </w:tc>
        <w:tc>
          <w:tcPr>
            <w:tcW w:type="dxa" w:w="180"/>
            <w:tcMar>
              <w:top w:w="90" w:type="dxa"/>
              <w:start w:w="120" w:type="dxa"/>
              <w:bottom w:w="90" w:type="dxa"/>
              <w:end w:w="120" w:type="dxa"/>
            </w:tcMar>
            <w:shd w:fill="77933C"/>
          </w:tcPr>
          <w:p/>
        </w:tc>
        <w:tc>
          <w:tcPr>
            <w:tcW w:type="dxa" w:w="78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mbria" w:hAnsi="Cambria"/>
                <w:b/>
                <w:i w:val="0"/>
                <w:color w:val="0A1E4D"/>
                <w:sz w:val="46"/>
              </w:rPr>
              <w:t>Introducción al sistema</w:t>
            </w:r>
          </w:p>
        </w:tc>
      </w:tr>
    </w:tbl>
    <w:p>
      <w:pPr>
        <w:spacing w:after="140"/>
      </w:pPr>
    </w:p>
    <w:p>
      <w:pPr/>
      <w:r>
        <w:rPr>
          <w:rFonts w:ascii="Cambria" w:hAnsi="Cambria"/>
          <w:b w:val="0"/>
          <w:i w:val="0"/>
          <w:color w:val="171717"/>
          <w:sz w:val="19"/>
        </w:rPr>
        <w:t>Document Processor es una plataforma para cargar archivos PDF, extraer datos mediante OCR y modelos NLP, y mejorar gradualmente la extracción con plantillas, anotaciones y documentos validados.</w:t>
      </w:r>
    </w:p>
    <w:p>
      <w:pPr>
        <w:pStyle w:val="Heading2"/>
      </w:pPr>
      <w:r>
        <w:t>1.1 Objetivo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El sistema reduce la captura manual y centraliza el ciclo que va desde la definición de un tipo documental hasta la publicación de un modelo evaluado. La extracción pública y la administración comparten el mismo catálogo de tipos documentales.</w:t>
      </w:r>
    </w:p>
    <w:p>
      <w:pPr>
        <w:pStyle w:val="Heading2"/>
      </w:pPr>
      <w:r>
        <w:t>1.2 Perfiles de uso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000"/>
        <w:gridCol w:w="2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Perfil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Responsabilidad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Acceso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Usuario del analizador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Seleccionar un tipo, cargar un PDF y revisar la extracción.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Analizador público</w:t>
            </w:r>
          </w:p>
        </w:tc>
      </w:tr>
      <w:tr>
        <w:tc>
          <w:tcPr>
            <w:tcW w:type="dxa" w:w="21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Administrador</w:t>
            </w:r>
          </w:p>
        </w:tc>
        <w:tc>
          <w:tcPr>
            <w:tcW w:type="dxa" w:w="50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Configurar documentos, campos, plantillas, anotaciones, lotes, modelos y claves.</w:t>
            </w:r>
          </w:p>
        </w:tc>
        <w:tc>
          <w:tcPr>
            <w:tcW w:type="dxa" w:w="22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Inicio de sesión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Integrador API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Enviar PDFs y correcciones desde otro sistema.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API key</w:t>
            </w:r>
          </w:p>
        </w:tc>
      </w:tr>
    </w:tbl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Tabla 1.1. </w:t>
      </w:r>
      <w:r>
        <w:rPr>
          <w:rFonts w:ascii="Cambria" w:hAnsi="Cambria"/>
          <w:b w:val="0"/>
          <w:i w:val="0"/>
          <w:color w:val="171717"/>
          <w:sz w:val="16"/>
        </w:rPr>
        <w:t>Perfiles de uso del sistema.</w:t>
      </w:r>
    </w:p>
    <w:p>
      <w:pPr>
        <w:pStyle w:val="Heading2"/>
      </w:pPr>
      <w:r>
        <w:t>1.3 Flujo general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Definir el documento.</w:t>
      </w:r>
      <w:r>
        <w:rPr>
          <w:rFonts w:ascii="Cambria" w:hAnsi="Cambria"/>
          <w:b w:val="0"/>
          <w:i w:val="0"/>
          <w:color w:val="171717"/>
          <w:sz w:val="19"/>
        </w:rPr>
        <w:t xml:space="preserve"> El administrador registra el tipo documental y su estado.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Configurar campos.</w:t>
      </w:r>
      <w:r>
        <w:rPr>
          <w:rFonts w:ascii="Cambria" w:hAnsi="Cambria"/>
          <w:b w:val="0"/>
          <w:i w:val="0"/>
          <w:color w:val="171717"/>
          <w:sz w:val="19"/>
        </w:rPr>
        <w:t xml:space="preserve"> Se especifican nombres, claves, etiquetas y obligatoriedad.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Crear evidencia.</w:t>
      </w:r>
      <w:r>
        <w:rPr>
          <w:rFonts w:ascii="Cambria" w:hAnsi="Cambria"/>
          <w:b w:val="0"/>
          <w:i w:val="0"/>
          <w:color w:val="171717"/>
          <w:sz w:val="19"/>
        </w:rPr>
        <w:t xml:space="preserve"> Una plantilla o anotaciones relacionan valores reales con el OCR.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Extraer y validar.</w:t>
      </w:r>
      <w:r>
        <w:rPr>
          <w:rFonts w:ascii="Cambria" w:hAnsi="Cambria"/>
          <w:b w:val="0"/>
          <w:i w:val="0"/>
          <w:color w:val="171717"/>
          <w:sz w:val="19"/>
        </w:rPr>
        <w:t xml:space="preserve"> El analizador o un sistema externo envía documentos y correcciones.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Entrenar y evaluar.</w:t>
      </w:r>
      <w:r>
        <w:rPr>
          <w:rFonts w:ascii="Cambria" w:hAnsi="Cambria"/>
          <w:b w:val="0"/>
          <w:i w:val="0"/>
          <w:color w:val="171717"/>
          <w:sz w:val="19"/>
        </w:rPr>
        <w:t xml:space="preserve"> Los lotes generan candidatos que se comparan antes de activarse.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F4DE72"/>
          </w:tcPr>
          <w:p>
            <w:r>
              <w:rPr>
                <w:rFonts w:ascii="Arial" w:hAnsi="Arial"/>
                <w:b/>
                <w:i w:val="0"/>
                <w:color w:val="171717"/>
                <w:sz w:val="16"/>
              </w:rPr>
              <w:t>IMPORTANTE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shd w:fill="F1F2F0"/>
          </w:tcPr>
          <w:p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La calidad del modelo depende de que los campos y las correcciones representen exactamente el contenido visible del PDF.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0"/>
        <w:gridCol w:w="7830"/>
      </w:tblGrid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mbria" w:hAnsi="Cambria"/>
                <w:b w:val="0"/>
                <w:i w:val="0"/>
                <w:color w:val="171717"/>
                <w:sz w:val="92"/>
              </w:rPr>
              <w:t>2</w:t>
            </w:r>
          </w:p>
        </w:tc>
        <w:tc>
          <w:tcPr>
            <w:tcW w:type="dxa" w:w="180"/>
            <w:tcMar>
              <w:top w:w="90" w:type="dxa"/>
              <w:start w:w="120" w:type="dxa"/>
              <w:bottom w:w="90" w:type="dxa"/>
              <w:end w:w="120" w:type="dxa"/>
            </w:tcMar>
            <w:shd w:fill="77933C"/>
          </w:tcPr>
          <w:p/>
        </w:tc>
        <w:tc>
          <w:tcPr>
            <w:tcW w:type="dxa" w:w="78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mbria" w:hAnsi="Cambria"/>
                <w:b/>
                <w:i w:val="0"/>
                <w:color w:val="0A1E4D"/>
                <w:sz w:val="46"/>
              </w:rPr>
              <w:t>Acceso, perfiles y navegación</w:t>
            </w:r>
          </w:p>
        </w:tc>
      </w:tr>
    </w:tbl>
    <w:p>
      <w:pPr>
        <w:spacing w:after="140"/>
      </w:pPr>
    </w:p>
    <w:p>
      <w:pPr/>
      <w:r>
        <w:rPr>
          <w:rFonts w:ascii="Cambria" w:hAnsi="Cambria"/>
          <w:b w:val="0"/>
          <w:i w:val="0"/>
          <w:color w:val="171717"/>
          <w:sz w:val="19"/>
        </w:rPr>
        <w:t>La consola administrativa concentra la configuración y la supervisión. El analizador permanece disponible sin sesión para los flujos de carga autorizados por la operación.</w:t>
      </w:r>
    </w:p>
    <w:p>
      <w:pPr>
        <w:pStyle w:val="Heading2"/>
      </w:pPr>
      <w:r>
        <w:t>2.1 Ingreso administrativo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Abra la ruta `/admin`. Si no existe una sesión activa, el sistema mostrará el formulario de acceso, como se observa en la Figura 2.1.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nicio-se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Figura 2.1. </w:t>
      </w:r>
      <w:r>
        <w:rPr>
          <w:rFonts w:ascii="Cambria" w:hAnsi="Cambria"/>
          <w:b w:val="0"/>
          <w:i w:val="0"/>
          <w:color w:val="171717"/>
          <w:sz w:val="16"/>
        </w:rPr>
        <w:t>Formulario de acceso a la consola administrativa.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Escriba el usuario administrativo.</w:t>
      </w:r>
      <w:r>
        <w:rPr>
          <w:rFonts w:ascii="Cambria" w:hAnsi="Cambria"/>
          <w:b w:val="0"/>
          <w:i w:val="0"/>
          <w:color w:val="171717"/>
          <w:sz w:val="19"/>
        </w:rPr>
        <w:t xml:space="preserve"> Utilice la credencial vigente definida por la operación.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Escriba la contraseña.</w:t>
      </w:r>
      <w:r>
        <w:rPr>
          <w:rFonts w:ascii="Cambria" w:hAnsi="Cambria"/>
          <w:b w:val="0"/>
          <w:i w:val="0"/>
          <w:color w:val="171717"/>
          <w:sz w:val="19"/>
        </w:rPr>
        <w:t xml:space="preserve"> El campo oculta los caracteres introducidos.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Seleccione Entrar.</w:t>
      </w:r>
      <w:r>
        <w:rPr>
          <w:rFonts w:ascii="Cambria" w:hAnsi="Cambria"/>
          <w:b w:val="0"/>
          <w:i w:val="0"/>
          <w:color w:val="171717"/>
          <w:sz w:val="19"/>
        </w:rPr>
        <w:t xml:space="preserve"> El sistema valida la credencial y abre la consola.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B42318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ADVERTENCIA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No incluya credenciales administrativas ni API keys en capturas, tickets, repositorios o ejemplos compartidos.</w:t>
            </w:r>
          </w:p>
        </w:tc>
      </w:tr>
    </w:tbl>
    <w:p>
      <w:pPr>
        <w:spacing w:after="20"/>
      </w:pPr>
    </w:p>
    <w:p>
      <w:pPr>
        <w:pStyle w:val="Heading2"/>
      </w:pPr>
      <w:r>
        <w:t>2.2 Consola documental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Después del acceso se muestra el documento seleccionado, sus indicadores y el menú de siete etapas, como se observa en la Figura 2.2.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48127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sola-documen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81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Figura 2.2. </w:t>
      </w:r>
      <w:r>
        <w:rPr>
          <w:rFonts w:ascii="Cambria" w:hAnsi="Cambria"/>
          <w:b w:val="0"/>
          <w:i w:val="0"/>
          <w:color w:val="171717"/>
          <w:sz w:val="16"/>
        </w:rPr>
        <w:t>Vista general de la consola documental.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Elemento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Documento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Lista, selecciona y crea tipos documentales.</w:t>
            </w:r>
          </w:p>
        </w:tc>
      </w:tr>
      <w:tr>
        <w:tc>
          <w:tcPr>
            <w:tcW w:type="dxa" w:w="22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Campos</w:t>
            </w:r>
          </w:p>
        </w:tc>
        <w:tc>
          <w:tcPr>
            <w:tcW w:type="dxa" w:w="71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Define los datos que debe extraer el sistema.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Plantilla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Aprende posiciones y contexto desde un PDF validado.</w:t>
            </w:r>
          </w:p>
        </w:tc>
      </w:tr>
      <w:tr>
        <w:tc>
          <w:tcPr>
            <w:tcW w:type="dxa" w:w="22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Anotación</w:t>
            </w:r>
          </w:p>
        </w:tc>
        <w:tc>
          <w:tcPr>
            <w:tcW w:type="dxa" w:w="71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Relaciona fragmentos exactos del OCR con un campo.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Aprendizaje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Muestra lotes y permite iniciar entrenamiento.</w:t>
            </w:r>
          </w:p>
        </w:tc>
      </w:tr>
      <w:tr>
        <w:tc>
          <w:tcPr>
            <w:tcW w:type="dxa" w:w="22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Modelos</w:t>
            </w:r>
          </w:p>
        </w:tc>
        <w:tc>
          <w:tcPr>
            <w:tcW w:type="dxa" w:w="71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Registra, compara y activa versiones.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API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Genera claves y ejemplos de integración.</w:t>
            </w:r>
          </w:p>
        </w:tc>
      </w:tr>
    </w:tbl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Tabla 2.1. </w:t>
      </w:r>
      <w:r>
        <w:rPr>
          <w:rFonts w:ascii="Cambria" w:hAnsi="Cambria"/>
          <w:b w:val="0"/>
          <w:i w:val="0"/>
          <w:color w:val="171717"/>
          <w:sz w:val="16"/>
        </w:rPr>
        <w:t>Elementos principales de la consola.</w:t>
      </w:r>
    </w:p>
    <w:p>
      <w:pPr>
        <w:pStyle w:val="Heading2"/>
      </w:pPr>
      <w:r>
        <w:t>2.3 Selección del tipo documental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Las acciones directas de cada tarjeta abren la etapa correspondiente sin cambiar de tipo. Verifique siempre el nombre, estado y modelo mostrados en el encabezado antes de editar.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0"/>
        <w:gridCol w:w="7830"/>
      </w:tblGrid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mbria" w:hAnsi="Cambria"/>
                <w:b w:val="0"/>
                <w:i w:val="0"/>
                <w:color w:val="171717"/>
                <w:sz w:val="92"/>
              </w:rPr>
              <w:t>3</w:t>
            </w:r>
          </w:p>
        </w:tc>
        <w:tc>
          <w:tcPr>
            <w:tcW w:type="dxa" w:w="180"/>
            <w:tcMar>
              <w:top w:w="90" w:type="dxa"/>
              <w:start w:w="120" w:type="dxa"/>
              <w:bottom w:w="90" w:type="dxa"/>
              <w:end w:w="120" w:type="dxa"/>
            </w:tcMar>
            <w:shd w:fill="77933C"/>
          </w:tcPr>
          <w:p/>
        </w:tc>
        <w:tc>
          <w:tcPr>
            <w:tcW w:type="dxa" w:w="78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mbria" w:hAnsi="Cambria"/>
                <w:b/>
                <w:i w:val="0"/>
                <w:color w:val="0A1E4D"/>
                <w:sz w:val="46"/>
              </w:rPr>
              <w:t>Analizador público</w:t>
            </w:r>
          </w:p>
        </w:tc>
      </w:tr>
    </w:tbl>
    <w:p>
      <w:pPr>
        <w:spacing w:after="140"/>
      </w:pPr>
    </w:p>
    <w:p>
      <w:pPr/>
      <w:r>
        <w:rPr>
          <w:rFonts w:ascii="Cambria" w:hAnsi="Cambria"/>
          <w:b w:val="0"/>
          <w:i w:val="0"/>
          <w:color w:val="171717"/>
          <w:sz w:val="19"/>
        </w:rPr>
        <w:t>El analizador recibe un archivo PDF, muestra su vista previa y presenta los valores extraídos para el tipo documental seleccionado.</w:t>
      </w:r>
    </w:p>
    <w:p>
      <w:pPr>
        <w:pStyle w:val="Heading2"/>
      </w:pPr>
      <w:r>
        <w:t>3.1 Pantalla de análisis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Al ingresar a `/analizador` se muestran la zona de vista previa y el formulario de extracción, como se observa en la Figura 3.1.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nalizador-publ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Figura 3.1. </w:t>
      </w:r>
      <w:r>
        <w:rPr>
          <w:rFonts w:ascii="Cambria" w:hAnsi="Cambria"/>
          <w:b w:val="0"/>
          <w:i w:val="0"/>
          <w:color w:val="171717"/>
          <w:sz w:val="16"/>
        </w:rPr>
        <w:t>Analizador público de documentos PDF.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Tipo de documento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Catálogo activo que determina campos, plantilla, preprocesamiento y modelo.</w:t>
            </w:r>
          </w:p>
        </w:tc>
      </w:tr>
      <w:tr>
        <w:tc>
          <w:tcPr>
            <w:tcW w:type="dxa" w:w="25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Archivo PDF</w:t>
            </w:r>
          </w:p>
        </w:tc>
        <w:tc>
          <w:tcPr>
            <w:tcW w:type="dxa" w:w="68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Documento que se previsualizará y enviará para extracción.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Analizar documento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Inicia OCR, predicción y construcción de la respuesta.</w:t>
            </w:r>
          </w:p>
        </w:tc>
      </w:tr>
    </w:tbl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Tabla 3.1. </w:t>
      </w:r>
      <w:r>
        <w:rPr>
          <w:rFonts w:ascii="Cambria" w:hAnsi="Cambria"/>
          <w:b w:val="0"/>
          <w:i w:val="0"/>
          <w:color w:val="171717"/>
          <w:sz w:val="16"/>
        </w:rPr>
        <w:t>Campos y acción del analizador.</w:t>
      </w:r>
    </w:p>
    <w:p>
      <w:pPr>
        <w:pStyle w:val="Heading2"/>
      </w:pPr>
      <w:r>
        <w:t>3.2 Analizar un documento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Seleccione el tipo documental.</w:t>
      </w:r>
      <w:r>
        <w:rPr>
          <w:rFonts w:ascii="Cambria" w:hAnsi="Cambria"/>
          <w:b w:val="0"/>
          <w:i w:val="0"/>
          <w:color w:val="171717"/>
          <w:sz w:val="19"/>
        </w:rPr>
        <w:t xml:space="preserve"> Use el nombre que corresponda al formato del archivo.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Seleccione Archivo PDF.</w:t>
      </w:r>
      <w:r>
        <w:rPr>
          <w:rFonts w:ascii="Cambria" w:hAnsi="Cambria"/>
          <w:b w:val="0"/>
          <w:i w:val="0"/>
          <w:color w:val="171717"/>
          <w:sz w:val="19"/>
        </w:rPr>
        <w:t xml:space="preserve"> Elija un archivo legible y no protegido.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Revise la vista previa.</w:t>
      </w:r>
      <w:r>
        <w:rPr>
          <w:rFonts w:ascii="Cambria" w:hAnsi="Cambria"/>
          <w:b w:val="0"/>
          <w:i w:val="0"/>
          <w:color w:val="171717"/>
          <w:sz w:val="19"/>
        </w:rPr>
        <w:t xml:space="preserve"> Confirme que el documento correcto aparezca en el panel izquierdo.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Seleccione Analizar documento.</w:t>
      </w:r>
      <w:r>
        <w:rPr>
          <w:rFonts w:ascii="Cambria" w:hAnsi="Cambria"/>
          <w:b w:val="0"/>
          <w:i w:val="0"/>
          <w:color w:val="171717"/>
          <w:sz w:val="19"/>
        </w:rPr>
        <w:t xml:space="preserve"> Espere a que finalice el procesamiento.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Revise los datos extraídos.</w:t>
      </w:r>
      <w:r>
        <w:rPr>
          <w:rFonts w:ascii="Cambria" w:hAnsi="Cambria"/>
          <w:b w:val="0"/>
          <w:i w:val="0"/>
          <w:color w:val="171717"/>
          <w:sz w:val="19"/>
        </w:rPr>
        <w:t xml:space="preserve"> Preste especial atención a campos obligatorios o con baja confianza.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NOTA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Un valor ausente no debe inventarse. Debe corregirse en el sistema consumidor y enviarse como documento validado para aprendizaje cuando aplique.</w:t>
            </w:r>
          </w:p>
        </w:tc>
      </w:tr>
    </w:tbl>
    <w:p>
      <w:pPr>
        <w:spacing w:after="20"/>
      </w:pPr>
    </w:p>
    <w:p>
      <w:pPr>
        <w:pStyle w:val="Heading2"/>
      </w:pPr>
      <w:r>
        <w:t>3.3 Recomendaciones para el PDF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Utilice páginas derechas, completas y con resolución suficiente.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Evite sombras, recortes, reflejos y texto cubierto por sellos.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Seleccione el tipo documental antes de iniciar el análisis.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0"/>
        <w:gridCol w:w="7830"/>
      </w:tblGrid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mbria" w:hAnsi="Cambria"/>
                <w:b w:val="0"/>
                <w:i w:val="0"/>
                <w:color w:val="171717"/>
                <w:sz w:val="92"/>
              </w:rPr>
              <w:t>4</w:t>
            </w:r>
          </w:p>
        </w:tc>
        <w:tc>
          <w:tcPr>
            <w:tcW w:type="dxa" w:w="180"/>
            <w:tcMar>
              <w:top w:w="90" w:type="dxa"/>
              <w:start w:w="120" w:type="dxa"/>
              <w:bottom w:w="90" w:type="dxa"/>
              <w:end w:w="120" w:type="dxa"/>
            </w:tcMar>
            <w:shd w:fill="77933C"/>
          </w:tcPr>
          <w:p/>
        </w:tc>
        <w:tc>
          <w:tcPr>
            <w:tcW w:type="dxa" w:w="78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mbria" w:hAnsi="Cambria"/>
                <w:b/>
                <w:i w:val="0"/>
                <w:color w:val="0A1E4D"/>
                <w:sz w:val="46"/>
              </w:rPr>
              <w:t>Tipos documentales y campos</w:t>
            </w:r>
          </w:p>
        </w:tc>
      </w:tr>
    </w:tbl>
    <w:p>
      <w:pPr>
        <w:spacing w:after="140"/>
      </w:pPr>
    </w:p>
    <w:p>
      <w:pPr/>
      <w:r>
        <w:rPr>
          <w:rFonts w:ascii="Cambria" w:hAnsi="Cambria"/>
          <w:b w:val="0"/>
          <w:i w:val="0"/>
          <w:color w:val="171717"/>
          <w:sz w:val="19"/>
        </w:rPr>
        <w:t>La configuración documental establece qué formatos reconoce el sistema y qué información debe obtener de cada uno.</w:t>
      </w:r>
    </w:p>
    <w:p>
      <w:pPr>
        <w:pStyle w:val="Heading2"/>
      </w:pPr>
      <w:r>
        <w:t>4.1 Crear un tipo documental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En la etapa Documento, seleccione Crear tipo documental. El asistente solicita la información en pasos y muestra el formulario de la Figura 4.1.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97680" cy="47124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rear-tipo-document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71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Figura 4.1. </w:t>
      </w:r>
      <w:r>
        <w:rPr>
          <w:rFonts w:ascii="Cambria" w:hAnsi="Cambria"/>
          <w:b w:val="0"/>
          <w:i w:val="0"/>
          <w:color w:val="171717"/>
          <w:sz w:val="16"/>
        </w:rPr>
        <w:t>Asistente para crear un tipo documental.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Capture el nombre.</w:t>
      </w:r>
      <w:r>
        <w:rPr>
          <w:rFonts w:ascii="Cambria" w:hAnsi="Cambria"/>
          <w:b w:val="0"/>
          <w:i w:val="0"/>
          <w:color w:val="171717"/>
          <w:sz w:val="19"/>
        </w:rPr>
        <w:t xml:space="preserve"> Utilice una denominación clara para la persona usuaria.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Capture la descripción.</w:t>
      </w:r>
      <w:r>
        <w:rPr>
          <w:rFonts w:ascii="Cambria" w:hAnsi="Cambria"/>
          <w:b w:val="0"/>
          <w:i w:val="0"/>
          <w:color w:val="171717"/>
          <w:sz w:val="19"/>
        </w:rPr>
        <w:t xml:space="preserve"> Explique el origen y propósito del formato.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Defina el estado.</w:t>
      </w:r>
      <w:r>
        <w:rPr>
          <w:rFonts w:ascii="Cambria" w:hAnsi="Cambria"/>
          <w:b w:val="0"/>
          <w:i w:val="0"/>
          <w:color w:val="171717"/>
          <w:sz w:val="19"/>
        </w:rPr>
        <w:t xml:space="preserve"> Use Borrador mientras la configuración no esté validada.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Revise el modelo inicial.</w:t>
      </w:r>
      <w:r>
        <w:rPr>
          <w:rFonts w:ascii="Cambria" w:hAnsi="Cambria"/>
          <w:b w:val="0"/>
          <w:i w:val="0"/>
          <w:color w:val="171717"/>
          <w:sz w:val="19"/>
        </w:rPr>
        <w:t xml:space="preserve"> Mantenga la ruta o nombre autorizado por la operación.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Confirme la creación.</w:t>
      </w:r>
      <w:r>
        <w:rPr>
          <w:rFonts w:ascii="Cambria" w:hAnsi="Cambria"/>
          <w:b w:val="0"/>
          <w:i w:val="0"/>
          <w:color w:val="171717"/>
          <w:sz w:val="19"/>
        </w:rPr>
        <w:t xml:space="preserve"> El nuevo tipo aparecerá en la lista documental.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F4DE72"/>
          </w:tcPr>
          <w:p>
            <w:r>
              <w:rPr>
                <w:rFonts w:ascii="Arial" w:hAnsi="Arial"/>
                <w:b/>
                <w:i w:val="0"/>
                <w:color w:val="171717"/>
                <w:sz w:val="16"/>
              </w:rPr>
              <w:t>IMPORTANTE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shd w:fill="F1F2F0"/>
          </w:tcPr>
          <w:p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No active un tipo documental hasta configurar y probar sus campos con documentos representativos.</w:t>
            </w:r>
          </w:p>
        </w:tc>
      </w:tr>
    </w:tbl>
    <w:p>
      <w:pPr>
        <w:spacing w:after="20"/>
      </w:pPr>
    </w:p>
    <w:p>
      <w:pPr>
        <w:pStyle w:val="Heading2"/>
      </w:pPr>
      <w:r>
        <w:t>4.2 Configurar campos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La etapa Campos muestra la definición actual y el formulario de alta, como se observa en la Figura 4.2.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34840" cy="48137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mp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813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Figura 4.2. </w:t>
      </w:r>
      <w:r>
        <w:rPr>
          <w:rFonts w:ascii="Cambria" w:hAnsi="Cambria"/>
          <w:b w:val="0"/>
          <w:i w:val="0"/>
          <w:color w:val="171717"/>
          <w:sz w:val="16"/>
        </w:rPr>
        <w:t>Configuración de campos obligatorios y opcionales.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7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Dato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Uso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Nombre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Etiqueta visible para la persona administradora.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Matrícula</w:t>
            </w:r>
          </w:p>
        </w:tc>
      </w:tr>
      <w:tr>
        <w:tc>
          <w:tcPr>
            <w:tcW w:type="dxa" w:w="16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Clave</w:t>
            </w:r>
          </w:p>
        </w:tc>
        <w:tc>
          <w:tcPr>
            <w:tcW w:type="dxa" w:w="50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Identificador estable utilizado en JSON e integraciones.</w:t>
            </w:r>
          </w:p>
        </w:tc>
        <w:tc>
          <w:tcPr>
            <w:tcW w:type="dxa" w:w="27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alu_matricula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Etiqueta spaCy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Nombre de la entidad utilizada en entrenamiento.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MATRICULA</w:t>
            </w:r>
          </w:p>
        </w:tc>
      </w:tr>
      <w:tr>
        <w:tc>
          <w:tcPr>
            <w:tcW w:type="dxa" w:w="16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Tipo</w:t>
            </w:r>
          </w:p>
        </w:tc>
        <w:tc>
          <w:tcPr>
            <w:tcW w:type="dxa" w:w="50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Tratamiento esperado del valor.</w:t>
            </w:r>
          </w:p>
        </w:tc>
        <w:tc>
          <w:tcPr>
            <w:tcW w:type="dxa" w:w="27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texto, fecha o catálogo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Obligatorio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Determina si una validación puede aceptarse sin el campo.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Sí/No</w:t>
            </w:r>
          </w:p>
        </w:tc>
      </w:tr>
      <w:tr>
        <w:tc>
          <w:tcPr>
            <w:tcW w:type="dxa" w:w="16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Descripción</w:t>
            </w:r>
          </w:p>
        </w:tc>
        <w:tc>
          <w:tcPr>
            <w:tcW w:type="dxa" w:w="50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Regla o contexto de captura.</w:t>
            </w:r>
          </w:p>
        </w:tc>
        <w:tc>
          <w:tcPr>
            <w:tcW w:type="dxa" w:w="27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Número de control escolar</w:t>
            </w:r>
          </w:p>
        </w:tc>
      </w:tr>
    </w:tbl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Tabla 4.1. </w:t>
      </w:r>
      <w:r>
        <w:rPr>
          <w:rFonts w:ascii="Cambria" w:hAnsi="Cambria"/>
          <w:b w:val="0"/>
          <w:i w:val="0"/>
          <w:color w:val="171717"/>
          <w:sz w:val="16"/>
        </w:rPr>
        <w:t>Datos de configuración de un campo documental.</w:t>
      </w:r>
    </w:p>
    <w:p>
      <w:pPr>
        <w:pStyle w:val="Heading2"/>
      </w:pPr>
      <w:r>
        <w:t>4.3 Convenciones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No cambie una clave después de integrarla con sistemas externos.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Use etiquetas spaCy en mayúsculas y sin espacios.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Marque como obligatorio solo aquello que siempre está presente y debe validarse.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0"/>
        <w:gridCol w:w="7830"/>
      </w:tblGrid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mbria" w:hAnsi="Cambria"/>
                <w:b w:val="0"/>
                <w:i w:val="0"/>
                <w:color w:val="171717"/>
                <w:sz w:val="92"/>
              </w:rPr>
              <w:t>5</w:t>
            </w:r>
          </w:p>
        </w:tc>
        <w:tc>
          <w:tcPr>
            <w:tcW w:type="dxa" w:w="180"/>
            <w:tcMar>
              <w:top w:w="90" w:type="dxa"/>
              <w:start w:w="120" w:type="dxa"/>
              <w:bottom w:w="90" w:type="dxa"/>
              <w:end w:w="120" w:type="dxa"/>
            </w:tcMar>
            <w:shd w:fill="77933C"/>
          </w:tcPr>
          <w:p/>
        </w:tc>
        <w:tc>
          <w:tcPr>
            <w:tcW w:type="dxa" w:w="78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mbria" w:hAnsi="Cambria"/>
                <w:b/>
                <w:i w:val="0"/>
                <w:color w:val="0A1E4D"/>
                <w:sz w:val="46"/>
              </w:rPr>
              <w:t>Plantillas y anotación asistida</w:t>
            </w:r>
          </w:p>
        </w:tc>
      </w:tr>
    </w:tbl>
    <w:p>
      <w:pPr>
        <w:spacing w:after="140"/>
      </w:pPr>
    </w:p>
    <w:p>
      <w:pPr/>
      <w:r>
        <w:rPr>
          <w:rFonts w:ascii="Cambria" w:hAnsi="Cambria"/>
          <w:b w:val="0"/>
          <w:i w:val="0"/>
          <w:color w:val="171717"/>
          <w:sz w:val="19"/>
        </w:rPr>
        <w:t>Las plantillas aprovechan la estructura repetible de un formato; las anotaciones aportan ejemplos precisos para el entrenamiento por entidades.</w:t>
      </w:r>
    </w:p>
    <w:p>
      <w:pPr>
        <w:pStyle w:val="Heading2"/>
      </w:pPr>
      <w:r>
        <w:t>5.1 Crear una plantilla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Seleccione Plantilla para cargar un primer PDF validado y proporcionar sus valores reales. La pantalla se muestra en la Figura 5.1.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57800" cy="3169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antill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Figura 5.1. </w:t>
      </w:r>
      <w:r>
        <w:rPr>
          <w:rFonts w:ascii="Cambria" w:hAnsi="Cambria"/>
          <w:b w:val="0"/>
          <w:i w:val="0"/>
          <w:color w:val="171717"/>
          <w:sz w:val="16"/>
        </w:rPr>
        <w:t>Formulario para crear una plantilla desde OCR.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Escriba un nombre de plantilla.</w:t>
      </w:r>
      <w:r>
        <w:rPr>
          <w:rFonts w:ascii="Cambria" w:hAnsi="Cambria"/>
          <w:b w:val="0"/>
          <w:i w:val="0"/>
          <w:color w:val="171717"/>
          <w:sz w:val="19"/>
        </w:rPr>
        <w:t xml:space="preserve"> Identifique la versión o procedencia del formato.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Seleccione el PDF de referencia.</w:t>
      </w:r>
      <w:r>
        <w:rPr>
          <w:rFonts w:ascii="Cambria" w:hAnsi="Cambria"/>
          <w:b w:val="0"/>
          <w:i w:val="0"/>
          <w:color w:val="171717"/>
          <w:sz w:val="19"/>
        </w:rPr>
        <w:t xml:space="preserve"> Utilice un ejemplo completo y legible.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Capture los valores en JSON.</w:t>
      </w:r>
      <w:r>
        <w:rPr>
          <w:rFonts w:ascii="Cambria" w:hAnsi="Cambria"/>
          <w:b w:val="0"/>
          <w:i w:val="0"/>
          <w:color w:val="171717"/>
          <w:sz w:val="19"/>
        </w:rPr>
        <w:t xml:space="preserve"> Use las claves configuradas y los valores exactos del documento.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Seleccione Crear plantilla desde OCR.</w:t>
      </w:r>
      <w:r>
        <w:rPr>
          <w:rFonts w:ascii="Cambria" w:hAnsi="Cambria"/>
          <w:b w:val="0"/>
          <w:i w:val="0"/>
          <w:color w:val="171717"/>
          <w:sz w:val="19"/>
        </w:rPr>
        <w:t xml:space="preserve"> El sistema localizará texto, posiciones y contexto.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B42318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ADVERTENCIA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Un valor JSON que no coincide con el PDF puede producir una plantilla incorrecta y degradar extracciones posteriores.</w:t>
            </w:r>
          </w:p>
        </w:tc>
      </w:tr>
    </w:tbl>
    <w:p>
      <w:pPr>
        <w:spacing w:after="20"/>
      </w:pPr>
    </w:p>
    <w:p>
      <w:pPr>
        <w:pStyle w:val="Heading2"/>
      </w:pPr>
      <w:r>
        <w:t>5.2 Anotación asistida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La etapa Anotación permite generar OCR, seleccionar el texto exacto y vincularlo con un campo, como se observa en la Figura 5.2.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57800" cy="3589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nota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89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Figura 5.2. </w:t>
      </w:r>
      <w:r>
        <w:rPr>
          <w:rFonts w:ascii="Cambria" w:hAnsi="Cambria"/>
          <w:b w:val="0"/>
          <w:i w:val="0"/>
          <w:color w:val="171717"/>
          <w:sz w:val="16"/>
        </w:rPr>
        <w:t>Pantalla de anotación asistida.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Método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Uso recomendado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Tesseract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Opción predeterminada y ligera para PDFs escaneados o imágenes.</w:t>
            </w:r>
          </w:p>
        </w:tc>
      </w:tr>
      <w:tr>
        <w:tc>
          <w:tcPr>
            <w:tcW w:type="dxa" w:w="22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Docling</w:t>
            </w:r>
          </w:p>
        </w:tc>
        <w:tc>
          <w:tcPr>
            <w:tcW w:type="dxa" w:w="71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Alternativa para documentos cuya estructura requiera procesamiento avanzado, si está disponible.</w:t>
            </w:r>
          </w:p>
        </w:tc>
      </w:tr>
    </w:tbl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Tabla 5.1. </w:t>
      </w:r>
      <w:r>
        <w:rPr>
          <w:rFonts w:ascii="Cambria" w:hAnsi="Cambria"/>
          <w:b w:val="0"/>
          <w:i w:val="0"/>
          <w:color w:val="171717"/>
          <w:sz w:val="16"/>
        </w:rPr>
        <w:t>Métodos de preprocesamiento disponibles.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Seleccione el PDF.</w:t>
      </w:r>
      <w:r>
        <w:rPr>
          <w:rFonts w:ascii="Cambria" w:hAnsi="Cambria"/>
          <w:b w:val="0"/>
          <w:i w:val="0"/>
          <w:color w:val="171717"/>
          <w:sz w:val="19"/>
        </w:rPr>
        <w:t xml:space="preserve"> El archivo debe corresponder al tipo documental activo.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Elija el preprocesamiento.</w:t>
      </w:r>
      <w:r>
        <w:rPr>
          <w:rFonts w:ascii="Cambria" w:hAnsi="Cambria"/>
          <w:b w:val="0"/>
          <w:i w:val="0"/>
          <w:color w:val="171717"/>
          <w:sz w:val="19"/>
        </w:rPr>
        <w:t xml:space="preserve"> Use Tesseract salvo que exista una decisión técnica distinta.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Seleccione Subir y generar OCR.</w:t>
      </w:r>
      <w:r>
        <w:rPr>
          <w:rFonts w:ascii="Cambria" w:hAnsi="Cambria"/>
          <w:b w:val="0"/>
          <w:i w:val="0"/>
          <w:color w:val="171717"/>
          <w:sz w:val="19"/>
        </w:rPr>
        <w:t xml:space="preserve"> El documento aparecerá en la lista de evidencias.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Seleccione el fragmento exacto.</w:t>
      </w:r>
      <w:r>
        <w:rPr>
          <w:rFonts w:ascii="Cambria" w:hAnsi="Cambria"/>
          <w:b w:val="0"/>
          <w:i w:val="0"/>
          <w:color w:val="171717"/>
          <w:sz w:val="19"/>
        </w:rPr>
        <w:t xml:space="preserve"> No incluya etiquetas, espacios o texto del campo siguiente.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Elija el campo y guarde.</w:t>
      </w:r>
      <w:r>
        <w:rPr>
          <w:rFonts w:ascii="Cambria" w:hAnsi="Cambria"/>
          <w:b w:val="0"/>
          <w:i w:val="0"/>
          <w:color w:val="171717"/>
          <w:sz w:val="19"/>
        </w:rPr>
        <w:t xml:space="preserve"> Repita para cada entidad que deba enseñarse al modelo.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0"/>
        <w:gridCol w:w="7830"/>
      </w:tblGrid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mbria" w:hAnsi="Cambria"/>
                <w:b w:val="0"/>
                <w:i w:val="0"/>
                <w:color w:val="171717"/>
                <w:sz w:val="92"/>
              </w:rPr>
              <w:t>6</w:t>
            </w:r>
          </w:p>
        </w:tc>
        <w:tc>
          <w:tcPr>
            <w:tcW w:type="dxa" w:w="180"/>
            <w:tcMar>
              <w:top w:w="90" w:type="dxa"/>
              <w:start w:w="120" w:type="dxa"/>
              <w:bottom w:w="90" w:type="dxa"/>
              <w:end w:w="120" w:type="dxa"/>
            </w:tcMar>
            <w:shd w:fill="77933C"/>
          </w:tcPr>
          <w:p/>
        </w:tc>
        <w:tc>
          <w:tcPr>
            <w:tcW w:type="dxa" w:w="78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mbria" w:hAnsi="Cambria"/>
                <w:b/>
                <w:i w:val="0"/>
                <w:color w:val="0A1E4D"/>
                <w:sz w:val="46"/>
              </w:rPr>
              <w:t>Aprendizaje, lotes y modelos</w:t>
            </w:r>
          </w:p>
        </w:tc>
      </w:tr>
    </w:tbl>
    <w:p>
      <w:pPr>
        <w:spacing w:after="140"/>
      </w:pPr>
    </w:p>
    <w:p>
      <w:pPr/>
      <w:r>
        <w:rPr>
          <w:rFonts w:ascii="Cambria" w:hAnsi="Cambria"/>
          <w:b w:val="0"/>
          <w:i w:val="0"/>
          <w:color w:val="171717"/>
          <w:sz w:val="19"/>
        </w:rPr>
        <w:t>Los documentos validados se acumulan por tipo documental. Un lote listo puede entrenar un candidato que debe evaluarse antes de su activación.</w:t>
      </w:r>
    </w:p>
    <w:p>
      <w:pPr>
        <w:pStyle w:val="Heading2"/>
      </w:pPr>
      <w:r>
        <w:t>6.1 Lotes de entrenamiento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La etapa Aprendizaje resume el ciclo de cinco fases y muestra los lotes disponibles, como se observa en la Figura 6.1.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57800" cy="30115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prendizaj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1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Figura 6.1. </w:t>
      </w:r>
      <w:r>
        <w:rPr>
          <w:rFonts w:ascii="Cambria" w:hAnsi="Cambria"/>
          <w:b w:val="0"/>
          <w:i w:val="0"/>
          <w:color w:val="171717"/>
          <w:sz w:val="16"/>
        </w:rPr>
        <w:t>Seguimiento de lotes de entrenamiento.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Etapa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1. Recibir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PDF y campos corregidos registrados.</w:t>
            </w:r>
          </w:p>
        </w:tc>
      </w:tr>
      <w:tr>
        <w:tc>
          <w:tcPr>
            <w:tcW w:type="dxa" w:w="22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2. Acumular</w:t>
            </w:r>
          </w:p>
        </w:tc>
        <w:tc>
          <w:tcPr>
            <w:tcW w:type="dxa" w:w="71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Lote alcanza el umbral configurado.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3. Entrenar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Celery procesa el lote mediante el worker.</w:t>
            </w:r>
          </w:p>
        </w:tc>
      </w:tr>
      <w:tr>
        <w:tc>
          <w:tcPr>
            <w:tcW w:type="dxa" w:w="22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4. Evaluar</w:t>
            </w:r>
          </w:p>
        </w:tc>
        <w:tc>
          <w:tcPr>
            <w:tcW w:type="dxa" w:w="71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Métricas calculadas campo por campo.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5. Activar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El candidato se publica solo si no empeora el desempeño.</w:t>
            </w:r>
          </w:p>
        </w:tc>
      </w:tr>
    </w:tbl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Tabla 6.1. </w:t>
      </w:r>
      <w:r>
        <w:rPr>
          <w:rFonts w:ascii="Cambria" w:hAnsi="Cambria"/>
          <w:b w:val="0"/>
          <w:i w:val="0"/>
          <w:color w:val="171717"/>
          <w:sz w:val="16"/>
        </w:rPr>
        <w:t>Etapas del aprendizaje documental.</w:t>
      </w:r>
    </w:p>
    <w:p>
      <w:pPr>
        <w:pStyle w:val="Heading2"/>
      </w:pPr>
      <w:r>
        <w:t>6.2 Versiones de modelo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La etapa Modelos muestra las versiones registradas y permite registrar un candidato, como se observa en la Figura 6.2.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57800" cy="37395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del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9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Figura 6.2. </w:t>
      </w:r>
      <w:r>
        <w:rPr>
          <w:rFonts w:ascii="Cambria" w:hAnsi="Cambria"/>
          <w:b w:val="0"/>
          <w:i w:val="0"/>
          <w:color w:val="171717"/>
          <w:sz w:val="16"/>
        </w:rPr>
        <w:t>Registro y consulta de versiones de modelo.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Capture el nombre y la ruta.</w:t>
      </w:r>
      <w:r>
        <w:rPr>
          <w:rFonts w:ascii="Cambria" w:hAnsi="Cambria"/>
          <w:b w:val="0"/>
          <w:i w:val="0"/>
          <w:color w:val="171717"/>
          <w:sz w:val="19"/>
        </w:rPr>
        <w:t xml:space="preserve"> Use valores que permitan localizar el artefacto entrenado.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Registre el volumen de entrenamiento.</w:t>
      </w:r>
      <w:r>
        <w:rPr>
          <w:rFonts w:ascii="Cambria" w:hAnsi="Cambria"/>
          <w:b w:val="0"/>
          <w:i w:val="0"/>
          <w:color w:val="171717"/>
          <w:sz w:val="19"/>
        </w:rPr>
        <w:t xml:space="preserve"> Indique cuántos documentos sustentan la versión.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Capture la métrica F1.</w:t>
      </w:r>
      <w:r>
        <w:rPr>
          <w:rFonts w:ascii="Cambria" w:hAnsi="Cambria"/>
          <w:b w:val="0"/>
          <w:i w:val="0"/>
          <w:color w:val="171717"/>
          <w:sz w:val="19"/>
        </w:rPr>
        <w:t xml:space="preserve"> Use un valor entre 0 y 1 calculado sobre evaluación válida.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Agregue observaciones.</w:t>
      </w:r>
      <w:r>
        <w:rPr>
          <w:rFonts w:ascii="Cambria" w:hAnsi="Cambria"/>
          <w:b w:val="0"/>
          <w:i w:val="0"/>
          <w:color w:val="171717"/>
          <w:sz w:val="19"/>
        </w:rPr>
        <w:t xml:space="preserve"> Documente origen, cambios y limitaciones.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Active solo después de comparar.</w:t>
      </w:r>
      <w:r>
        <w:rPr>
          <w:rFonts w:ascii="Cambria" w:hAnsi="Cambria"/>
          <w:b w:val="0"/>
          <w:i w:val="0"/>
          <w:color w:val="171717"/>
          <w:sz w:val="19"/>
        </w:rPr>
        <w:t xml:space="preserve"> La opción de producción cambia el modelo utilizado por el tipo documental.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B42318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ADVERTENCIA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Activar un modelo sin evaluación confiable puede afectar todas las extracciones del tipo documental seleccionado.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0"/>
        <w:gridCol w:w="7830"/>
      </w:tblGrid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mbria" w:hAnsi="Cambria"/>
                <w:b w:val="0"/>
                <w:i w:val="0"/>
                <w:color w:val="171717"/>
                <w:sz w:val="92"/>
              </w:rPr>
              <w:t>7</w:t>
            </w:r>
          </w:p>
        </w:tc>
        <w:tc>
          <w:tcPr>
            <w:tcW w:type="dxa" w:w="180"/>
            <w:tcMar>
              <w:top w:w="90" w:type="dxa"/>
              <w:start w:w="120" w:type="dxa"/>
              <w:bottom w:w="90" w:type="dxa"/>
              <w:end w:w="120" w:type="dxa"/>
            </w:tcMar>
            <w:shd w:fill="77933C"/>
          </w:tcPr>
          <w:p/>
        </w:tc>
        <w:tc>
          <w:tcPr>
            <w:tcW w:type="dxa" w:w="78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mbria" w:hAnsi="Cambria"/>
                <w:b/>
                <w:i w:val="0"/>
                <w:color w:val="0A1E4D"/>
                <w:sz w:val="46"/>
              </w:rPr>
              <w:t>Claves e integración API</w:t>
            </w:r>
          </w:p>
        </w:tc>
      </w:tr>
    </w:tbl>
    <w:p>
      <w:pPr>
        <w:spacing w:after="140"/>
      </w:pPr>
    </w:p>
    <w:p>
      <w:pPr/>
      <w:r>
        <w:rPr>
          <w:rFonts w:ascii="Cambria" w:hAnsi="Cambria"/>
          <w:b w:val="0"/>
          <w:i w:val="0"/>
          <w:color w:val="171717"/>
          <w:sz w:val="19"/>
        </w:rPr>
        <w:t>La integración permite extraer documentos y devolver correcciones validadas. El acceso se protege mediante la cabecera `X-API-Key` cuando existen claves activas.</w:t>
      </w:r>
    </w:p>
    <w:p>
      <w:pPr>
        <w:pStyle w:val="Heading2"/>
      </w:pPr>
      <w:r>
        <w:t>7.1 Generar una clave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En la etapa API escriba el nombre de la integración y seleccione Generar API key. La pantalla se muestra en la Figura 7.1.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57800" cy="38310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3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Figura 7.1. </w:t>
      </w:r>
      <w:r>
        <w:rPr>
          <w:rFonts w:ascii="Cambria" w:hAnsi="Cambria"/>
          <w:b w:val="0"/>
          <w:i w:val="0"/>
          <w:color w:val="171717"/>
          <w:sz w:val="16"/>
        </w:rPr>
        <w:t>Panel de conexión y ejemplos de API.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Escriba el nombre de la integración.</w:t>
      </w:r>
      <w:r>
        <w:rPr>
          <w:rFonts w:ascii="Cambria" w:hAnsi="Cambria"/>
          <w:b w:val="0"/>
          <w:i w:val="0"/>
          <w:color w:val="171717"/>
          <w:sz w:val="19"/>
        </w:rPr>
        <w:t xml:space="preserve"> Use un nombre que identifique al sistema consumidor.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Revise el permiso.</w:t>
      </w:r>
      <w:r>
        <w:rPr>
          <w:rFonts w:ascii="Cambria" w:hAnsi="Cambria"/>
          <w:b w:val="0"/>
          <w:i w:val="0"/>
          <w:color w:val="171717"/>
          <w:sz w:val="19"/>
        </w:rPr>
        <w:t xml:space="preserve"> La versión actual ofrece extracción y aprendizaje.</w:t>
      </w:r>
    </w:p>
    <w:p>
      <w:pPr>
        <w:pStyle w:val="ListNumber"/>
      </w:pPr>
      <w:r>
        <w:rPr>
          <w:rFonts w:ascii="Arial" w:hAnsi="Arial"/>
          <w:b/>
          <w:i w:val="0"/>
          <w:color w:val="0A1E4D"/>
          <w:sz w:val="19"/>
        </w:rPr>
        <w:t>Genere la clave.</w:t>
      </w:r>
      <w:r>
        <w:rPr>
          <w:rFonts w:ascii="Cambria" w:hAnsi="Cambria"/>
          <w:b w:val="0"/>
          <w:i w:val="0"/>
          <w:color w:val="171717"/>
          <w:sz w:val="19"/>
        </w:rPr>
        <w:t xml:space="preserve"> Copie el valor en ese momento y guárdelo en un gestor de secretos.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B42318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ADVERTENCIA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Una API key concede acceso persistente. No la incluya en código fuente, capturas, documentación pública ni registros sin protección.</w:t>
            </w:r>
          </w:p>
        </w:tc>
      </w:tr>
    </w:tbl>
    <w:p>
      <w:pPr>
        <w:spacing w:after="20"/>
      </w:pPr>
    </w:p>
    <w:p>
      <w:pPr>
        <w:pStyle w:val="Heading2"/>
      </w:pPr>
      <w:r>
        <w:t>7.2 Endpoints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500"/>
        <w:gridCol w:w="4760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Método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Endpoint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GET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/tipos-documento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Consultar tipos, campos y estado.</w:t>
            </w:r>
          </w:p>
        </w:tc>
      </w:tr>
      <w:tr>
        <w:tc>
          <w:tcPr>
            <w:tcW w:type="dxa" w:w="11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POST</w:t>
            </w:r>
          </w:p>
        </w:tc>
        <w:tc>
          <w:tcPr>
            <w:tcW w:type="dxa" w:w="35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/extract</w:t>
            </w:r>
          </w:p>
        </w:tc>
        <w:tc>
          <w:tcPr>
            <w:tcW w:type="dxa" w:w="47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Enviar un PDF y obtener los campos extraídos.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POST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/aprendizaje/documentos-validados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Enviar un PDF con correcciones confirmadas.</w:t>
            </w:r>
          </w:p>
        </w:tc>
      </w:tr>
    </w:tbl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Tabla 7.1. </w:t>
      </w:r>
      <w:r>
        <w:rPr>
          <w:rFonts w:ascii="Cambria" w:hAnsi="Cambria"/>
          <w:b w:val="0"/>
          <w:i w:val="0"/>
          <w:color w:val="171717"/>
          <w:sz w:val="16"/>
        </w:rPr>
        <w:t>Endpoints principales de integración.</w:t>
      </w:r>
    </w:p>
    <w:p>
      <w:pPr>
        <w:pStyle w:val="Heading2"/>
      </w:pPr>
      <w:r>
        <w:t>7.3 Solicitud de extracción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Envíe una solicitud `multipart/form-data` con el archivo, el identificador del tipo documental y la cabecera de autenticación cuando corresponda.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0A1E4D"/>
          </w:tcPr>
          <w:p>
            <w:r>
              <w:rPr>
                <w:rFonts w:ascii="Consolas" w:hAnsi="Consolas"/>
                <w:b w:val="0"/>
                <w:i w:val="0"/>
                <w:color w:val="FFFFFF"/>
                <w:sz w:val="16"/>
              </w:rPr>
              <w:t>curl -X POST "http://HOST/extract" \</w:t>
              <w:br/>
              <w:t>+  -H "X-API-Key: TU_API_KEY" \</w:t>
              <w:br/>
              <w:t>+  -F "id_tipo_documento=constancia_servicio" \</w:t>
              <w:br/>
              <w:t>+  -F "file=@constancia.pdf"</w:t>
            </w:r>
          </w:p>
        </w:tc>
      </w:tr>
    </w:tbl>
    <w:p>
      <w:pPr>
        <w:pStyle w:val="Heading2"/>
      </w:pPr>
      <w:r>
        <w:t>7.4 Envío de correcciones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El campo `campos_validados` debe contener JSON válido. Incluya todos los campos obligatorios definidos para el tipo documental.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F4DE72"/>
          </w:tcPr>
          <w:p>
            <w:r>
              <w:rPr>
                <w:rFonts w:ascii="Arial" w:hAnsi="Arial"/>
                <w:b/>
                <w:i w:val="0"/>
                <w:color w:val="171717"/>
                <w:sz w:val="16"/>
              </w:rPr>
              <w:t>IMPORTANTE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shd w:fill="F1F2F0"/>
          </w:tcPr>
          <w:p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Las correcciones alimentan lotes de aprendizaje. Envíe únicamente valores revisados por una persona responsable.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0"/>
        <w:gridCol w:w="7830"/>
      </w:tblGrid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mbria" w:hAnsi="Cambria"/>
                <w:b w:val="0"/>
                <w:i w:val="0"/>
                <w:color w:val="171717"/>
                <w:sz w:val="92"/>
              </w:rPr>
              <w:t>8</w:t>
            </w:r>
          </w:p>
        </w:tc>
        <w:tc>
          <w:tcPr>
            <w:tcW w:type="dxa" w:w="180"/>
            <w:tcMar>
              <w:top w:w="90" w:type="dxa"/>
              <w:start w:w="120" w:type="dxa"/>
              <w:bottom w:w="90" w:type="dxa"/>
              <w:end w:w="120" w:type="dxa"/>
            </w:tcMar>
            <w:shd w:fill="77933C"/>
          </w:tcPr>
          <w:p/>
        </w:tc>
        <w:tc>
          <w:tcPr>
            <w:tcW w:type="dxa" w:w="78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mbria" w:hAnsi="Cambria"/>
                <w:b/>
                <w:i w:val="0"/>
                <w:color w:val="0A1E4D"/>
                <w:sz w:val="46"/>
              </w:rPr>
              <w:t>Solución de problemas y buenas prácticas</w:t>
            </w:r>
          </w:p>
        </w:tc>
      </w:tr>
    </w:tbl>
    <w:p>
      <w:pPr>
        <w:spacing w:after="140"/>
      </w:pPr>
    </w:p>
    <w:p>
      <w:pPr/>
      <w:r>
        <w:rPr>
          <w:rFonts w:ascii="Cambria" w:hAnsi="Cambria"/>
          <w:b w:val="0"/>
          <w:i w:val="0"/>
          <w:color w:val="171717"/>
          <w:sz w:val="19"/>
        </w:rPr>
        <w:t>Los problemas más frecuentes se relacionan con archivos inválidos, credenciales, configuración incompleta, OCR deficiente o servicios auxiliares no disponibles.</w:t>
      </w:r>
    </w:p>
    <w:p>
      <w:pPr>
        <w:pStyle w:val="Heading2"/>
      </w:pPr>
      <w:r>
        <w:t>8.1 Diagnóstico rápido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200"/>
        <w:gridCol w:w="36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Situación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Causa probable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No abre la consola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Sesión inexistente o credencial incorrecta.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Regrese a `/login` y valide la credencial vigente.</w:t>
            </w:r>
          </w:p>
        </w:tc>
      </w:tr>
      <w:tr>
        <w:tc>
          <w:tcPr>
            <w:tcW w:type="dxa" w:w="25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El PDF no se procesa</w:t>
            </w:r>
          </w:p>
        </w:tc>
        <w:tc>
          <w:tcPr>
            <w:tcW w:type="dxa" w:w="32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Archivo vacío, dañado o con formato distinto.</w:t>
            </w:r>
          </w:p>
        </w:tc>
        <w:tc>
          <w:tcPr>
            <w:tcW w:type="dxa" w:w="36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Abra el PDF localmente y cargue una copia válida.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Faltan campos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Tipo incorrecto, OCR insuficiente o modelo sin evidencia.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Revise tipo, calidad, plantilla y anotaciones.</w:t>
            </w:r>
          </w:p>
        </w:tc>
      </w:tr>
      <w:tr>
        <w:tc>
          <w:tcPr>
            <w:tcW w:type="dxa" w:w="25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No hay lotes</w:t>
            </w:r>
          </w:p>
        </w:tc>
        <w:tc>
          <w:tcPr>
            <w:tcW w:type="dxa" w:w="32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No se han recibido documentos validados.</w:t>
            </w:r>
          </w:p>
        </w:tc>
        <w:tc>
          <w:tcPr>
            <w:tcW w:type="dxa" w:w="36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Verifique el endpoint de aprendizaje y la API key.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El entrenamiento no inicia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Worker Celery o Redis no disponible.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Solicite revisión del servicio y sus registros.</w:t>
            </w:r>
          </w:p>
        </w:tc>
      </w:tr>
      <w:tr>
        <w:tc>
          <w:tcPr>
            <w:tcW w:type="dxa" w:w="25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La API responde 401</w:t>
            </w:r>
          </w:p>
        </w:tc>
        <w:tc>
          <w:tcPr>
            <w:tcW w:type="dxa" w:w="32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Clave ausente, inválida o inactiva.</w:t>
            </w:r>
          </w:p>
        </w:tc>
        <w:tc>
          <w:tcPr>
            <w:tcW w:type="dxa" w:w="36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Envíe `X-API-Key` y verifique la clave en la consola.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La API responde 400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Falta archivo, tipo o campos obligatorios.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Revise nombres y contenido del formulario.</w:t>
            </w:r>
          </w:p>
        </w:tc>
      </w:tr>
    </w:tbl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Tabla 8.1. </w:t>
      </w:r>
      <w:r>
        <w:rPr>
          <w:rFonts w:ascii="Cambria" w:hAnsi="Cambria"/>
          <w:b w:val="0"/>
          <w:i w:val="0"/>
          <w:color w:val="171717"/>
          <w:sz w:val="16"/>
        </w:rPr>
        <w:t>Problemas frecuentes y acciones recomendadas.</w:t>
      </w:r>
    </w:p>
    <w:p>
      <w:pPr>
        <w:pStyle w:val="Heading2"/>
      </w:pPr>
      <w:r>
        <w:t>8.2 Buenas prácticas operativas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Mantenga los tipos en Borrador hasta completar pruebas representativas.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Use un conjunto de evaluación separado del entrenamiento.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Documente cada versión de modelo y su comparación.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Rote credenciales comprometidas y almacene secretos fuera del repositorio.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Revise la disponibilidad del servicio web, Redis y Celery antes de investigar el modelo.</w:t>
      </w:r>
    </w:p>
    <w:p>
      <w:pPr>
        <w:pStyle w:val="Heading2"/>
      </w:pPr>
      <w:r>
        <w:t>8.3 Cierre de sesión</w:t>
      </w:r>
    </w:p>
    <w:p>
      <w:pPr/>
      <w:r>
        <w:rPr>
          <w:rFonts w:ascii="Cambria" w:hAnsi="Cambria"/>
          <w:b w:val="0"/>
          <w:i w:val="0"/>
          <w:color w:val="171717"/>
          <w:sz w:val="19"/>
        </w:rPr>
        <w:t>Seleccione Cerrar sesión al terminar una tarea administrativa, especialmente en equipos compartidos. El sistema volverá al formulario de acceso.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80"/>
        <w:gridCol w:w="7830"/>
      </w:tblGrid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mbria" w:hAnsi="Cambria"/>
                <w:b w:val="0"/>
                <w:i w:val="0"/>
                <w:color w:val="171717"/>
                <w:sz w:val="92"/>
              </w:rPr>
              <w:t>9</w:t>
            </w:r>
          </w:p>
        </w:tc>
        <w:tc>
          <w:tcPr>
            <w:tcW w:type="dxa" w:w="180"/>
            <w:tcMar>
              <w:top w:w="90" w:type="dxa"/>
              <w:start w:w="120" w:type="dxa"/>
              <w:bottom w:w="90" w:type="dxa"/>
              <w:end w:w="120" w:type="dxa"/>
            </w:tcMar>
            <w:shd w:fill="77933C"/>
          </w:tcPr>
          <w:p/>
        </w:tc>
        <w:tc>
          <w:tcPr>
            <w:tcW w:type="dxa" w:w="78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mbria" w:hAnsi="Cambria"/>
                <w:b/>
                <w:i w:val="0"/>
                <w:color w:val="0A1E4D"/>
                <w:sz w:val="46"/>
              </w:rPr>
              <w:t>Glosario y referencias</w:t>
            </w:r>
          </w:p>
        </w:tc>
      </w:tr>
    </w:tbl>
    <w:p>
      <w:pPr>
        <w:spacing w:after="140"/>
      </w:pPr>
    </w:p>
    <w:p>
      <w:pPr/>
      <w:r>
        <w:rPr>
          <w:rFonts w:ascii="Cambria" w:hAnsi="Cambria"/>
          <w:b w:val="0"/>
          <w:i w:val="0"/>
          <w:color w:val="171717"/>
          <w:sz w:val="19"/>
        </w:rPr>
        <w:t>Esta sección reúne conceptos operativos y fuentes internas para facilitar el mantenimiento del sistema y del propio manual.</w:t>
      </w:r>
    </w:p>
    <w:p>
      <w:pPr>
        <w:pStyle w:val="Heading2"/>
      </w:pPr>
      <w:r>
        <w:t>9.1 Glosario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Término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shd w:fill="173B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Anotación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Relación entre un fragmento exacto de OCR y un campo o entidad.</w:t>
            </w:r>
          </w:p>
        </w:tc>
      </w:tr>
      <w:tr>
        <w:tc>
          <w:tcPr>
            <w:tcW w:type="dxa" w:w="23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Campo obligatorio</w:t>
            </w:r>
          </w:p>
        </w:tc>
        <w:tc>
          <w:tcPr>
            <w:tcW w:type="dxa" w:w="70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Dato requerido para aceptar una validación documental.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Documento validado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PDF acompañado por valores corregidos y confirmados.</w:t>
            </w:r>
          </w:p>
        </w:tc>
      </w:tr>
      <w:tr>
        <w:tc>
          <w:tcPr>
            <w:tcW w:type="dxa" w:w="23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Lote</w:t>
            </w:r>
          </w:p>
        </w:tc>
        <w:tc>
          <w:tcPr>
            <w:tcW w:type="dxa" w:w="70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Conjunto de documentos utilizado para entrenamiento y evaluación.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Modelo activo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Versión utilizada en producción para un tipo documental.</w:t>
            </w:r>
          </w:p>
        </w:tc>
      </w:tr>
      <w:tr>
        <w:tc>
          <w:tcPr>
            <w:tcW w:type="dxa" w:w="230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Plantilla</w:t>
            </w:r>
          </w:p>
        </w:tc>
        <w:tc>
          <w:tcPr>
            <w:tcW w:type="dxa" w:w="7060"/>
            <w:shd w:fill="F1F2F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Mapa aprendido de texto, posición y contexto para un formato repetible.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Tipo documental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Configuración que agrupa campos, plantillas, evidencias y modelos.</w:t>
            </w:r>
          </w:p>
        </w:tc>
      </w:tr>
    </w:tbl>
    <w:p>
      <w:pPr>
        <w:spacing w:before="60" w:after="140"/>
        <w:jc w:val="center"/>
      </w:pPr>
      <w:r>
        <w:rPr>
          <w:rFonts w:ascii="Cambria" w:hAnsi="Cambria"/>
          <w:b/>
          <w:i w:val="0"/>
          <w:color w:val="171717"/>
          <w:sz w:val="16"/>
        </w:rPr>
        <w:t xml:space="preserve">Tabla 9.1. </w:t>
      </w:r>
      <w:r>
        <w:rPr>
          <w:rFonts w:ascii="Cambria" w:hAnsi="Cambria"/>
          <w:b w:val="0"/>
          <w:i w:val="0"/>
          <w:color w:val="171717"/>
          <w:sz w:val="16"/>
        </w:rPr>
        <w:t>Glosario operativo.</w:t>
      </w:r>
    </w:p>
    <w:p>
      <w:pPr>
        <w:pStyle w:val="Heading2"/>
      </w:pPr>
      <w:r>
        <w:t>9.2 Referencias técnicas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Código y configuración del proyecto `document_processor`.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Interfaz desplegada en AWS EC2 verificada el 25 de agosto de 2026.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Guía interna de despliegue en VM y catálogo documental MySQL.</w:t>
      </w:r>
    </w:p>
    <w:p>
      <w:pPr>
        <w:pStyle w:val="ListBullet"/>
      </w:pPr>
      <w:r>
        <w:rPr>
          <w:rFonts w:ascii="Cambria" w:hAnsi="Cambria"/>
          <w:b w:val="0"/>
          <w:i w:val="0"/>
          <w:color w:val="171717"/>
          <w:sz w:val="19"/>
        </w:rPr>
        <w:t>Manual de usuario de referencia visual proporcionado para este proyecto.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NOTA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r>
              <w:rPr>
                <w:rFonts w:ascii="Arial" w:hAnsi="Arial"/>
                <w:b w:val="0"/>
                <w:i w:val="0"/>
                <w:color w:val="171717"/>
                <w:sz w:val="16"/>
              </w:rPr>
              <w:t>Las rutas, nombres de servicios y credenciales pertenecen a la operación técnica y no deben publicarse en versiones de distribución abierta.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3"/>
      <w:pgSz w:w="12240" w:h="15840"/>
      <w:pgMar w:top="1123" w:right="1123" w:bottom="1037" w:left="1238" w:header="504" w:footer="504" w:gutter="0"/>
      <w:cols w:space="720"/>
      <w:titlePg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dxa" w:w="9360"/>
      <w:tblLayout w:type="fixed"/>
      <w:tblLook w:firstColumn="1" w:firstRow="1" w:lastColumn="0" w:lastRow="0" w:noHBand="0" w:noVBand="1" w:val="04A0"/>
      <w:tblInd w:w="120" w:type="dxa"/>
    </w:tblPr>
    <w:tblGrid>
      <w:gridCol w:w="7600"/>
      <w:gridCol w:w="1760"/>
    </w:tblGrid>
    <w:tr>
      <w:tc>
        <w:tcPr>
          <w:tcW w:type="dxa" w:w="7600"/>
          <w:tcMar>
            <w:top w:w="90" w:type="dxa"/>
            <w:start w:w="120" w:type="dxa"/>
            <w:bottom w:w="90" w:type="dxa"/>
            <w:end w:w="120" w:type="dxa"/>
          </w:tcMar>
          <w:shd w:fill="FFFFFF"/>
        </w:tcPr>
        <w:p>
          <w:r>
            <w:rPr>
              <w:rFonts w:ascii="Arial" w:hAnsi="Arial"/>
              <w:b w:val="0"/>
              <w:i w:val="0"/>
              <w:color w:val="666666"/>
              <w:sz w:val="14"/>
            </w:rPr>
            <w:t>Instituto Tecnológico de Villahermosa  |  Gestión documental</w:t>
          </w:r>
        </w:p>
      </w:tc>
      <w:tc>
        <w:tcPr>
          <w:tcW w:type="dxa" w:w="1760"/>
          <w:tcMar>
            <w:top w:w="90" w:type="dxa"/>
            <w:start w:w="120" w:type="dxa"/>
            <w:bottom w:w="90" w:type="dxa"/>
            <w:end w:w="120" w:type="dxa"/>
          </w:tcMar>
          <w:shd w:fill="0A1E4D"/>
        </w:tcPr>
        <w:p>
          <w:pPr>
            <w:jc w:val="center"/>
          </w:pPr>
          <w:r>
            <w:rPr>
              <w:rFonts w:ascii="Arial" w:hAnsi="Arial"/>
              <w:b/>
              <w:i w:val="0"/>
              <w:color w:val="FFFFFF"/>
              <w:sz w:val="16"/>
            </w:rPr>
            <w:fldChar w:fldCharType="begin"/>
            <w:instrText xml:space="preserve">PAGE \* ROMAN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dxa" w:w="9360"/>
      <w:tblLayout w:type="fixed"/>
      <w:tblLook w:firstColumn="1" w:firstRow="1" w:lastColumn="0" w:lastRow="0" w:noHBand="0" w:noVBand="1" w:val="04A0"/>
      <w:tblInd w:w="120" w:type="dxa"/>
    </w:tblPr>
    <w:tblGrid>
      <w:gridCol w:w="7600"/>
      <w:gridCol w:w="1760"/>
    </w:tblGrid>
    <w:tr>
      <w:tc>
        <w:tcPr>
          <w:tcW w:type="dxa" w:w="7600"/>
          <w:tcMar>
            <w:top w:w="90" w:type="dxa"/>
            <w:start w:w="120" w:type="dxa"/>
            <w:bottom w:w="90" w:type="dxa"/>
            <w:end w:w="120" w:type="dxa"/>
          </w:tcMar>
        </w:tcPr>
        <w:p>
          <w:r>
            <w:rPr>
              <w:rFonts w:ascii="Arial" w:hAnsi="Arial"/>
              <w:b w:val="0"/>
              <w:i w:val="0"/>
              <w:color w:val="666666"/>
              <w:sz w:val="14"/>
            </w:rPr>
            <w:t>Document Processor  |  Manual de usuario</w:t>
          </w:r>
        </w:p>
      </w:tc>
      <w:tc>
        <w:tcPr>
          <w:tcW w:type="dxa" w:w="1760"/>
          <w:tcMar>
            <w:top w:w="90" w:type="dxa"/>
            <w:start w:w="120" w:type="dxa"/>
            <w:bottom w:w="90" w:type="dxa"/>
            <w:end w:w="120" w:type="dxa"/>
          </w:tcMar>
          <w:shd w:fill="0A1E4D"/>
        </w:tcPr>
        <w:p>
          <w:pPr>
            <w:jc w:val="center"/>
          </w:pPr>
          <w:r>
            <w:rPr>
              <w:rFonts w:ascii="Arial" w:hAnsi="Arial"/>
              <w:b/>
              <w:i w:val="0"/>
              <w:color w:val="FFFFFF"/>
              <w:sz w:val="16"/>
            </w:rPr>
            <w:fldChar w:fldCharType="begin"/>
            <w:instrText xml:space="preserve">PAGE \* ARABIC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B8BDC5"/>
      </w:pBdr>
    </w:pPr>
    <w:r>
      <w:rPr>
        <w:rFonts w:ascii="Arial" w:hAnsi="Arial"/>
        <w:b/>
        <w:i w:val="0"/>
        <w:color w:val="173B67"/>
        <w:sz w:val="15"/>
      </w:rPr>
      <w:t>MANUAL DE USUARIO  |  DOCUMENT PROCESSOR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mbria" w:hAnsi="Cambria"/>
      <w:color w:val="17171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B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B6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7793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547" w:hanging="274"/>
      <w:contextualSpacing/>
    </w:pPr>
    <w:rPr>
      <w:rFonts w:ascii="Cambria" w:hAnsi="Cambria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547" w:hanging="274"/>
      <w:contextualSpacing/>
    </w:pPr>
    <w:rPr>
      <w:rFonts w:ascii="Cambria" w:hAnsi="Cambria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footer" Target="footer2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Document Processor</dc:title>
  <dc:subject>Operación, administración e integración API</dc:subject>
  <dc:creator>Instituto Tecnológico de Villahermosa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