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media/image10.png" ContentType="image/jpeg"/>
  <Override PartName="/word/media/image11.png" ContentType="image/jpeg"/>
  <Override PartName="/word/media/image1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  <w:jc w:val="center"/>
      </w:pPr>
      <w:r>
        <w:drawing>
          <wp:inline xmlns:a="http://schemas.openxmlformats.org/drawingml/2006/main" xmlns:pic="http://schemas.openxmlformats.org/drawingml/2006/picture">
            <wp:extent cx="1143000" cy="2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n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22328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 </w:t>
      </w:r>
      <w:r>
        <w:drawing>
          <wp:inline xmlns:a="http://schemas.openxmlformats.org/drawingml/2006/main" xmlns:pic="http://schemas.openxmlformats.org/drawingml/2006/picture">
            <wp:extent cx="1143000" cy="16498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v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64980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 </w:t>
      </w:r>
    </w:p>
    <w:p>
      <w:pPr>
        <w:spacing w:after="60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/>
          <w:p>
            <w:pPr>
              <w:spacing w:after="160"/>
              <w:jc w:val="center"/>
            </w:pPr>
            <w:r>
              <w:rPr>
                <w:rFonts w:ascii="Cambria" w:hAnsi="Cambria"/>
                <w:b w:val="0"/>
                <w:i w:val="0"/>
                <w:color w:val="FFFFFF"/>
                <w:sz w:val="22"/>
              </w:rPr>
              <w:t>GUÍA DE USUARIO</w:t>
            </w:r>
          </w:p>
          <w:p>
            <w:pPr>
              <w:spacing w:after="160"/>
              <w:jc w:val="center"/>
            </w:pPr>
            <w:r>
              <w:rPr>
                <w:rFonts w:ascii="Cambria" w:hAnsi="Cambria"/>
                <w:b/>
                <w:i w:val="0"/>
                <w:color w:val="FFFFFF"/>
                <w:sz w:val="52"/>
              </w:rPr>
              <w:t>DOCUMENT PROCESSOR</w:t>
            </w:r>
          </w:p>
          <w:p>
            <w:pPr>
              <w:spacing w:after="160"/>
              <w:jc w:val="center"/>
            </w:pPr>
            <w:r>
              <w:rPr>
                <w:rFonts w:ascii="Cambria" w:hAnsi="Cambria"/>
                <w:b w:val="0"/>
                <w:i w:val="0"/>
                <w:color w:val="FFFFFF"/>
                <w:sz w:val="26"/>
              </w:rPr>
              <w:t>Sistema de análisis y aprendizaje documental</w:t>
            </w:r>
          </w:p>
        </w:tc>
      </w:tr>
    </w:tbl>
    <w:p>
      <w:pPr>
        <w:spacing w:after="720"/>
      </w:pPr>
    </w:p>
    <w:p>
      <w:pPr>
        <w:jc w:val="center"/>
      </w:pPr>
      <w:r>
        <w:rPr>
          <w:rFonts w:ascii="Cambria" w:hAnsi="Cambria"/>
          <w:b/>
          <w:i w:val="0"/>
          <w:color w:val="0A1E4D"/>
          <w:sz w:val="22"/>
        </w:rPr>
        <w:t>Manual integral para operación pública, administración e integración API</w:t>
      </w:r>
    </w:p>
    <w:p>
      <w:pPr>
        <w:jc w:val="center"/>
      </w:pPr>
      <w:r>
        <w:rPr>
          <w:rFonts w:ascii="Arial" w:hAnsi="Arial"/>
          <w:b w:val="0"/>
          <w:i w:val="0"/>
          <w:color w:val="555555"/>
          <w:sz w:val="18"/>
        </w:rPr>
        <w:t>Versión 1.0  |  Agosto de 2026</w:t>
      </w:r>
    </w:p>
    <w:p>
      <w:r>
        <w:br w:type="page"/>
      </w:r>
    </w:p>
    <w:p>
      <w:pPr>
        <w:pStyle w:val="Heading1"/>
      </w:pPr>
      <w:r>
        <w:t>Control documental</w:t>
      </w:r>
    </w:p>
    <w:p>
      <w:pPr/>
      <w:r>
        <w:rPr>
          <w:rFonts w:ascii="Cambria" w:hAnsi="Cambria"/>
          <w:b w:val="0"/>
          <w:i w:val="0"/>
          <w:color w:val="171717"/>
          <w:sz w:val="19"/>
        </w:rPr>
        <w:t>Este manual describe la versión desplegada de Document Processor en AWS EC2 y debe actualizarse cuando cambien los flujos visibles, los permisos o los endpoints públicos.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Elemento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Valor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Documento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Manual de usuario de Document Processor</w:t>
            </w:r>
          </w:p>
        </w:tc>
      </w:tr>
      <w:tr>
        <w:tc>
          <w:tcPr>
            <w:tcW w:type="dxa" w:w="25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Versión</w:t>
            </w:r>
          </w:p>
        </w:tc>
        <w:tc>
          <w:tcPr>
            <w:tcW w:type="dxa" w:w="68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1.0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Fecha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25 de agosto de 2026</w:t>
            </w:r>
          </w:p>
        </w:tc>
      </w:tr>
      <w:tr>
        <w:tc>
          <w:tcPr>
            <w:tcW w:type="dxa" w:w="25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Estado</w:t>
            </w:r>
          </w:p>
        </w:tc>
        <w:tc>
          <w:tcPr>
            <w:tcW w:type="dxa" w:w="68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Vigente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Cobertura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Analizador público, consola administrativa e integración API</w:t>
            </w:r>
          </w:p>
        </w:tc>
      </w:tr>
      <w:tr>
        <w:tc>
          <w:tcPr>
            <w:tcW w:type="dxa" w:w="25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Entorno verificado</w:t>
            </w:r>
          </w:p>
        </w:tc>
        <w:tc>
          <w:tcPr>
            <w:tcW w:type="dxa" w:w="68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AWS EC2 - despliegue productivo</w:t>
            </w:r>
          </w:p>
        </w:tc>
      </w:tr>
    </w:tbl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Tabla P.1. </w:t>
      </w:r>
      <w:r>
        <w:rPr>
          <w:rFonts w:ascii="Cambria" w:hAnsi="Cambria"/>
          <w:b w:val="0"/>
          <w:i w:val="0"/>
          <w:color w:val="171717"/>
          <w:sz w:val="16"/>
        </w:rPr>
        <w:t>Control del documento.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7760"/>
      </w:tblGrid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shd w:fill="0E749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NOTA</w:t>
            </w:r>
          </w:p>
        </w:tc>
        <w:tc>
          <w:tcPr>
            <w:tcW w:type="dxa" w:w="7760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Las capturas reflejan el entorno disponible durante la elaboración. Los datos operativos pueden cambiar sin alterar el procedimiento general.</w:t>
            </w:r>
          </w:p>
        </w:tc>
      </w:tr>
    </w:tbl>
    <w:p>
      <w:pPr>
        <w:spacing w:after="20"/>
      </w:pPr>
    </w:p>
    <w:p>
      <w:pPr>
        <w:pStyle w:val="Heading2"/>
      </w:pPr>
      <w:r>
        <w:t>Público objetivo</w:t>
      </w:r>
    </w:p>
    <w:p>
      <w:pPr>
        <w:pStyle w:val="ListBullet"/>
      </w:pPr>
      <w:r>
        <w:rPr>
          <w:rFonts w:ascii="Cambria" w:hAnsi="Cambria"/>
          <w:b w:val="0"/>
          <w:i w:val="0"/>
          <w:color w:val="171717"/>
          <w:sz w:val="19"/>
        </w:rPr>
        <w:t>Personal que carga documentos y consulta resultados de extracción.</w:t>
      </w:r>
    </w:p>
    <w:p>
      <w:pPr>
        <w:pStyle w:val="ListBullet"/>
      </w:pPr>
      <w:r>
        <w:rPr>
          <w:rFonts w:ascii="Cambria" w:hAnsi="Cambria"/>
          <w:b w:val="0"/>
          <w:i w:val="0"/>
          <w:color w:val="171717"/>
          <w:sz w:val="19"/>
        </w:rPr>
        <w:t>Personal administrador que configura tipos, campos, plantillas, anotaciones, lotes y modelos.</w:t>
      </w:r>
    </w:p>
    <w:p>
      <w:pPr>
        <w:pStyle w:val="ListBullet"/>
      </w:pPr>
      <w:r>
        <w:rPr>
          <w:rFonts w:ascii="Cambria" w:hAnsi="Cambria"/>
          <w:b w:val="0"/>
          <w:i w:val="0"/>
          <w:color w:val="171717"/>
          <w:sz w:val="19"/>
        </w:rPr>
        <w:t>Personal técnico que integra sistemas mediante API key.</w:t>
      </w:r>
    </w:p>
    <w:p>
      <w:r>
        <w:br w:type="page"/>
      </w:r>
    </w:p>
    <w:p>
      <w:pPr>
        <w:pStyle w:val="Heading1"/>
      </w:pPr>
      <w:r>
        <w:t>Siglas y acrónimos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7760"/>
      </w:tblGrid>
      <w:tr>
        <w:trPr>
          <w:tblHeader w:val="true"/>
        </w:trP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Sigla</w:t>
            </w:r>
          </w:p>
        </w:tc>
        <w:tc>
          <w:tcPr>
            <w:tcW w:type="dxa" w:w="776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Significado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API</w:t>
            </w:r>
          </w:p>
        </w:tc>
        <w:tc>
          <w:tcPr>
            <w:tcW w:type="dxa" w:w="77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Interfaz de programación de aplicaciones</w:t>
            </w:r>
          </w:p>
        </w:tc>
      </w:tr>
      <w:tr>
        <w:tc>
          <w:tcPr>
            <w:tcW w:type="dxa" w:w="16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EC2</w:t>
            </w:r>
          </w:p>
        </w:tc>
        <w:tc>
          <w:tcPr>
            <w:tcW w:type="dxa" w:w="77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Elastic Compute Cloud de Amazon Web Services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JSON</w:t>
            </w:r>
          </w:p>
        </w:tc>
        <w:tc>
          <w:tcPr>
            <w:tcW w:type="dxa" w:w="77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Notación de objetos de JavaScript</w:t>
            </w:r>
          </w:p>
        </w:tc>
      </w:tr>
      <w:tr>
        <w:tc>
          <w:tcPr>
            <w:tcW w:type="dxa" w:w="16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NLP</w:t>
            </w:r>
          </w:p>
        </w:tc>
        <w:tc>
          <w:tcPr>
            <w:tcW w:type="dxa" w:w="77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Procesamiento de lenguaje natural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OCR</w:t>
            </w:r>
          </w:p>
        </w:tc>
        <w:tc>
          <w:tcPr>
            <w:tcW w:type="dxa" w:w="77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Reconocimiento óptico de caracteres</w:t>
            </w:r>
          </w:p>
        </w:tc>
      </w:tr>
      <w:tr>
        <w:tc>
          <w:tcPr>
            <w:tcW w:type="dxa" w:w="16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PDF</w:t>
            </w:r>
          </w:p>
        </w:tc>
        <w:tc>
          <w:tcPr>
            <w:tcW w:type="dxa" w:w="77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Formato de documento portátil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REST</w:t>
            </w:r>
          </w:p>
        </w:tc>
        <w:tc>
          <w:tcPr>
            <w:tcW w:type="dxa" w:w="77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Estilo de arquitectura para servicios web</w:t>
            </w:r>
          </w:p>
        </w:tc>
      </w:tr>
      <w:tr>
        <w:tc>
          <w:tcPr>
            <w:tcW w:type="dxa" w:w="16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spaCy</w:t>
            </w:r>
          </w:p>
        </w:tc>
        <w:tc>
          <w:tcPr>
            <w:tcW w:type="dxa" w:w="77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Biblioteca de procesamiento de lenguaje natural utilizada por el sistema</w:t>
            </w:r>
          </w:p>
        </w:tc>
      </w:tr>
    </w:tbl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Tabla P.2. </w:t>
      </w:r>
      <w:r>
        <w:rPr>
          <w:rFonts w:ascii="Cambria" w:hAnsi="Cambria"/>
          <w:b w:val="0"/>
          <w:i w:val="0"/>
          <w:color w:val="171717"/>
          <w:sz w:val="16"/>
        </w:rPr>
        <w:t>Siglas utilizadas en el manual.</w:t>
      </w:r>
    </w:p>
    <w:p>
      <w:r>
        <w:br w:type="page"/>
      </w:r>
    </w:p>
    <w:p>
      <w:pPr>
        <w:spacing w:after="280"/>
        <w:pBdr>
          <w:bottom w:val="single" w:sz="8" w:space="3" w:color="77933C"/>
        </w:pBdr>
      </w:pPr>
      <w:r>
        <w:rPr>
          <w:rFonts w:ascii="Cambria" w:hAnsi="Cambria"/>
          <w:b/>
          <w:i w:val="0"/>
          <w:color w:val="0A1E4D"/>
          <w:sz w:val="38"/>
        </w:rPr>
        <w:t>ÍNDICE DE FIGURAS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200"/>
        <w:gridCol w:w="1160"/>
      </w:tblGrid>
      <w:tr>
        <w:tc>
          <w:tcPr>
            <w:tcW w:type="dxa" w:w="82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Figura 2.1. Acceso administrativo</w:t>
            </w:r>
          </w:p>
        </w:tc>
        <w:tc>
          <w:tcPr>
            <w:tcW w:type="dxa" w:w="11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77933C"/>
                <w:sz w:val="18"/>
              </w:rPr>
              <w:t>2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200"/>
        <w:gridCol w:w="1160"/>
      </w:tblGrid>
      <w:tr>
        <w:tc>
          <w:tcPr>
            <w:tcW w:type="dxa" w:w="82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Figura 2.2. Consola documental</w:t>
            </w:r>
          </w:p>
        </w:tc>
        <w:tc>
          <w:tcPr>
            <w:tcW w:type="dxa" w:w="11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77933C"/>
                <w:sz w:val="18"/>
              </w:rPr>
              <w:t>3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200"/>
        <w:gridCol w:w="1160"/>
      </w:tblGrid>
      <w:tr>
        <w:tc>
          <w:tcPr>
            <w:tcW w:type="dxa" w:w="82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Figura 3.1. Analizador público</w:t>
            </w:r>
          </w:p>
        </w:tc>
        <w:tc>
          <w:tcPr>
            <w:tcW w:type="dxa" w:w="11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77933C"/>
                <w:sz w:val="18"/>
              </w:rPr>
              <w:t>5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200"/>
        <w:gridCol w:w="1160"/>
      </w:tblGrid>
      <w:tr>
        <w:tc>
          <w:tcPr>
            <w:tcW w:type="dxa" w:w="82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Figura 4.1. Asistente de tipo documental</w:t>
            </w:r>
          </w:p>
        </w:tc>
        <w:tc>
          <w:tcPr>
            <w:tcW w:type="dxa" w:w="11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77933C"/>
                <w:sz w:val="18"/>
              </w:rPr>
              <w:t>8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200"/>
        <w:gridCol w:w="1160"/>
      </w:tblGrid>
      <w:tr>
        <w:tc>
          <w:tcPr>
            <w:tcW w:type="dxa" w:w="82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Figura 4.2. Campos documentales</w:t>
            </w:r>
          </w:p>
        </w:tc>
        <w:tc>
          <w:tcPr>
            <w:tcW w:type="dxa" w:w="11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77933C"/>
                <w:sz w:val="18"/>
              </w:rPr>
              <w:t>10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200"/>
        <w:gridCol w:w="1160"/>
      </w:tblGrid>
      <w:tr>
        <w:tc>
          <w:tcPr>
            <w:tcW w:type="dxa" w:w="82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Figura 5.1. Plantilla aprendida</w:t>
            </w:r>
          </w:p>
        </w:tc>
        <w:tc>
          <w:tcPr>
            <w:tcW w:type="dxa" w:w="11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77933C"/>
                <w:sz w:val="18"/>
              </w:rPr>
              <w:t>13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200"/>
        <w:gridCol w:w="1160"/>
      </w:tblGrid>
      <w:tr>
        <w:tc>
          <w:tcPr>
            <w:tcW w:type="dxa" w:w="82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Figura 5.2. Anotación asistida</w:t>
            </w:r>
          </w:p>
        </w:tc>
        <w:tc>
          <w:tcPr>
            <w:tcW w:type="dxa" w:w="11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77933C"/>
                <w:sz w:val="18"/>
              </w:rPr>
              <w:t>14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200"/>
        <w:gridCol w:w="1160"/>
      </w:tblGrid>
      <w:tr>
        <w:tc>
          <w:tcPr>
            <w:tcW w:type="dxa" w:w="82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Figura 6.1. Lotes de entrenamiento</w:t>
            </w:r>
          </w:p>
        </w:tc>
        <w:tc>
          <w:tcPr>
            <w:tcW w:type="dxa" w:w="11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77933C"/>
                <w:sz w:val="18"/>
              </w:rPr>
              <w:t>17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200"/>
        <w:gridCol w:w="1160"/>
      </w:tblGrid>
      <w:tr>
        <w:tc>
          <w:tcPr>
            <w:tcW w:type="dxa" w:w="82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Figura 6.2. Versiones de modelo</w:t>
            </w:r>
          </w:p>
        </w:tc>
        <w:tc>
          <w:tcPr>
            <w:tcW w:type="dxa" w:w="11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77933C"/>
                <w:sz w:val="18"/>
              </w:rPr>
              <w:t>19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200"/>
        <w:gridCol w:w="1160"/>
      </w:tblGrid>
      <w:tr>
        <w:tc>
          <w:tcPr>
            <w:tcW w:type="dxa" w:w="82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Figura 7.1. Conexión API</w:t>
            </w:r>
          </w:p>
        </w:tc>
        <w:tc>
          <w:tcPr>
            <w:tcW w:type="dxa" w:w="11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77933C"/>
                <w:sz w:val="18"/>
              </w:rPr>
              <w:t>21</w:t>
            </w:r>
          </w:p>
        </w:tc>
      </w:tr>
    </w:tbl>
    <w:p>
      <w:r>
        <w:br w:type="page"/>
      </w:r>
    </w:p>
    <w:p>
      <w:pPr>
        <w:spacing w:after="280"/>
        <w:pBdr>
          <w:bottom w:val="single" w:sz="8" w:space="3" w:color="77933C"/>
        </w:pBdr>
      </w:pPr>
      <w:r>
        <w:rPr>
          <w:rFonts w:ascii="Cambria" w:hAnsi="Cambria"/>
          <w:b/>
          <w:i w:val="0"/>
          <w:color w:val="0A1E4D"/>
          <w:sz w:val="38"/>
        </w:rPr>
        <w:t>ÍNDICE DE TABLAS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200"/>
        <w:gridCol w:w="1160"/>
      </w:tblGrid>
      <w:tr>
        <w:tc>
          <w:tcPr>
            <w:tcW w:type="dxa" w:w="82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Tabla 1.1. Perfiles de uso</w:t>
            </w:r>
          </w:p>
        </w:tc>
        <w:tc>
          <w:tcPr>
            <w:tcW w:type="dxa" w:w="11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77933C"/>
                <w:sz w:val="18"/>
              </w:rPr>
              <w:t>1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200"/>
        <w:gridCol w:w="1160"/>
      </w:tblGrid>
      <w:tr>
        <w:tc>
          <w:tcPr>
            <w:tcW w:type="dxa" w:w="82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Tabla 2.1. Elementos de la consola</w:t>
            </w:r>
          </w:p>
        </w:tc>
        <w:tc>
          <w:tcPr>
            <w:tcW w:type="dxa" w:w="11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77933C"/>
                <w:sz w:val="18"/>
              </w:rPr>
              <w:t>4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200"/>
        <w:gridCol w:w="1160"/>
      </w:tblGrid>
      <w:tr>
        <w:tc>
          <w:tcPr>
            <w:tcW w:type="dxa" w:w="82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Tabla 3.1. Campos del analizador</w:t>
            </w:r>
          </w:p>
        </w:tc>
        <w:tc>
          <w:tcPr>
            <w:tcW w:type="dxa" w:w="11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77933C"/>
                <w:sz w:val="18"/>
              </w:rPr>
              <w:t>6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200"/>
        <w:gridCol w:w="1160"/>
      </w:tblGrid>
      <w:tr>
        <w:tc>
          <w:tcPr>
            <w:tcW w:type="dxa" w:w="82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Tabla 4.1. Datos de un campo documental</w:t>
            </w:r>
          </w:p>
        </w:tc>
        <w:tc>
          <w:tcPr>
            <w:tcW w:type="dxa" w:w="11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77933C"/>
                <w:sz w:val="18"/>
              </w:rPr>
              <w:t>9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200"/>
        <w:gridCol w:w="1160"/>
      </w:tblGrid>
      <w:tr>
        <w:tc>
          <w:tcPr>
            <w:tcW w:type="dxa" w:w="82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Tabla 5.1. Métodos de preprocesamiento</w:t>
            </w:r>
          </w:p>
        </w:tc>
        <w:tc>
          <w:tcPr>
            <w:tcW w:type="dxa" w:w="11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77933C"/>
                <w:sz w:val="18"/>
              </w:rPr>
              <w:t>15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200"/>
        <w:gridCol w:w="1160"/>
      </w:tblGrid>
      <w:tr>
        <w:tc>
          <w:tcPr>
            <w:tcW w:type="dxa" w:w="82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Tabla 6.1. Etapas del aprendizaje</w:t>
            </w:r>
          </w:p>
        </w:tc>
        <w:tc>
          <w:tcPr>
            <w:tcW w:type="dxa" w:w="11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77933C"/>
                <w:sz w:val="18"/>
              </w:rPr>
              <w:t>18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200"/>
        <w:gridCol w:w="1160"/>
      </w:tblGrid>
      <w:tr>
        <w:tc>
          <w:tcPr>
            <w:tcW w:type="dxa" w:w="82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Tabla 7.1. Endpoints de integración</w:t>
            </w:r>
          </w:p>
        </w:tc>
        <w:tc>
          <w:tcPr>
            <w:tcW w:type="dxa" w:w="11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77933C"/>
                <w:sz w:val="18"/>
              </w:rPr>
              <w:t>23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200"/>
        <w:gridCol w:w="1160"/>
      </w:tblGrid>
      <w:tr>
        <w:tc>
          <w:tcPr>
            <w:tcW w:type="dxa" w:w="82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Tabla 8.1. Solución de problemas</w:t>
            </w:r>
          </w:p>
        </w:tc>
        <w:tc>
          <w:tcPr>
            <w:tcW w:type="dxa" w:w="11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77933C"/>
                <w:sz w:val="18"/>
              </w:rPr>
              <w:t>24</w:t>
            </w:r>
          </w:p>
        </w:tc>
      </w:tr>
    </w:tbl>
    <w:p>
      <w:r>
        <w:br w:type="page"/>
      </w:r>
    </w:p>
    <w:p>
      <w:pPr>
        <w:spacing w:after="280"/>
        <w:pBdr>
          <w:bottom w:val="single" w:sz="8" w:space="3" w:color="77933C"/>
        </w:pBdr>
      </w:pPr>
      <w:r>
        <w:rPr>
          <w:rFonts w:ascii="Cambria" w:hAnsi="Cambria"/>
          <w:b/>
          <w:i w:val="0"/>
          <w:color w:val="0A1E4D"/>
          <w:sz w:val="38"/>
        </w:rPr>
        <w:t>ÍNDICE GENERAL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200"/>
        <w:gridCol w:w="1160"/>
      </w:tblGrid>
      <w:tr>
        <w:tc>
          <w:tcPr>
            <w:tcW w:type="dxa" w:w="82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1  Introducción al sistema</w:t>
            </w:r>
          </w:p>
        </w:tc>
        <w:tc>
          <w:tcPr>
            <w:tcW w:type="dxa" w:w="11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77933C"/>
                <w:sz w:val="18"/>
              </w:rPr>
              <w:t>1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200"/>
        <w:gridCol w:w="1160"/>
      </w:tblGrid>
      <w:tr>
        <w:tc>
          <w:tcPr>
            <w:tcW w:type="dxa" w:w="82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2  Acceso, perfiles y navegación</w:t>
            </w:r>
          </w:p>
        </w:tc>
        <w:tc>
          <w:tcPr>
            <w:tcW w:type="dxa" w:w="11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77933C"/>
                <w:sz w:val="18"/>
              </w:rPr>
              <w:t>2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200"/>
        <w:gridCol w:w="1160"/>
      </w:tblGrid>
      <w:tr>
        <w:tc>
          <w:tcPr>
            <w:tcW w:type="dxa" w:w="82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3  Analizador público</w:t>
            </w:r>
          </w:p>
        </w:tc>
        <w:tc>
          <w:tcPr>
            <w:tcW w:type="dxa" w:w="11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77933C"/>
                <w:sz w:val="18"/>
              </w:rPr>
              <w:t>5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200"/>
        <w:gridCol w:w="1160"/>
      </w:tblGrid>
      <w:tr>
        <w:tc>
          <w:tcPr>
            <w:tcW w:type="dxa" w:w="82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4  Tipos documentales y campos</w:t>
            </w:r>
          </w:p>
        </w:tc>
        <w:tc>
          <w:tcPr>
            <w:tcW w:type="dxa" w:w="11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77933C"/>
                <w:sz w:val="18"/>
              </w:rPr>
              <w:t>8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200"/>
        <w:gridCol w:w="1160"/>
      </w:tblGrid>
      <w:tr>
        <w:tc>
          <w:tcPr>
            <w:tcW w:type="dxa" w:w="82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5  Plantillas y anotación asistida</w:t>
            </w:r>
          </w:p>
        </w:tc>
        <w:tc>
          <w:tcPr>
            <w:tcW w:type="dxa" w:w="11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77933C"/>
                <w:sz w:val="18"/>
              </w:rPr>
              <w:t>13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200"/>
        <w:gridCol w:w="1160"/>
      </w:tblGrid>
      <w:tr>
        <w:tc>
          <w:tcPr>
            <w:tcW w:type="dxa" w:w="82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6  Aprendizaje, lotes y modelos</w:t>
            </w:r>
          </w:p>
        </w:tc>
        <w:tc>
          <w:tcPr>
            <w:tcW w:type="dxa" w:w="11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77933C"/>
                <w:sz w:val="18"/>
              </w:rPr>
              <w:t>17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200"/>
        <w:gridCol w:w="1160"/>
      </w:tblGrid>
      <w:tr>
        <w:tc>
          <w:tcPr>
            <w:tcW w:type="dxa" w:w="82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7  Claves e integración API</w:t>
            </w:r>
          </w:p>
        </w:tc>
        <w:tc>
          <w:tcPr>
            <w:tcW w:type="dxa" w:w="11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77933C"/>
                <w:sz w:val="18"/>
              </w:rPr>
              <w:t>21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200"/>
        <w:gridCol w:w="1160"/>
      </w:tblGrid>
      <w:tr>
        <w:tc>
          <w:tcPr>
            <w:tcW w:type="dxa" w:w="82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8  Solución de problemas y buenas prácticas</w:t>
            </w:r>
          </w:p>
        </w:tc>
        <w:tc>
          <w:tcPr>
            <w:tcW w:type="dxa" w:w="11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77933C"/>
                <w:sz w:val="18"/>
              </w:rPr>
              <w:t>24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200"/>
        <w:gridCol w:w="1160"/>
      </w:tblGrid>
      <w:tr>
        <w:tc>
          <w:tcPr>
            <w:tcW w:type="dxa" w:w="82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9  Glosario y referencias</w:t>
            </w:r>
          </w:p>
        </w:tc>
        <w:tc>
          <w:tcPr>
            <w:tcW w:type="dxa" w:w="11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77933C"/>
                <w:sz w:val="18"/>
              </w:rPr>
              <w:t>25</w:t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/>
          <w:pgMar w:top="1123" w:right="1123" w:bottom="1037" w:left="1238" w:header="504" w:footer="504" w:gutter="0"/>
          <w:cols w:space="720"/>
          <w:titlePg/>
          <w:docGrid w:linePitch="360"/>
          <w:pgNumType w:fmt="upperRoman" w:start="1"/>
        </w:sectPr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180"/>
        <w:gridCol w:w="7830"/>
      </w:tblGrid>
      <w:t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right"/>
            </w:pPr>
            <w:r>
              <w:rPr>
                <w:rFonts w:ascii="Cambria" w:hAnsi="Cambria"/>
                <w:b w:val="0"/>
                <w:i w:val="0"/>
                <w:color w:val="171717"/>
                <w:sz w:val="92"/>
              </w:rPr>
              <w:t>1</w:t>
            </w:r>
          </w:p>
        </w:tc>
        <w:tc>
          <w:tcPr>
            <w:tcW w:type="dxa" w:w="180"/>
            <w:tcMar>
              <w:top w:w="90" w:type="dxa"/>
              <w:start w:w="120" w:type="dxa"/>
              <w:bottom w:w="90" w:type="dxa"/>
              <w:end w:w="120" w:type="dxa"/>
            </w:tcMar>
            <w:shd w:fill="77933C"/>
          </w:tcPr>
          <w:p/>
        </w:tc>
        <w:tc>
          <w:tcPr>
            <w:tcW w:type="dxa" w:w="783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left"/>
            </w:pPr>
            <w:r>
              <w:rPr>
                <w:rFonts w:ascii="Cambria" w:hAnsi="Cambria"/>
                <w:b/>
                <w:i w:val="0"/>
                <w:color w:val="0A1E4D"/>
                <w:sz w:val="46"/>
              </w:rPr>
              <w:t>Introducción al sistema</w:t>
            </w:r>
          </w:p>
        </w:tc>
      </w:tr>
    </w:tbl>
    <w:p>
      <w:pPr>
        <w:spacing w:after="140"/>
      </w:pPr>
    </w:p>
    <w:p>
      <w:pPr/>
      <w:r>
        <w:rPr>
          <w:rFonts w:ascii="Cambria" w:hAnsi="Cambria"/>
          <w:b w:val="0"/>
          <w:i w:val="0"/>
          <w:color w:val="171717"/>
          <w:sz w:val="19"/>
        </w:rPr>
        <w:t>Document Processor es una plataforma para cargar archivos PDF, extraer datos mediante OCR y modelos NLP, y mejorar gradualmente la extracción con plantillas, anotaciones y documentos validados.</w:t>
      </w:r>
    </w:p>
    <w:p>
      <w:pPr>
        <w:pStyle w:val="Heading2"/>
      </w:pPr>
      <w:r>
        <w:t>1.1 Objetivo</w:t>
      </w:r>
    </w:p>
    <w:p>
      <w:pPr/>
      <w:r>
        <w:rPr>
          <w:rFonts w:ascii="Cambria" w:hAnsi="Cambria"/>
          <w:b w:val="0"/>
          <w:i w:val="0"/>
          <w:color w:val="171717"/>
          <w:sz w:val="19"/>
        </w:rPr>
        <w:t>El sistema reduce la captura manual y centraliza el ciclo que va desde la definición de un tipo documental hasta la publicación de un modelo evaluado. La extracción pública y la administración comparten el mismo catálogo de tipos documentales.</w:t>
      </w:r>
    </w:p>
    <w:p>
      <w:pPr>
        <w:pStyle w:val="Heading2"/>
      </w:pPr>
      <w:r>
        <w:t>1.2 Perfiles de uso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5000"/>
        <w:gridCol w:w="2260"/>
      </w:tblGrid>
      <w:tr>
        <w:trPr>
          <w:tblHeader w:val="true"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Perfil</w:t>
            </w:r>
          </w:p>
        </w:tc>
        <w:tc>
          <w:tcPr>
            <w:tcW w:type="dxa" w:w="500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Responsabilidad</w:t>
            </w:r>
          </w:p>
        </w:tc>
        <w:tc>
          <w:tcPr>
            <w:tcW w:type="dxa" w:w="226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Acceso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Usuario del analizador</w:t>
            </w:r>
          </w:p>
        </w:tc>
        <w:tc>
          <w:tcPr>
            <w:tcW w:type="dxa" w:w="50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Seleccionar un tipo, cargar un PDF y revisar la extracción.</w:t>
            </w:r>
          </w:p>
        </w:tc>
        <w:tc>
          <w:tcPr>
            <w:tcW w:type="dxa" w:w="22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Analizador público</w:t>
            </w:r>
          </w:p>
        </w:tc>
      </w:tr>
      <w:tr>
        <w:tc>
          <w:tcPr>
            <w:tcW w:type="dxa" w:w="21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Administrador</w:t>
            </w:r>
          </w:p>
        </w:tc>
        <w:tc>
          <w:tcPr>
            <w:tcW w:type="dxa" w:w="50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Configurar documentos, campos, plantillas, anotaciones, lotes, modelos y claves.</w:t>
            </w:r>
          </w:p>
        </w:tc>
        <w:tc>
          <w:tcPr>
            <w:tcW w:type="dxa" w:w="22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Inicio de sesión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Integrador API</w:t>
            </w:r>
          </w:p>
        </w:tc>
        <w:tc>
          <w:tcPr>
            <w:tcW w:type="dxa" w:w="50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Enviar PDFs y correcciones desde otro sistema.</w:t>
            </w:r>
          </w:p>
        </w:tc>
        <w:tc>
          <w:tcPr>
            <w:tcW w:type="dxa" w:w="22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API key</w:t>
            </w:r>
          </w:p>
        </w:tc>
      </w:tr>
    </w:tbl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Tabla 1.1. </w:t>
      </w:r>
      <w:r>
        <w:rPr>
          <w:rFonts w:ascii="Cambria" w:hAnsi="Cambria"/>
          <w:b w:val="0"/>
          <w:i w:val="0"/>
          <w:color w:val="171717"/>
          <w:sz w:val="16"/>
        </w:rPr>
        <w:t>Perfiles de uso del sistema.</w:t>
      </w:r>
    </w:p>
    <w:p>
      <w:pPr>
        <w:pStyle w:val="Heading2"/>
      </w:pPr>
      <w:r>
        <w:t>1.3 Flujo general</w:t>
      </w:r>
    </w:p>
    <w:p>
      <w:pPr>
        <w:numPr>
          <w:ilvl w:val="0"/>
          <w:numId w:val="10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Definir el documento.</w:t>
      </w:r>
      <w:r>
        <w:rPr>
          <w:rFonts w:ascii="Cambria" w:hAnsi="Cambria"/>
          <w:b w:val="0"/>
          <w:i w:val="0"/>
          <w:color w:val="171717"/>
          <w:sz w:val="19"/>
        </w:rPr>
        <w:t xml:space="preserve"> El administrador registra el tipo documental y su estado.</w:t>
      </w:r>
    </w:p>
    <w:p>
      <w:pPr>
        <w:numPr>
          <w:ilvl w:val="0"/>
          <w:numId w:val="10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Configurar campos.</w:t>
      </w:r>
      <w:r>
        <w:rPr>
          <w:rFonts w:ascii="Cambria" w:hAnsi="Cambria"/>
          <w:b w:val="0"/>
          <w:i w:val="0"/>
          <w:color w:val="171717"/>
          <w:sz w:val="19"/>
        </w:rPr>
        <w:t xml:space="preserve"> Se especifican nombres, claves, etiquetas y obligatoriedad.</w:t>
      </w:r>
    </w:p>
    <w:p>
      <w:pPr>
        <w:numPr>
          <w:ilvl w:val="0"/>
          <w:numId w:val="10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Crear evidencia.</w:t>
      </w:r>
      <w:r>
        <w:rPr>
          <w:rFonts w:ascii="Cambria" w:hAnsi="Cambria"/>
          <w:b w:val="0"/>
          <w:i w:val="0"/>
          <w:color w:val="171717"/>
          <w:sz w:val="19"/>
        </w:rPr>
        <w:t xml:space="preserve"> Una plantilla o anotaciones relacionan valores reales con el OCR.</w:t>
      </w:r>
    </w:p>
    <w:p>
      <w:pPr>
        <w:numPr>
          <w:ilvl w:val="0"/>
          <w:numId w:val="10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Extraer y validar.</w:t>
      </w:r>
      <w:r>
        <w:rPr>
          <w:rFonts w:ascii="Cambria" w:hAnsi="Cambria"/>
          <w:b w:val="0"/>
          <w:i w:val="0"/>
          <w:color w:val="171717"/>
          <w:sz w:val="19"/>
        </w:rPr>
        <w:t xml:space="preserve"> El analizador o un sistema externo envía documentos y correcciones.</w:t>
      </w:r>
    </w:p>
    <w:p>
      <w:pPr>
        <w:numPr>
          <w:ilvl w:val="0"/>
          <w:numId w:val="10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Entrenar y evaluar.</w:t>
      </w:r>
      <w:r>
        <w:rPr>
          <w:rFonts w:ascii="Cambria" w:hAnsi="Cambria"/>
          <w:b w:val="0"/>
          <w:i w:val="0"/>
          <w:color w:val="171717"/>
          <w:sz w:val="19"/>
        </w:rPr>
        <w:t xml:space="preserve"> Los lotes generan candidatos que se comparan antes de activarse.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7760"/>
      </w:tblGrid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shd w:fill="F4DE72"/>
          </w:tcPr>
          <w:p>
            <w:r>
              <w:rPr>
                <w:rFonts w:ascii="Arial" w:hAnsi="Arial"/>
                <w:b/>
                <w:i w:val="0"/>
                <w:color w:val="171717"/>
                <w:sz w:val="16"/>
              </w:rPr>
              <w:t>IMPORTANTE</w:t>
            </w:r>
          </w:p>
        </w:tc>
        <w:tc>
          <w:tcPr>
            <w:tcW w:type="dxa" w:w="7760"/>
            <w:tcMar>
              <w:top w:w="90" w:type="dxa"/>
              <w:start w:w="120" w:type="dxa"/>
              <w:bottom w:w="90" w:type="dxa"/>
              <w:end w:w="120" w:type="dxa"/>
            </w:tcMar>
            <w:shd w:fill="F1F2F0"/>
          </w:tcPr>
          <w:p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La calidad del modelo depende de que los campos y las correcciones representen exactamente el contenido visible del PDF.</w:t>
            </w:r>
          </w:p>
        </w:tc>
      </w:tr>
    </w:tbl>
    <w:p>
      <w:pPr>
        <w:spacing w:after="20"/>
      </w:pPr>
    </w:p>
    <w:p>
      <w:r>
        <w:br w:type="page"/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180"/>
        <w:gridCol w:w="7830"/>
      </w:tblGrid>
      <w:t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right"/>
            </w:pPr>
            <w:r>
              <w:rPr>
                <w:rFonts w:ascii="Cambria" w:hAnsi="Cambria"/>
                <w:b w:val="0"/>
                <w:i w:val="0"/>
                <w:color w:val="171717"/>
                <w:sz w:val="92"/>
              </w:rPr>
              <w:t>2</w:t>
            </w:r>
          </w:p>
        </w:tc>
        <w:tc>
          <w:tcPr>
            <w:tcW w:type="dxa" w:w="180"/>
            <w:tcMar>
              <w:top w:w="90" w:type="dxa"/>
              <w:start w:w="120" w:type="dxa"/>
              <w:bottom w:w="90" w:type="dxa"/>
              <w:end w:w="120" w:type="dxa"/>
            </w:tcMar>
            <w:shd w:fill="77933C"/>
          </w:tcPr>
          <w:p/>
        </w:tc>
        <w:tc>
          <w:tcPr>
            <w:tcW w:type="dxa" w:w="783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left"/>
            </w:pPr>
            <w:r>
              <w:rPr>
                <w:rFonts w:ascii="Cambria" w:hAnsi="Cambria"/>
                <w:b/>
                <w:i w:val="0"/>
                <w:color w:val="0A1E4D"/>
                <w:sz w:val="46"/>
              </w:rPr>
              <w:t>Acceso, perfiles y navegación</w:t>
            </w:r>
          </w:p>
        </w:tc>
      </w:tr>
    </w:tbl>
    <w:p>
      <w:pPr>
        <w:spacing w:after="140"/>
      </w:pPr>
    </w:p>
    <w:p>
      <w:pPr/>
      <w:r>
        <w:rPr>
          <w:rFonts w:ascii="Cambria" w:hAnsi="Cambria"/>
          <w:b w:val="0"/>
          <w:i w:val="0"/>
          <w:color w:val="171717"/>
          <w:sz w:val="19"/>
        </w:rPr>
        <w:t>La consola administrativa concentra la configuración y la supervisión. El analizador permanece disponible sin sesión para los flujos de carga autorizados por la operación.</w:t>
      </w:r>
    </w:p>
    <w:p>
      <w:pPr>
        <w:pStyle w:val="Heading2"/>
      </w:pPr>
      <w:r>
        <w:t>2.1 Ingreso administrativo</w:t>
      </w:r>
    </w:p>
    <w:p>
      <w:pPr/>
      <w:r>
        <w:rPr>
          <w:rFonts w:ascii="Cambria" w:hAnsi="Cambria"/>
          <w:b w:val="0"/>
          <w:i w:val="0"/>
          <w:color w:val="171717"/>
          <w:sz w:val="19"/>
        </w:rPr>
        <w:t>Abra la ruta `/admin`. Si no existe una sesión activa, el sistema mostrará el formulario de acceso, como se observa en la Figura 2.1.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inicio-ses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Figura 2.1. </w:t>
      </w:r>
      <w:r>
        <w:rPr>
          <w:rFonts w:ascii="Cambria" w:hAnsi="Cambria"/>
          <w:b w:val="0"/>
          <w:i w:val="0"/>
          <w:color w:val="171717"/>
          <w:sz w:val="16"/>
        </w:rPr>
        <w:t>Formulario de acceso a la consola administrativa.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023360" cy="22631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inicio-sesion.png"/>
                    <pic:cNvPicPr/>
                  </pic:nvPicPr>
                  <pic:blipFill>
                    <a:blip r:embed="rId14"/>
                    <a:srcRect l="34000" t="16000" r="34000" b="16000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263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Figura 2.1(a). </w:t>
      </w:r>
      <w:r>
        <w:rPr>
          <w:rFonts w:ascii="Cambria" w:hAnsi="Cambria"/>
          <w:b w:val="0"/>
          <w:i w:val="0"/>
          <w:color w:val="171717"/>
          <w:sz w:val="16"/>
        </w:rPr>
        <w:t>Detalle de los campos Usuario, Contraseña y el botón Entrar.</w:t>
      </w:r>
    </w:p>
    <w:p>
      <w:pPr>
        <w:numPr>
          <w:ilvl w:val="0"/>
          <w:numId w:val="11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Escriba el usuario administrativo.</w:t>
      </w:r>
      <w:r>
        <w:rPr>
          <w:rFonts w:ascii="Cambria" w:hAnsi="Cambria"/>
          <w:b w:val="0"/>
          <w:i w:val="0"/>
          <w:color w:val="171717"/>
          <w:sz w:val="19"/>
        </w:rPr>
        <w:t xml:space="preserve"> Utilice la credencial vigente definida por la operación.</w:t>
      </w:r>
    </w:p>
    <w:p>
      <w:pPr>
        <w:numPr>
          <w:ilvl w:val="0"/>
          <w:numId w:val="11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Escriba la contraseña.</w:t>
      </w:r>
      <w:r>
        <w:rPr>
          <w:rFonts w:ascii="Cambria" w:hAnsi="Cambria"/>
          <w:b w:val="0"/>
          <w:i w:val="0"/>
          <w:color w:val="171717"/>
          <w:sz w:val="19"/>
        </w:rPr>
        <w:t xml:space="preserve"> El campo oculta los caracteres introducidos.</w:t>
      </w:r>
    </w:p>
    <w:p>
      <w:pPr>
        <w:numPr>
          <w:ilvl w:val="0"/>
          <w:numId w:val="11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Seleccione Entrar.</w:t>
      </w:r>
      <w:r>
        <w:rPr>
          <w:rFonts w:ascii="Cambria" w:hAnsi="Cambria"/>
          <w:b w:val="0"/>
          <w:i w:val="0"/>
          <w:color w:val="171717"/>
          <w:sz w:val="19"/>
        </w:rPr>
        <w:t xml:space="preserve"> El sistema valida la credencial y abre la consola.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7760"/>
      </w:tblGrid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shd w:fill="B42318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ADVERTENCIA</w:t>
            </w:r>
          </w:p>
        </w:tc>
        <w:tc>
          <w:tcPr>
            <w:tcW w:type="dxa" w:w="7760"/>
            <w:tcMar>
              <w:top w:w="90" w:type="dxa"/>
              <w:start w:w="120" w:type="dxa"/>
              <w:bottom w:w="90" w:type="dxa"/>
              <w:end w:w="120" w:type="dxa"/>
            </w:tcMar>
            <w:shd w:fill="FDECEC"/>
          </w:tcPr>
          <w:p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No incluya credenciales administrativas ni API keys en capturas, tickets, repositorios o ejemplos compartidos.</w:t>
            </w:r>
          </w:p>
        </w:tc>
      </w:tr>
    </w:tbl>
    <w:p>
      <w:pPr>
        <w:spacing w:after="20"/>
      </w:pPr>
    </w:p>
    <w:p>
      <w:pPr>
        <w:pStyle w:val="Heading2"/>
      </w:pPr>
      <w:r>
        <w:t>2.2 Consola documental</w:t>
      </w:r>
    </w:p>
    <w:p>
      <w:pPr/>
      <w:r>
        <w:rPr>
          <w:rFonts w:ascii="Cambria" w:hAnsi="Cambria"/>
          <w:b w:val="0"/>
          <w:i w:val="0"/>
          <w:color w:val="171717"/>
          <w:sz w:val="19"/>
        </w:rPr>
        <w:t>Después del acceso se muestra el documento seleccionado, sus indicadores y el menú de siete etapas, como se observa en la Figura 2.2.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89120" cy="48127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onsola-document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81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Figura 2.2. </w:t>
      </w:r>
      <w:r>
        <w:rPr>
          <w:rFonts w:ascii="Cambria" w:hAnsi="Cambria"/>
          <w:b w:val="0"/>
          <w:i w:val="0"/>
          <w:color w:val="171717"/>
          <w:sz w:val="16"/>
        </w:rPr>
        <w:t>Vista general de la consola documental.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011680" cy="22058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onsola-documental.png"/>
                    <pic:cNvPicPr/>
                  </pic:nvPicPr>
                  <pic:blipFill>
                    <a:blip r:embed="rId15"/>
                    <a:srcRect l="0" t="0" r="75000" b="46000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205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Figura 2.2(a). </w:t>
      </w:r>
      <w:r>
        <w:rPr>
          <w:rFonts w:ascii="Cambria" w:hAnsi="Cambria"/>
          <w:b w:val="0"/>
          <w:i w:val="0"/>
          <w:color w:val="171717"/>
          <w:sz w:val="16"/>
        </w:rPr>
        <w:t>Menú lateral y accesos Abrir analizador público y Cerrar sesión.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Elemento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Función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Documento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Lista, selecciona y crea tipos documentales.</w:t>
            </w:r>
          </w:p>
        </w:tc>
      </w:tr>
      <w:tr>
        <w:tc>
          <w:tcPr>
            <w:tcW w:type="dxa" w:w="22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Campos</w:t>
            </w:r>
          </w:p>
        </w:tc>
        <w:tc>
          <w:tcPr>
            <w:tcW w:type="dxa" w:w="71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Define los datos que debe extraer el sistema.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Plantilla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Aprende posiciones y contexto desde un PDF validado.</w:t>
            </w:r>
          </w:p>
        </w:tc>
      </w:tr>
      <w:tr>
        <w:tc>
          <w:tcPr>
            <w:tcW w:type="dxa" w:w="22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Anotación</w:t>
            </w:r>
          </w:p>
        </w:tc>
        <w:tc>
          <w:tcPr>
            <w:tcW w:type="dxa" w:w="71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Relaciona fragmentos exactos del OCR con un campo.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Aprendizaje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Muestra lotes y permite iniciar entrenamiento.</w:t>
            </w:r>
          </w:p>
        </w:tc>
      </w:tr>
      <w:tr>
        <w:tc>
          <w:tcPr>
            <w:tcW w:type="dxa" w:w="22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Modelos</w:t>
            </w:r>
          </w:p>
        </w:tc>
        <w:tc>
          <w:tcPr>
            <w:tcW w:type="dxa" w:w="71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Registra, compara y activa versiones.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API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Genera claves y ejemplos de integración.</w:t>
            </w:r>
          </w:p>
        </w:tc>
      </w:tr>
    </w:tbl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Tabla 2.1. </w:t>
      </w:r>
      <w:r>
        <w:rPr>
          <w:rFonts w:ascii="Cambria" w:hAnsi="Cambria"/>
          <w:b w:val="0"/>
          <w:i w:val="0"/>
          <w:color w:val="171717"/>
          <w:sz w:val="16"/>
        </w:rPr>
        <w:t>Elementos principales de la consola.</w:t>
      </w:r>
    </w:p>
    <w:p>
      <w:pPr>
        <w:pStyle w:val="Heading2"/>
      </w:pPr>
      <w:r>
        <w:t>2.3 Selección del tipo documental</w:t>
      </w:r>
    </w:p>
    <w:p>
      <w:pPr/>
      <w:r>
        <w:rPr>
          <w:rFonts w:ascii="Cambria" w:hAnsi="Cambria"/>
          <w:b w:val="0"/>
          <w:i w:val="0"/>
          <w:color w:val="171717"/>
          <w:sz w:val="19"/>
        </w:rPr>
        <w:t>Las acciones directas de cada tarjeta abren la etapa correspondiente sin cambiar de tipo. Verifique siempre el nombre, estado y modelo mostrados en el encabezado antes de editar.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Acción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Resultado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Ver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Selecciona el tipo y abre su resumen documental.</w:t>
            </w:r>
          </w:p>
        </w:tc>
      </w:tr>
      <w:tr>
        <w:tc>
          <w:tcPr>
            <w:tcW w:type="dxa" w:w="22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Campos</w:t>
            </w:r>
          </w:p>
        </w:tc>
        <w:tc>
          <w:tcPr>
            <w:tcW w:type="dxa" w:w="71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Selecciona el tipo y abre la definición de campos.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Plantilla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Selecciona el tipo y abre su plantilla OCR.</w:t>
            </w:r>
          </w:p>
        </w:tc>
      </w:tr>
      <w:tr>
        <w:tc>
          <w:tcPr>
            <w:tcW w:type="dxa" w:w="22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Anotar</w:t>
            </w:r>
          </w:p>
        </w:tc>
        <w:tc>
          <w:tcPr>
            <w:tcW w:type="dxa" w:w="71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Selecciona el tipo y lista sus documentos OCR.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Aprendizaje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Selecciona el tipo y muestra sus lotes.</w:t>
            </w:r>
          </w:p>
        </w:tc>
      </w:tr>
      <w:tr>
        <w:tc>
          <w:tcPr>
            <w:tcW w:type="dxa" w:w="22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Modelos</w:t>
            </w:r>
          </w:p>
        </w:tc>
        <w:tc>
          <w:tcPr>
            <w:tcW w:type="dxa" w:w="71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Selecciona el tipo y muestra sus versiones.</w:t>
            </w:r>
          </w:p>
        </w:tc>
      </w:tr>
    </w:tbl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Tabla 2.2. </w:t>
      </w:r>
      <w:r>
        <w:rPr>
          <w:rFonts w:ascii="Cambria" w:hAnsi="Cambria"/>
          <w:b w:val="0"/>
          <w:i w:val="0"/>
          <w:color w:val="171717"/>
          <w:sz w:val="16"/>
        </w:rPr>
        <w:t>Acciones directas de una tarjeta documental.</w:t>
      </w:r>
    </w:p>
    <w:p>
      <w:r>
        <w:br w:type="page"/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180"/>
        <w:gridCol w:w="7830"/>
      </w:tblGrid>
      <w:t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right"/>
            </w:pPr>
            <w:r>
              <w:rPr>
                <w:rFonts w:ascii="Cambria" w:hAnsi="Cambria"/>
                <w:b w:val="0"/>
                <w:i w:val="0"/>
                <w:color w:val="171717"/>
                <w:sz w:val="92"/>
              </w:rPr>
              <w:t>3</w:t>
            </w:r>
          </w:p>
        </w:tc>
        <w:tc>
          <w:tcPr>
            <w:tcW w:type="dxa" w:w="180"/>
            <w:tcMar>
              <w:top w:w="90" w:type="dxa"/>
              <w:start w:w="120" w:type="dxa"/>
              <w:bottom w:w="90" w:type="dxa"/>
              <w:end w:w="120" w:type="dxa"/>
            </w:tcMar>
            <w:shd w:fill="77933C"/>
          </w:tcPr>
          <w:p/>
        </w:tc>
        <w:tc>
          <w:tcPr>
            <w:tcW w:type="dxa" w:w="783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left"/>
            </w:pPr>
            <w:r>
              <w:rPr>
                <w:rFonts w:ascii="Cambria" w:hAnsi="Cambria"/>
                <w:b/>
                <w:i w:val="0"/>
                <w:color w:val="0A1E4D"/>
                <w:sz w:val="46"/>
              </w:rPr>
              <w:t>Analizador público</w:t>
            </w:r>
          </w:p>
        </w:tc>
      </w:tr>
    </w:tbl>
    <w:p>
      <w:pPr>
        <w:spacing w:after="140"/>
      </w:pPr>
    </w:p>
    <w:p>
      <w:pPr/>
      <w:r>
        <w:rPr>
          <w:rFonts w:ascii="Cambria" w:hAnsi="Cambria"/>
          <w:b w:val="0"/>
          <w:i w:val="0"/>
          <w:color w:val="171717"/>
          <w:sz w:val="19"/>
        </w:rPr>
        <w:t>El analizador recibe un archivo PDF, muestra su vista previa y presenta los valores extraídos para el tipo documental seleccionado.</w:t>
      </w:r>
    </w:p>
    <w:p>
      <w:pPr>
        <w:pStyle w:val="Heading2"/>
      </w:pPr>
      <w:r>
        <w:t>3.1 Pantalla de análisis</w:t>
      </w:r>
    </w:p>
    <w:p>
      <w:pPr/>
      <w:r>
        <w:rPr>
          <w:rFonts w:ascii="Cambria" w:hAnsi="Cambria"/>
          <w:b w:val="0"/>
          <w:i w:val="0"/>
          <w:color w:val="171717"/>
          <w:sz w:val="19"/>
        </w:rPr>
        <w:t>Al ingresar a `/analizador` se muestran la zona de vista previa y el formulario de extracción, como se observa en la Figura 3.1.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analizador-public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Figura 3.1. </w:t>
      </w:r>
      <w:r>
        <w:rPr>
          <w:rFonts w:ascii="Cambria" w:hAnsi="Cambria"/>
          <w:b w:val="0"/>
          <w:i w:val="0"/>
          <w:color w:val="171717"/>
          <w:sz w:val="16"/>
        </w:rPr>
        <w:t>Analizador público de documentos PDF.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89120" cy="24688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analizador-publico.png"/>
                    <pic:cNvPicPr/>
                  </pic:nvPicPr>
                  <pic:blipFill>
                    <a:blip r:embed="rId16"/>
                    <a:srcRect l="0" t="6000" r="51000" b="1000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Figura 3.1(a). </w:t>
      </w:r>
      <w:r>
        <w:rPr>
          <w:rFonts w:ascii="Cambria" w:hAnsi="Cambria"/>
          <w:b w:val="0"/>
          <w:i w:val="0"/>
          <w:color w:val="171717"/>
          <w:sz w:val="16"/>
        </w:rPr>
        <w:t>Panel izquierdo destinado a la vista previa del PDF.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89120" cy="24688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analizador-publico.png"/>
                    <pic:cNvPicPr/>
                  </pic:nvPicPr>
                  <pic:blipFill>
                    <a:blip r:embed="rId16"/>
                    <a:srcRect l="49000" t="6000" r="0" b="1000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Figura 3.1(b). </w:t>
      </w:r>
      <w:r>
        <w:rPr>
          <w:rFonts w:ascii="Cambria" w:hAnsi="Cambria"/>
          <w:b w:val="0"/>
          <w:i w:val="0"/>
          <w:color w:val="171717"/>
          <w:sz w:val="16"/>
        </w:rPr>
        <w:t>Panel derecho con tipo documental, archivo y acción Analizar documento.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Campo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Descripción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Tipo de documento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Catálogo activo que determina campos, plantilla, preprocesamiento y modelo.</w:t>
            </w:r>
          </w:p>
        </w:tc>
      </w:tr>
      <w:tr>
        <w:tc>
          <w:tcPr>
            <w:tcW w:type="dxa" w:w="25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Archivo PDF</w:t>
            </w:r>
          </w:p>
        </w:tc>
        <w:tc>
          <w:tcPr>
            <w:tcW w:type="dxa" w:w="68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Documento que se previsualizará y enviará para extracción.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Analizar documento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Inicia OCR, predicción y construcción de la respuesta.</w:t>
            </w:r>
          </w:p>
        </w:tc>
      </w:tr>
    </w:tbl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Tabla 3.1. </w:t>
      </w:r>
      <w:r>
        <w:rPr>
          <w:rFonts w:ascii="Cambria" w:hAnsi="Cambria"/>
          <w:b w:val="0"/>
          <w:i w:val="0"/>
          <w:color w:val="171717"/>
          <w:sz w:val="16"/>
        </w:rPr>
        <w:t>Campos y acción del analizador.</w:t>
      </w:r>
    </w:p>
    <w:p>
      <w:pPr>
        <w:pStyle w:val="Heading2"/>
      </w:pPr>
      <w:r>
        <w:t>3.2 Analizar un documento</w:t>
      </w:r>
    </w:p>
    <w:p>
      <w:pPr>
        <w:numPr>
          <w:ilvl w:val="0"/>
          <w:numId w:val="12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Seleccione el tipo documental.</w:t>
      </w:r>
      <w:r>
        <w:rPr>
          <w:rFonts w:ascii="Cambria" w:hAnsi="Cambria"/>
          <w:b w:val="0"/>
          <w:i w:val="0"/>
          <w:color w:val="171717"/>
          <w:sz w:val="19"/>
        </w:rPr>
        <w:t xml:space="preserve"> Use el nombre que corresponda al formato del archivo.</w:t>
      </w:r>
    </w:p>
    <w:p>
      <w:pPr>
        <w:numPr>
          <w:ilvl w:val="0"/>
          <w:numId w:val="12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Seleccione Archivo PDF.</w:t>
      </w:r>
      <w:r>
        <w:rPr>
          <w:rFonts w:ascii="Cambria" w:hAnsi="Cambria"/>
          <w:b w:val="0"/>
          <w:i w:val="0"/>
          <w:color w:val="171717"/>
          <w:sz w:val="19"/>
        </w:rPr>
        <w:t xml:space="preserve"> Elija un archivo legible y no protegido.</w:t>
      </w:r>
    </w:p>
    <w:p>
      <w:pPr>
        <w:numPr>
          <w:ilvl w:val="0"/>
          <w:numId w:val="12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Revise la vista previa.</w:t>
      </w:r>
      <w:r>
        <w:rPr>
          <w:rFonts w:ascii="Cambria" w:hAnsi="Cambria"/>
          <w:b w:val="0"/>
          <w:i w:val="0"/>
          <w:color w:val="171717"/>
          <w:sz w:val="19"/>
        </w:rPr>
        <w:t xml:space="preserve"> Confirme que el documento correcto aparezca en el panel izquierdo.</w:t>
      </w:r>
    </w:p>
    <w:p>
      <w:pPr>
        <w:numPr>
          <w:ilvl w:val="0"/>
          <w:numId w:val="12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Seleccione Analizar documento.</w:t>
      </w:r>
      <w:r>
        <w:rPr>
          <w:rFonts w:ascii="Cambria" w:hAnsi="Cambria"/>
          <w:b w:val="0"/>
          <w:i w:val="0"/>
          <w:color w:val="171717"/>
          <w:sz w:val="19"/>
        </w:rPr>
        <w:t xml:space="preserve"> Espere a que finalice el procesamiento.</w:t>
      </w:r>
    </w:p>
    <w:p>
      <w:pPr>
        <w:numPr>
          <w:ilvl w:val="0"/>
          <w:numId w:val="12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Revise los datos extraídos.</w:t>
      </w:r>
      <w:r>
        <w:rPr>
          <w:rFonts w:ascii="Cambria" w:hAnsi="Cambria"/>
          <w:b w:val="0"/>
          <w:i w:val="0"/>
          <w:color w:val="171717"/>
          <w:sz w:val="19"/>
        </w:rPr>
        <w:t xml:space="preserve"> Preste especial atención a campos obligatorios o con baja confianza.</w:t>
      </w:r>
    </w:p>
    <w:p>
      <w:pPr>
        <w:pStyle w:val="Heading2"/>
      </w:pPr>
      <w:r>
        <w:t>3.3 Resultado esperado</w:t>
      </w:r>
    </w:p>
    <w:p>
      <w:pPr/>
      <w:r>
        <w:rPr>
          <w:rFonts w:ascii="Cambria" w:hAnsi="Cambria"/>
          <w:b w:val="0"/>
          <w:i w:val="0"/>
          <w:color w:val="171717"/>
          <w:sz w:val="19"/>
        </w:rPr>
        <w:t>Durante el procesamiento, el botón permanece ocupado. Al finalizar, el panel de resultados muestra los campos configurados para el tipo seleccionado. Un campo faltante se identifica como ausente; no se sustituye con información inventada.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800"/>
        <w:gridCol w:w="3660"/>
      </w:tblGrid>
      <w:tr>
        <w:trPr>
          <w:tblHeader w:val="true"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Estado</w:t>
            </w:r>
          </w:p>
        </w:tc>
        <w:tc>
          <w:tcPr>
            <w:tcW w:type="dxa" w:w="380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Qué significa</w:t>
            </w:r>
          </w:p>
        </w:tc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Qué hacer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Valor extraído</w:t>
            </w:r>
          </w:p>
        </w:tc>
        <w:tc>
          <w:tcPr>
            <w:tcW w:type="dxa" w:w="38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El modelo o la plantilla encontró un candidato.</w:t>
            </w:r>
          </w:p>
        </w:tc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Compararlo con el PDF.</w:t>
            </w:r>
          </w:p>
        </w:tc>
      </w:tr>
      <w:tr>
        <w:tc>
          <w:tcPr>
            <w:tcW w:type="dxa" w:w="19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Campo faltante</w:t>
            </w:r>
          </w:p>
        </w:tc>
        <w:tc>
          <w:tcPr>
            <w:tcW w:type="dxa" w:w="38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No se localizó un valor aceptable.</w:t>
            </w:r>
          </w:p>
        </w:tc>
        <w:tc>
          <w:tcPr>
            <w:tcW w:type="dxa" w:w="36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Corregirlo y enviarlo como validado.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Error de archivo</w:t>
            </w:r>
          </w:p>
        </w:tc>
        <w:tc>
          <w:tcPr>
            <w:tcW w:type="dxa" w:w="38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El archivo no cumple las reglas de carga.</w:t>
            </w:r>
          </w:p>
        </w:tc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Usar un PDF válido y legible.</w:t>
            </w:r>
          </w:p>
        </w:tc>
      </w:tr>
      <w:tr>
        <w:tc>
          <w:tcPr>
            <w:tcW w:type="dxa" w:w="19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Error de servicio</w:t>
            </w:r>
          </w:p>
        </w:tc>
        <w:tc>
          <w:tcPr>
            <w:tcW w:type="dxa" w:w="38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Falló OCR, modelo o infraestructura.</w:t>
            </w:r>
          </w:p>
        </w:tc>
        <w:tc>
          <w:tcPr>
            <w:tcW w:type="dxa" w:w="36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Registrar el mensaje y solicitar revisión técnica.</w:t>
            </w:r>
          </w:p>
        </w:tc>
      </w:tr>
    </w:tbl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Tabla 3.2. </w:t>
      </w:r>
      <w:r>
        <w:rPr>
          <w:rFonts w:ascii="Cambria" w:hAnsi="Cambria"/>
          <w:b w:val="0"/>
          <w:i w:val="0"/>
          <w:color w:val="171717"/>
          <w:sz w:val="16"/>
        </w:rPr>
        <w:t>Interpretación del resultado del analizador.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7760"/>
      </w:tblGrid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shd w:fill="0E749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NOTA</w:t>
            </w:r>
          </w:p>
        </w:tc>
        <w:tc>
          <w:tcPr>
            <w:tcW w:type="dxa" w:w="7760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Un valor ausente no debe inventarse. Debe corregirse en el sistema consumidor y enviarse como documento validado para aprendizaje cuando aplique.</w:t>
            </w:r>
          </w:p>
        </w:tc>
      </w:tr>
    </w:tbl>
    <w:p>
      <w:pPr>
        <w:spacing w:after="20"/>
      </w:pPr>
    </w:p>
    <w:p>
      <w:pPr>
        <w:pStyle w:val="Heading2"/>
      </w:pPr>
      <w:r>
        <w:t>3.4 Recomendaciones para el PDF</w:t>
      </w:r>
    </w:p>
    <w:p>
      <w:pPr>
        <w:pStyle w:val="ListBullet"/>
      </w:pPr>
      <w:r>
        <w:rPr>
          <w:rFonts w:ascii="Cambria" w:hAnsi="Cambria"/>
          <w:b w:val="0"/>
          <w:i w:val="0"/>
          <w:color w:val="171717"/>
          <w:sz w:val="19"/>
        </w:rPr>
        <w:t>Utilice páginas derechas, completas y con resolución suficiente.</w:t>
      </w:r>
    </w:p>
    <w:p>
      <w:pPr>
        <w:pStyle w:val="ListBullet"/>
      </w:pPr>
      <w:r>
        <w:rPr>
          <w:rFonts w:ascii="Cambria" w:hAnsi="Cambria"/>
          <w:b w:val="0"/>
          <w:i w:val="0"/>
          <w:color w:val="171717"/>
          <w:sz w:val="19"/>
        </w:rPr>
        <w:t>Evite sombras, recortes, reflejos y texto cubierto por sellos.</w:t>
      </w:r>
    </w:p>
    <w:p>
      <w:pPr>
        <w:pStyle w:val="ListBullet"/>
      </w:pPr>
      <w:r>
        <w:rPr>
          <w:rFonts w:ascii="Cambria" w:hAnsi="Cambria"/>
          <w:b w:val="0"/>
          <w:i w:val="0"/>
          <w:color w:val="171717"/>
          <w:sz w:val="19"/>
        </w:rPr>
        <w:t>Seleccione el tipo documental antes de iniciar el análisis.</w:t>
      </w:r>
    </w:p>
    <w:p>
      <w:r>
        <w:br w:type="page"/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180"/>
        <w:gridCol w:w="7830"/>
      </w:tblGrid>
      <w:t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right"/>
            </w:pPr>
            <w:r>
              <w:rPr>
                <w:rFonts w:ascii="Cambria" w:hAnsi="Cambria"/>
                <w:b w:val="0"/>
                <w:i w:val="0"/>
                <w:color w:val="171717"/>
                <w:sz w:val="92"/>
              </w:rPr>
              <w:t>4</w:t>
            </w:r>
          </w:p>
        </w:tc>
        <w:tc>
          <w:tcPr>
            <w:tcW w:type="dxa" w:w="180"/>
            <w:tcMar>
              <w:top w:w="90" w:type="dxa"/>
              <w:start w:w="120" w:type="dxa"/>
              <w:bottom w:w="90" w:type="dxa"/>
              <w:end w:w="120" w:type="dxa"/>
            </w:tcMar>
            <w:shd w:fill="77933C"/>
          </w:tcPr>
          <w:p/>
        </w:tc>
        <w:tc>
          <w:tcPr>
            <w:tcW w:type="dxa" w:w="783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left"/>
            </w:pPr>
            <w:r>
              <w:rPr>
                <w:rFonts w:ascii="Cambria" w:hAnsi="Cambria"/>
                <w:b/>
                <w:i w:val="0"/>
                <w:color w:val="0A1E4D"/>
                <w:sz w:val="46"/>
              </w:rPr>
              <w:t>Tipos documentales y campos</w:t>
            </w:r>
          </w:p>
        </w:tc>
      </w:tr>
    </w:tbl>
    <w:p>
      <w:pPr>
        <w:spacing w:after="140"/>
      </w:pPr>
    </w:p>
    <w:p>
      <w:pPr/>
      <w:r>
        <w:rPr>
          <w:rFonts w:ascii="Cambria" w:hAnsi="Cambria"/>
          <w:b w:val="0"/>
          <w:i w:val="0"/>
          <w:color w:val="171717"/>
          <w:sz w:val="19"/>
        </w:rPr>
        <w:t>La configuración documental establece qué formatos reconoce el sistema y qué información debe obtener de cada uno.</w:t>
      </w:r>
    </w:p>
    <w:p>
      <w:pPr>
        <w:pStyle w:val="Heading2"/>
      </w:pPr>
      <w:r>
        <w:t>4.1 Crear un tipo documental</w:t>
      </w:r>
    </w:p>
    <w:p>
      <w:pPr/>
      <w:r>
        <w:rPr>
          <w:rFonts w:ascii="Cambria" w:hAnsi="Cambria"/>
          <w:b w:val="0"/>
          <w:i w:val="0"/>
          <w:color w:val="171717"/>
          <w:sz w:val="19"/>
        </w:rPr>
        <w:t>En la etapa Documento, seleccione Crear tipo documental. El asistente solicita la información en pasos y muestra el formulario de la Figura 4.1.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297680" cy="47124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crear-tipo-document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471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Figura 4.1. </w:t>
      </w:r>
      <w:r>
        <w:rPr>
          <w:rFonts w:ascii="Cambria" w:hAnsi="Cambria"/>
          <w:b w:val="0"/>
          <w:i w:val="0"/>
          <w:color w:val="171717"/>
          <w:sz w:val="16"/>
        </w:rPr>
        <w:t>Asistente para crear un tipo documental.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023360" cy="44116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crear-tipo-documental.png"/>
                    <pic:cNvPicPr/>
                  </pic:nvPicPr>
                  <pic:blipFill>
                    <a:blip r:embed="rId17"/>
                    <a:srcRect l="31000" t="24000" r="23000" b="49000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411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Figura 4.1(a). </w:t>
      </w:r>
      <w:r>
        <w:rPr>
          <w:rFonts w:ascii="Cambria" w:hAnsi="Cambria"/>
          <w:b w:val="0"/>
          <w:i w:val="0"/>
          <w:color w:val="171717"/>
          <w:sz w:val="16"/>
        </w:rPr>
        <w:t>Detalle del paso Nombre en el asistente.</w:t>
      </w:r>
    </w:p>
    <w:p>
      <w:pPr>
        <w:numPr>
          <w:ilvl w:val="0"/>
          <w:numId w:val="13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Capture el nombre.</w:t>
      </w:r>
      <w:r>
        <w:rPr>
          <w:rFonts w:ascii="Cambria" w:hAnsi="Cambria"/>
          <w:b w:val="0"/>
          <w:i w:val="0"/>
          <w:color w:val="171717"/>
          <w:sz w:val="19"/>
        </w:rPr>
        <w:t xml:space="preserve"> Utilice una denominación clara para la persona usuaria.</w:t>
      </w:r>
    </w:p>
    <w:p>
      <w:pPr>
        <w:numPr>
          <w:ilvl w:val="0"/>
          <w:numId w:val="13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Capture la descripción.</w:t>
      </w:r>
      <w:r>
        <w:rPr>
          <w:rFonts w:ascii="Cambria" w:hAnsi="Cambria"/>
          <w:b w:val="0"/>
          <w:i w:val="0"/>
          <w:color w:val="171717"/>
          <w:sz w:val="19"/>
        </w:rPr>
        <w:t xml:space="preserve"> Explique el origen y propósito del formato.</w:t>
      </w:r>
    </w:p>
    <w:p>
      <w:pPr>
        <w:numPr>
          <w:ilvl w:val="0"/>
          <w:numId w:val="13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Defina el estado.</w:t>
      </w:r>
      <w:r>
        <w:rPr>
          <w:rFonts w:ascii="Cambria" w:hAnsi="Cambria"/>
          <w:b w:val="0"/>
          <w:i w:val="0"/>
          <w:color w:val="171717"/>
          <w:sz w:val="19"/>
        </w:rPr>
        <w:t xml:space="preserve"> Use Borrador mientras la configuración no esté validada.</w:t>
      </w:r>
    </w:p>
    <w:p>
      <w:pPr>
        <w:numPr>
          <w:ilvl w:val="0"/>
          <w:numId w:val="13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Revise el modelo inicial.</w:t>
      </w:r>
      <w:r>
        <w:rPr>
          <w:rFonts w:ascii="Cambria" w:hAnsi="Cambria"/>
          <w:b w:val="0"/>
          <w:i w:val="0"/>
          <w:color w:val="171717"/>
          <w:sz w:val="19"/>
        </w:rPr>
        <w:t xml:space="preserve"> Mantenga la ruta o nombre autorizado por la operación.</w:t>
      </w:r>
    </w:p>
    <w:p>
      <w:pPr>
        <w:numPr>
          <w:ilvl w:val="0"/>
          <w:numId w:val="13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Confirme la creación.</w:t>
      </w:r>
      <w:r>
        <w:rPr>
          <w:rFonts w:ascii="Cambria" w:hAnsi="Cambria"/>
          <w:b w:val="0"/>
          <w:i w:val="0"/>
          <w:color w:val="171717"/>
          <w:sz w:val="19"/>
        </w:rPr>
        <w:t xml:space="preserve"> El nuevo tipo aparecerá en la lista documental.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500"/>
        <w:gridCol w:w="5960"/>
      </w:tblGrid>
      <w:tr>
        <w:trPr>
          <w:tblHeader w:val="true"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Paso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Campo</w:t>
            </w:r>
          </w:p>
        </w:tc>
        <w:tc>
          <w:tcPr>
            <w:tcW w:type="dxa" w:w="596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Regla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1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Nombre</w:t>
            </w:r>
          </w:p>
        </w:tc>
        <w:tc>
          <w:tcPr>
            <w:tcW w:type="dxa" w:w="59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Nombre visible, específico y sin abreviaturas ambiguas.</w:t>
            </w:r>
          </w:p>
        </w:tc>
      </w:tr>
      <w:tr>
        <w:tc>
          <w:tcPr>
            <w:tcW w:type="dxa" w:w="9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2</w:t>
            </w:r>
          </w:p>
        </w:tc>
        <w:tc>
          <w:tcPr>
            <w:tcW w:type="dxa" w:w="25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Descripción</w:t>
            </w:r>
          </w:p>
        </w:tc>
        <w:tc>
          <w:tcPr>
            <w:tcW w:type="dxa" w:w="59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Propósito, procedencia y contenido esperado.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3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Estado</w:t>
            </w:r>
          </w:p>
        </w:tc>
        <w:tc>
          <w:tcPr>
            <w:tcW w:type="dxa" w:w="59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Borrador durante configuración; Activo después de pruebas.</w:t>
            </w:r>
          </w:p>
        </w:tc>
      </w:tr>
      <w:tr>
        <w:tc>
          <w:tcPr>
            <w:tcW w:type="dxa" w:w="9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3</w:t>
            </w:r>
          </w:p>
        </w:tc>
        <w:tc>
          <w:tcPr>
            <w:tcW w:type="dxa" w:w="25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Modelo inicial</w:t>
            </w:r>
          </w:p>
        </w:tc>
        <w:tc>
          <w:tcPr>
            <w:tcW w:type="dxa" w:w="59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Nombre o ruta autorizada por la operación.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4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Resumen</w:t>
            </w:r>
          </w:p>
        </w:tc>
        <w:tc>
          <w:tcPr>
            <w:tcW w:type="dxa" w:w="59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Revisar todos los datos antes de crear.</w:t>
            </w:r>
          </w:p>
        </w:tc>
      </w:tr>
    </w:tbl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Tabla 4.1. </w:t>
      </w:r>
      <w:r>
        <w:rPr>
          <w:rFonts w:ascii="Cambria" w:hAnsi="Cambria"/>
          <w:b w:val="0"/>
          <w:i w:val="0"/>
          <w:color w:val="171717"/>
          <w:sz w:val="16"/>
        </w:rPr>
        <w:t>Campos del asistente de tipo documental.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7760"/>
      </w:tblGrid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shd w:fill="F4DE72"/>
          </w:tcPr>
          <w:p>
            <w:r>
              <w:rPr>
                <w:rFonts w:ascii="Arial" w:hAnsi="Arial"/>
                <w:b/>
                <w:i w:val="0"/>
                <w:color w:val="171717"/>
                <w:sz w:val="16"/>
              </w:rPr>
              <w:t>IMPORTANTE</w:t>
            </w:r>
          </w:p>
        </w:tc>
        <w:tc>
          <w:tcPr>
            <w:tcW w:type="dxa" w:w="7760"/>
            <w:tcMar>
              <w:top w:w="90" w:type="dxa"/>
              <w:start w:w="120" w:type="dxa"/>
              <w:bottom w:w="90" w:type="dxa"/>
              <w:end w:w="120" w:type="dxa"/>
            </w:tcMar>
            <w:shd w:fill="F1F2F0"/>
          </w:tcPr>
          <w:p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No active un tipo documental hasta configurar y probar sus campos con documentos representativos.</w:t>
            </w:r>
          </w:p>
        </w:tc>
      </w:tr>
    </w:tbl>
    <w:p>
      <w:pPr>
        <w:spacing w:after="20"/>
      </w:pPr>
    </w:p>
    <w:p>
      <w:pPr>
        <w:pStyle w:val="Heading2"/>
      </w:pPr>
      <w:r>
        <w:t>4.2 Configurar campos</w:t>
      </w:r>
    </w:p>
    <w:p>
      <w:pPr/>
      <w:r>
        <w:rPr>
          <w:rFonts w:ascii="Cambria" w:hAnsi="Cambria"/>
          <w:b w:val="0"/>
          <w:i w:val="0"/>
          <w:color w:val="171717"/>
          <w:sz w:val="19"/>
        </w:rPr>
        <w:t>La etapa Campos muestra la definición actual y el formulario de alta, como se observa en la Figura 4.2.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434840" cy="481376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ampo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4813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Figura 4.2. </w:t>
      </w:r>
      <w:r>
        <w:rPr>
          <w:rFonts w:ascii="Cambria" w:hAnsi="Cambria"/>
          <w:b w:val="0"/>
          <w:i w:val="0"/>
          <w:color w:val="171717"/>
          <w:sz w:val="16"/>
        </w:rPr>
        <w:t>Configuración de campos obligatorios y opcionales.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937760" cy="53596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ampos.png"/>
                    <pic:cNvPicPr/>
                  </pic:nvPicPr>
                  <pic:blipFill>
                    <a:blip r:embed="rId18"/>
                    <a:srcRect l="20000" t="10000" r="3000" b="4600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5359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Figura 4.2(a). </w:t>
      </w:r>
      <w:r>
        <w:rPr>
          <w:rFonts w:ascii="Cambria" w:hAnsi="Cambria"/>
          <w:b w:val="0"/>
          <w:i w:val="0"/>
          <w:color w:val="171717"/>
          <w:sz w:val="16"/>
        </w:rPr>
        <w:t>Lista de campos registrados y etiquetas de entidad.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937760" cy="53596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ampos.png"/>
                    <pic:cNvPicPr/>
                  </pic:nvPicPr>
                  <pic:blipFill>
                    <a:blip r:embed="rId18"/>
                    <a:srcRect l="20000" t="47000" r="3000" b="300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5359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Figura 4.2(b). </w:t>
      </w:r>
      <w:r>
        <w:rPr>
          <w:rFonts w:ascii="Cambria" w:hAnsi="Cambria"/>
          <w:b w:val="0"/>
          <w:i w:val="0"/>
          <w:color w:val="171717"/>
          <w:sz w:val="16"/>
        </w:rPr>
        <w:t>Formulario Agregar campo.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5000"/>
        <w:gridCol w:w="2760"/>
      </w:tblGrid>
      <w:tr>
        <w:trPr>
          <w:tblHeader w:val="true"/>
        </w:trP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Dato</w:t>
            </w:r>
          </w:p>
        </w:tc>
        <w:tc>
          <w:tcPr>
            <w:tcW w:type="dxa" w:w="500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Uso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Ejemplo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Nombre</w:t>
            </w:r>
          </w:p>
        </w:tc>
        <w:tc>
          <w:tcPr>
            <w:tcW w:type="dxa" w:w="50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Etiqueta visible para la persona administradora.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Matrícula</w:t>
            </w:r>
          </w:p>
        </w:tc>
      </w:tr>
      <w:tr>
        <w:tc>
          <w:tcPr>
            <w:tcW w:type="dxa" w:w="16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Clave</w:t>
            </w:r>
          </w:p>
        </w:tc>
        <w:tc>
          <w:tcPr>
            <w:tcW w:type="dxa" w:w="50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Identificador estable utilizado en JSON e integraciones.</w:t>
            </w:r>
          </w:p>
        </w:tc>
        <w:tc>
          <w:tcPr>
            <w:tcW w:type="dxa" w:w="27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alu_matricula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Etiqueta spaCy</w:t>
            </w:r>
          </w:p>
        </w:tc>
        <w:tc>
          <w:tcPr>
            <w:tcW w:type="dxa" w:w="50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Nombre de la entidad utilizada en entrenamiento.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MATRICULA</w:t>
            </w:r>
          </w:p>
        </w:tc>
      </w:tr>
      <w:tr>
        <w:tc>
          <w:tcPr>
            <w:tcW w:type="dxa" w:w="16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Tipo</w:t>
            </w:r>
          </w:p>
        </w:tc>
        <w:tc>
          <w:tcPr>
            <w:tcW w:type="dxa" w:w="50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Tratamiento esperado del valor.</w:t>
            </w:r>
          </w:p>
        </w:tc>
        <w:tc>
          <w:tcPr>
            <w:tcW w:type="dxa" w:w="27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texto, fecha o catálogo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Obligatorio</w:t>
            </w:r>
          </w:p>
        </w:tc>
        <w:tc>
          <w:tcPr>
            <w:tcW w:type="dxa" w:w="50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Determina si una validación puede aceptarse sin el campo.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Sí/No</w:t>
            </w:r>
          </w:p>
        </w:tc>
      </w:tr>
      <w:tr>
        <w:tc>
          <w:tcPr>
            <w:tcW w:type="dxa" w:w="16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Descripción</w:t>
            </w:r>
          </w:p>
        </w:tc>
        <w:tc>
          <w:tcPr>
            <w:tcW w:type="dxa" w:w="50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Regla o contexto de captura.</w:t>
            </w:r>
          </w:p>
        </w:tc>
        <w:tc>
          <w:tcPr>
            <w:tcW w:type="dxa" w:w="27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Número de control escolar</w:t>
            </w:r>
          </w:p>
        </w:tc>
      </w:tr>
    </w:tbl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Tabla 4.1. </w:t>
      </w:r>
      <w:r>
        <w:rPr>
          <w:rFonts w:ascii="Cambria" w:hAnsi="Cambria"/>
          <w:b w:val="0"/>
          <w:i w:val="0"/>
          <w:color w:val="171717"/>
          <w:sz w:val="16"/>
        </w:rPr>
        <w:t>Datos de configuración de un campo documental.</w:t>
      </w:r>
    </w:p>
    <w:p>
      <w:pPr>
        <w:pStyle w:val="Heading2"/>
      </w:pPr>
      <w:r>
        <w:t>4.3 Convenciones</w:t>
      </w:r>
    </w:p>
    <w:p>
      <w:pPr>
        <w:pStyle w:val="ListBullet"/>
      </w:pPr>
      <w:r>
        <w:rPr>
          <w:rFonts w:ascii="Cambria" w:hAnsi="Cambria"/>
          <w:b w:val="0"/>
          <w:i w:val="0"/>
          <w:color w:val="171717"/>
          <w:sz w:val="19"/>
        </w:rPr>
        <w:t>No cambie una clave después de integrarla con sistemas externos.</w:t>
      </w:r>
    </w:p>
    <w:p>
      <w:pPr>
        <w:pStyle w:val="ListBullet"/>
      </w:pPr>
      <w:r>
        <w:rPr>
          <w:rFonts w:ascii="Cambria" w:hAnsi="Cambria"/>
          <w:b w:val="0"/>
          <w:i w:val="0"/>
          <w:color w:val="171717"/>
          <w:sz w:val="19"/>
        </w:rPr>
        <w:t>Use etiquetas spaCy en mayúsculas y sin espacios.</w:t>
      </w:r>
    </w:p>
    <w:p>
      <w:pPr>
        <w:pStyle w:val="ListBullet"/>
      </w:pPr>
      <w:r>
        <w:rPr>
          <w:rFonts w:ascii="Cambria" w:hAnsi="Cambria"/>
          <w:b w:val="0"/>
          <w:i w:val="0"/>
          <w:color w:val="171717"/>
          <w:sz w:val="19"/>
        </w:rPr>
        <w:t>Marque como obligatorio solo aquello que siempre está presente y debe validarse.</w:t>
      </w:r>
    </w:p>
    <w:p>
      <w:pPr>
        <w:pStyle w:val="Heading2"/>
      </w:pPr>
      <w:r>
        <w:t>4.4 Resultado y recuperación</w:t>
      </w:r>
    </w:p>
    <w:p>
      <w:pPr/>
      <w:r>
        <w:rPr>
          <w:rFonts w:ascii="Cambria" w:hAnsi="Cambria"/>
          <w:b w:val="0"/>
          <w:i w:val="0"/>
          <w:color w:val="171717"/>
          <w:sz w:val="19"/>
        </w:rPr>
        <w:t>Después de seleccionar Agregar campo, el campo debe aparecer en la lista y aumentar el contador del encabezado. Si aparece el mensaje `Cannot read properties of null (reading 'reset')`, la información ya puede haberse guardado: recargue la consola, seleccione nuevamente el tipo documental y compruebe la lista antes de repetir la operación.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7760"/>
      </w:tblGrid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shd w:fill="F4DE72"/>
          </w:tcPr>
          <w:p>
            <w:r>
              <w:rPr>
                <w:rFonts w:ascii="Arial" w:hAnsi="Arial"/>
                <w:b/>
                <w:i w:val="0"/>
                <w:color w:val="171717"/>
                <w:sz w:val="16"/>
              </w:rPr>
              <w:t>IMPORTANTE</w:t>
            </w:r>
          </w:p>
        </w:tc>
        <w:tc>
          <w:tcPr>
            <w:tcW w:type="dxa" w:w="7760"/>
            <w:tcMar>
              <w:top w:w="90" w:type="dxa"/>
              <w:start w:w="120" w:type="dxa"/>
              <w:bottom w:w="90" w:type="dxa"/>
              <w:end w:w="120" w:type="dxa"/>
            </w:tcMar>
            <w:shd w:fill="F1F2F0"/>
          </w:tcPr>
          <w:p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No pulse Agregar campo dos veces después del mensaje de interfaz. Recargue y verifique primero para evitar duplicados.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180"/>
        <w:gridCol w:w="7830"/>
      </w:tblGrid>
      <w:t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right"/>
            </w:pPr>
            <w:r>
              <w:rPr>
                <w:rFonts w:ascii="Cambria" w:hAnsi="Cambria"/>
                <w:b w:val="0"/>
                <w:i w:val="0"/>
                <w:color w:val="171717"/>
                <w:sz w:val="92"/>
              </w:rPr>
              <w:t>5</w:t>
            </w:r>
          </w:p>
        </w:tc>
        <w:tc>
          <w:tcPr>
            <w:tcW w:type="dxa" w:w="180"/>
            <w:tcMar>
              <w:top w:w="90" w:type="dxa"/>
              <w:start w:w="120" w:type="dxa"/>
              <w:bottom w:w="90" w:type="dxa"/>
              <w:end w:w="120" w:type="dxa"/>
            </w:tcMar>
            <w:shd w:fill="77933C"/>
          </w:tcPr>
          <w:p/>
        </w:tc>
        <w:tc>
          <w:tcPr>
            <w:tcW w:type="dxa" w:w="783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left"/>
            </w:pPr>
            <w:r>
              <w:rPr>
                <w:rFonts w:ascii="Cambria" w:hAnsi="Cambria"/>
                <w:b/>
                <w:i w:val="0"/>
                <w:color w:val="0A1E4D"/>
                <w:sz w:val="46"/>
              </w:rPr>
              <w:t>Plantillas y anotación asistida</w:t>
            </w:r>
          </w:p>
        </w:tc>
      </w:tr>
    </w:tbl>
    <w:p>
      <w:pPr>
        <w:spacing w:after="140"/>
      </w:pPr>
    </w:p>
    <w:p>
      <w:pPr/>
      <w:r>
        <w:rPr>
          <w:rFonts w:ascii="Cambria" w:hAnsi="Cambria"/>
          <w:b w:val="0"/>
          <w:i w:val="0"/>
          <w:color w:val="171717"/>
          <w:sz w:val="19"/>
        </w:rPr>
        <w:t>Las plantillas aprovechan la estructura repetible de un formato; las anotaciones aportan ejemplos precisos para el entrenamiento por entidades.</w:t>
      </w:r>
    </w:p>
    <w:p>
      <w:pPr>
        <w:pStyle w:val="Heading2"/>
      </w:pPr>
      <w:r>
        <w:t>5.1 Crear una plantilla</w:t>
      </w:r>
    </w:p>
    <w:p>
      <w:pPr/>
      <w:r>
        <w:rPr>
          <w:rFonts w:ascii="Cambria" w:hAnsi="Cambria"/>
          <w:b w:val="0"/>
          <w:i w:val="0"/>
          <w:color w:val="171717"/>
          <w:sz w:val="19"/>
        </w:rPr>
        <w:t>Seleccione Plantilla para cargar un primer PDF validado y proporcionar sus valores reales. La pantalla se muestra en la Figura 5.1.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57800" cy="316965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plantill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169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Figura 5.1. </w:t>
      </w:r>
      <w:r>
        <w:rPr>
          <w:rFonts w:ascii="Cambria" w:hAnsi="Cambria"/>
          <w:b w:val="0"/>
          <w:i w:val="0"/>
          <w:color w:val="171717"/>
          <w:sz w:val="16"/>
        </w:rPr>
        <w:t>Formulario para crear una plantilla desde OCR.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120640" cy="308696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plantilla.png"/>
                    <pic:cNvPicPr/>
                  </pic:nvPicPr>
                  <pic:blipFill>
                    <a:blip r:embed="rId19"/>
                    <a:srcRect l="18000" t="20000" r="2000" b="1400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86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Figura 5.1(a). </w:t>
      </w:r>
      <w:r>
        <w:rPr>
          <w:rFonts w:ascii="Cambria" w:hAnsi="Cambria"/>
          <w:b w:val="0"/>
          <w:i w:val="0"/>
          <w:color w:val="171717"/>
          <w:sz w:val="16"/>
        </w:rPr>
        <w:t>Nombre, PDF de referencia y valores reales de la plantilla.</w:t>
      </w:r>
    </w:p>
    <w:p>
      <w:pPr>
        <w:numPr>
          <w:ilvl w:val="0"/>
          <w:numId w:val="14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Escriba un nombre de plantilla.</w:t>
      </w:r>
      <w:r>
        <w:rPr>
          <w:rFonts w:ascii="Cambria" w:hAnsi="Cambria"/>
          <w:b w:val="0"/>
          <w:i w:val="0"/>
          <w:color w:val="171717"/>
          <w:sz w:val="19"/>
        </w:rPr>
        <w:t xml:space="preserve"> Identifique la versión o procedencia del formato.</w:t>
      </w:r>
    </w:p>
    <w:p>
      <w:pPr>
        <w:numPr>
          <w:ilvl w:val="0"/>
          <w:numId w:val="14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Seleccione el PDF de referencia.</w:t>
      </w:r>
      <w:r>
        <w:rPr>
          <w:rFonts w:ascii="Cambria" w:hAnsi="Cambria"/>
          <w:b w:val="0"/>
          <w:i w:val="0"/>
          <w:color w:val="171717"/>
          <w:sz w:val="19"/>
        </w:rPr>
        <w:t xml:space="preserve"> Utilice un ejemplo completo y legible.</w:t>
      </w:r>
    </w:p>
    <w:p>
      <w:pPr>
        <w:numPr>
          <w:ilvl w:val="0"/>
          <w:numId w:val="14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Capture los valores en JSON.</w:t>
      </w:r>
      <w:r>
        <w:rPr>
          <w:rFonts w:ascii="Cambria" w:hAnsi="Cambria"/>
          <w:b w:val="0"/>
          <w:i w:val="0"/>
          <w:color w:val="171717"/>
          <w:sz w:val="19"/>
        </w:rPr>
        <w:t xml:space="preserve"> Use las claves configuradas y los valores exactos del documento.</w:t>
      </w:r>
    </w:p>
    <w:p>
      <w:pPr>
        <w:numPr>
          <w:ilvl w:val="0"/>
          <w:numId w:val="14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Seleccione Crear plantilla desde OCR.</w:t>
      </w:r>
      <w:r>
        <w:rPr>
          <w:rFonts w:ascii="Cambria" w:hAnsi="Cambria"/>
          <w:b w:val="0"/>
          <w:i w:val="0"/>
          <w:color w:val="171717"/>
          <w:sz w:val="19"/>
        </w:rPr>
        <w:t xml:space="preserve"> El sistema localizará texto, posiciones y contexto.</w:t>
      </w:r>
    </w:p>
    <w:p>
      <w:pPr>
        <w:pStyle w:val="Heading3"/>
      </w:pPr>
      <w:r>
        <w:t>5.1.1 Formato de valores reales</w:t>
      </w:r>
    </w:p>
    <w:p>
      <w:pPr/>
      <w:r>
        <w:rPr>
          <w:rFonts w:ascii="Cambria" w:hAnsi="Cambria"/>
          <w:b w:val="0"/>
          <w:i w:val="0"/>
          <w:color w:val="171717"/>
          <w:sz w:val="19"/>
        </w:rPr>
        <w:t>Valores del primer documento acepta un objeto JSON. Cada clave debe coincidir exactamente con la clave del campo configurado; cada valor debe aparecer en el PDF.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200"/>
        <w:gridCol w:w="4360"/>
      </w:tblGrid>
      <w:tr>
        <w:trPr>
          <w:tblHeader w:val="true"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Validación</w:t>
            </w:r>
          </w:p>
        </w:tc>
        <w:tc>
          <w:tcPr>
            <w:tcW w:type="dxa" w:w="320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Ejemplo correcto</w:t>
            </w:r>
          </w:p>
        </w:tc>
        <w:tc>
          <w:tcPr>
            <w:tcW w:type="dxa" w:w="436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Error común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Clave</w:t>
            </w:r>
          </w:p>
        </w:tc>
        <w:tc>
          <w:tcPr>
            <w:tcW w:type="dxa" w:w="32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"folio"</w:t>
            </w:r>
          </w:p>
        </w:tc>
        <w:tc>
          <w:tcPr>
            <w:tcW w:type="dxa" w:w="43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Usar "FOLIO" cuando la clave real es minúscula.</w:t>
            </w:r>
          </w:p>
        </w:tc>
      </w:tr>
      <w:tr>
        <w:tc>
          <w:tcPr>
            <w:tcW w:type="dxa" w:w="18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Valor</w:t>
            </w:r>
          </w:p>
        </w:tc>
        <w:tc>
          <w:tcPr>
            <w:tcW w:type="dxa" w:w="32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"DEMO-2026-001"</w:t>
            </w:r>
          </w:p>
        </w:tc>
        <w:tc>
          <w:tcPr>
            <w:tcW w:type="dxa" w:w="43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Incluir la etiqueta FOLIO: junto con el valor.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Sintaxis</w:t>
            </w:r>
          </w:p>
        </w:tc>
        <w:tc>
          <w:tcPr>
            <w:tcW w:type="dxa" w:w="32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{"folio":"DEMO-2026-001"}</w:t>
            </w:r>
          </w:p>
        </w:tc>
        <w:tc>
          <w:tcPr>
            <w:tcW w:type="dxa" w:w="43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Comillas simples, coma final o llaves incompletas.</w:t>
            </w:r>
          </w:p>
        </w:tc>
      </w:tr>
    </w:tbl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Tabla 5.1. </w:t>
      </w:r>
      <w:r>
        <w:rPr>
          <w:rFonts w:ascii="Cambria" w:hAnsi="Cambria"/>
          <w:b w:val="0"/>
          <w:i w:val="0"/>
          <w:color w:val="171717"/>
          <w:sz w:val="16"/>
        </w:rPr>
        <w:t>Reglas del JSON de una plantilla.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7760"/>
      </w:tblGrid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shd w:fill="B42318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ADVERTENCIA</w:t>
            </w:r>
          </w:p>
        </w:tc>
        <w:tc>
          <w:tcPr>
            <w:tcW w:type="dxa" w:w="7760"/>
            <w:tcMar>
              <w:top w:w="90" w:type="dxa"/>
              <w:start w:w="120" w:type="dxa"/>
              <w:bottom w:w="90" w:type="dxa"/>
              <w:end w:w="120" w:type="dxa"/>
            </w:tcMar>
            <w:shd w:fill="FDECEC"/>
          </w:tcPr>
          <w:p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Un valor JSON que no coincide con el PDF puede producir una plantilla incorrecta y degradar extracciones posteriores.</w:t>
            </w:r>
          </w:p>
        </w:tc>
      </w:tr>
    </w:tbl>
    <w:p>
      <w:pPr>
        <w:spacing w:after="20"/>
      </w:pPr>
    </w:p>
    <w:p>
      <w:pPr>
        <w:pStyle w:val="Heading2"/>
      </w:pPr>
      <w:r>
        <w:t>5.2 Anotación asistida</w:t>
      </w:r>
    </w:p>
    <w:p>
      <w:pPr/>
      <w:r>
        <w:rPr>
          <w:rFonts w:ascii="Cambria" w:hAnsi="Cambria"/>
          <w:b w:val="0"/>
          <w:i w:val="0"/>
          <w:color w:val="171717"/>
          <w:sz w:val="19"/>
        </w:rPr>
        <w:t>La etapa Anotación permite generar OCR, seleccionar el texto exacto y vincularlo con un campo, como se observa en la Figura 5.2.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57800" cy="35897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notac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589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Figura 5.2. </w:t>
      </w:r>
      <w:r>
        <w:rPr>
          <w:rFonts w:ascii="Cambria" w:hAnsi="Cambria"/>
          <w:b w:val="0"/>
          <w:i w:val="0"/>
          <w:color w:val="171717"/>
          <w:sz w:val="16"/>
        </w:rPr>
        <w:t>Pantalla de anotación asistida.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89120" cy="299668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notacion.png"/>
                    <pic:cNvPicPr/>
                  </pic:nvPicPr>
                  <pic:blipFill>
                    <a:blip r:embed="rId20"/>
                    <a:srcRect l="15000" t="24000" r="51000" b="1200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996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Figura 5.2(a). </w:t>
      </w:r>
      <w:r>
        <w:rPr>
          <w:rFonts w:ascii="Cambria" w:hAnsi="Cambria"/>
          <w:b w:val="0"/>
          <w:i w:val="0"/>
          <w:color w:val="171717"/>
          <w:sz w:val="16"/>
        </w:rPr>
        <w:t>Carga del PDF y selección del preprocesamiento.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572000" cy="312154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notacion.png"/>
                    <pic:cNvPicPr/>
                  </pic:nvPicPr>
                  <pic:blipFill>
                    <a:blip r:embed="rId20"/>
                    <a:srcRect l="48000" t="22000" r="3000" b="600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21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Figura 5.2(b). </w:t>
      </w:r>
      <w:r>
        <w:rPr>
          <w:rFonts w:ascii="Cambria" w:hAnsi="Cambria"/>
          <w:b w:val="0"/>
          <w:i w:val="0"/>
          <w:color w:val="171717"/>
          <w:sz w:val="16"/>
        </w:rPr>
        <w:t>Área OCR, selector de campo y botón Guardar anotación.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Método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Uso recomendado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Tesseract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Opción predeterminada y ligera para PDFs escaneados o imágenes.</w:t>
            </w:r>
          </w:p>
        </w:tc>
      </w:tr>
      <w:tr>
        <w:tc>
          <w:tcPr>
            <w:tcW w:type="dxa" w:w="22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Docling</w:t>
            </w:r>
          </w:p>
        </w:tc>
        <w:tc>
          <w:tcPr>
            <w:tcW w:type="dxa" w:w="71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Alternativa para documentos cuya estructura requiera procesamiento avanzado, si está disponible.</w:t>
            </w:r>
          </w:p>
        </w:tc>
      </w:tr>
    </w:tbl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Tabla 5.1. </w:t>
      </w:r>
      <w:r>
        <w:rPr>
          <w:rFonts w:ascii="Cambria" w:hAnsi="Cambria"/>
          <w:b w:val="0"/>
          <w:i w:val="0"/>
          <w:color w:val="171717"/>
          <w:sz w:val="16"/>
        </w:rPr>
        <w:t>Métodos de preprocesamiento disponibles.</w:t>
      </w:r>
    </w:p>
    <w:p>
      <w:pPr>
        <w:numPr>
          <w:ilvl w:val="0"/>
          <w:numId w:val="15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Seleccione el PDF.</w:t>
      </w:r>
      <w:r>
        <w:rPr>
          <w:rFonts w:ascii="Cambria" w:hAnsi="Cambria"/>
          <w:b w:val="0"/>
          <w:i w:val="0"/>
          <w:color w:val="171717"/>
          <w:sz w:val="19"/>
        </w:rPr>
        <w:t xml:space="preserve"> El archivo debe corresponder al tipo documental activo.</w:t>
      </w:r>
    </w:p>
    <w:p>
      <w:pPr>
        <w:numPr>
          <w:ilvl w:val="0"/>
          <w:numId w:val="15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Elija el preprocesamiento.</w:t>
      </w:r>
      <w:r>
        <w:rPr>
          <w:rFonts w:ascii="Cambria" w:hAnsi="Cambria"/>
          <w:b w:val="0"/>
          <w:i w:val="0"/>
          <w:color w:val="171717"/>
          <w:sz w:val="19"/>
        </w:rPr>
        <w:t xml:space="preserve"> Use Tesseract salvo que exista una decisión técnica distinta.</w:t>
      </w:r>
    </w:p>
    <w:p>
      <w:pPr>
        <w:numPr>
          <w:ilvl w:val="0"/>
          <w:numId w:val="15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Seleccione Subir y generar OCR.</w:t>
      </w:r>
      <w:r>
        <w:rPr>
          <w:rFonts w:ascii="Cambria" w:hAnsi="Cambria"/>
          <w:b w:val="0"/>
          <w:i w:val="0"/>
          <w:color w:val="171717"/>
          <w:sz w:val="19"/>
        </w:rPr>
        <w:t xml:space="preserve"> El documento aparecerá en la lista de evidencias.</w:t>
      </w:r>
    </w:p>
    <w:p>
      <w:pPr>
        <w:numPr>
          <w:ilvl w:val="0"/>
          <w:numId w:val="15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Seleccione el fragmento exacto.</w:t>
      </w:r>
      <w:r>
        <w:rPr>
          <w:rFonts w:ascii="Cambria" w:hAnsi="Cambria"/>
          <w:b w:val="0"/>
          <w:i w:val="0"/>
          <w:color w:val="171717"/>
          <w:sz w:val="19"/>
        </w:rPr>
        <w:t xml:space="preserve"> No incluya etiquetas, espacios o texto del campo siguiente.</w:t>
      </w:r>
    </w:p>
    <w:p>
      <w:pPr>
        <w:numPr>
          <w:ilvl w:val="0"/>
          <w:numId w:val="15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Elija el campo y guarde.</w:t>
      </w:r>
      <w:r>
        <w:rPr>
          <w:rFonts w:ascii="Cambria" w:hAnsi="Cambria"/>
          <w:b w:val="0"/>
          <w:i w:val="0"/>
          <w:color w:val="171717"/>
          <w:sz w:val="19"/>
        </w:rPr>
        <w:t xml:space="preserve"> Repita para cada entidad que deba enseñarse al modelo.</w:t>
      </w:r>
    </w:p>
    <w:p>
      <w:pPr>
        <w:pStyle w:val="Heading2"/>
      </w:pPr>
      <w:r>
        <w:t>5.3 Estados del documento OCR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600"/>
        <w:gridCol w:w="3960"/>
      </w:tblGrid>
      <w:tr>
        <w:trPr>
          <w:tblHeader w:val="true"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Estado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Interpretación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Siguiente acción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ocr_generado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El texto está disponible para revisión.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Seleccionar texto y crear anotaciones.</w:t>
            </w:r>
          </w:p>
        </w:tc>
      </w:tr>
      <w:tr>
        <w:tc>
          <w:tcPr>
            <w:tcW w:type="dxa" w:w="18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N anotaciones</w:t>
            </w:r>
          </w:p>
        </w:tc>
        <w:tc>
          <w:tcPr>
            <w:tcW w:type="dxa" w:w="36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Cantidad de evidencias guardadas para ese PDF.</w:t>
            </w:r>
          </w:p>
        </w:tc>
        <w:tc>
          <w:tcPr>
            <w:tcW w:type="dxa" w:w="39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Comprobar que cubra los campos necesarios.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Texto vacío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El OCR no produjo contenido aprovechable.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Cambiar preprocesamiento o mejorar el PDF.</w:t>
            </w:r>
          </w:p>
        </w:tc>
      </w:tr>
    </w:tbl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Tabla 5.2. </w:t>
      </w:r>
      <w:r>
        <w:rPr>
          <w:rFonts w:ascii="Cambria" w:hAnsi="Cambria"/>
          <w:b w:val="0"/>
          <w:i w:val="0"/>
          <w:color w:val="171717"/>
          <w:sz w:val="16"/>
        </w:rPr>
        <w:t>Estados y acciones de la anotación asistida.</w:t>
      </w:r>
    </w:p>
    <w:p>
      <w:r>
        <w:br w:type="page"/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180"/>
        <w:gridCol w:w="7830"/>
      </w:tblGrid>
      <w:t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right"/>
            </w:pPr>
            <w:r>
              <w:rPr>
                <w:rFonts w:ascii="Cambria" w:hAnsi="Cambria"/>
                <w:b w:val="0"/>
                <w:i w:val="0"/>
                <w:color w:val="171717"/>
                <w:sz w:val="92"/>
              </w:rPr>
              <w:t>6</w:t>
            </w:r>
          </w:p>
        </w:tc>
        <w:tc>
          <w:tcPr>
            <w:tcW w:type="dxa" w:w="180"/>
            <w:tcMar>
              <w:top w:w="90" w:type="dxa"/>
              <w:start w:w="120" w:type="dxa"/>
              <w:bottom w:w="90" w:type="dxa"/>
              <w:end w:w="120" w:type="dxa"/>
            </w:tcMar>
            <w:shd w:fill="77933C"/>
          </w:tcPr>
          <w:p/>
        </w:tc>
        <w:tc>
          <w:tcPr>
            <w:tcW w:type="dxa" w:w="783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left"/>
            </w:pPr>
            <w:r>
              <w:rPr>
                <w:rFonts w:ascii="Cambria" w:hAnsi="Cambria"/>
                <w:b/>
                <w:i w:val="0"/>
                <w:color w:val="0A1E4D"/>
                <w:sz w:val="46"/>
              </w:rPr>
              <w:t>Aprendizaje, lotes y modelos</w:t>
            </w:r>
          </w:p>
        </w:tc>
      </w:tr>
    </w:tbl>
    <w:p>
      <w:pPr>
        <w:spacing w:after="140"/>
      </w:pPr>
    </w:p>
    <w:p>
      <w:pPr/>
      <w:r>
        <w:rPr>
          <w:rFonts w:ascii="Cambria" w:hAnsi="Cambria"/>
          <w:b w:val="0"/>
          <w:i w:val="0"/>
          <w:color w:val="171717"/>
          <w:sz w:val="19"/>
        </w:rPr>
        <w:t>Los documentos validados se acumulan por tipo documental. Un lote listo puede entrenar un candidato que debe evaluarse antes de su activación.</w:t>
      </w:r>
    </w:p>
    <w:p>
      <w:pPr>
        <w:pStyle w:val="Heading2"/>
      </w:pPr>
      <w:r>
        <w:t>6.1 Lotes de entrenamiento</w:t>
      </w:r>
    </w:p>
    <w:p>
      <w:pPr/>
      <w:r>
        <w:rPr>
          <w:rFonts w:ascii="Cambria" w:hAnsi="Cambria"/>
          <w:b w:val="0"/>
          <w:i w:val="0"/>
          <w:color w:val="171717"/>
          <w:sz w:val="19"/>
        </w:rPr>
        <w:t>La etapa Aprendizaje resume el ciclo de cinco fases y muestra los lotes disponibles, como se observa en la Figura 6.1.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57800" cy="301158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prendizaj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011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Figura 6.1. </w:t>
      </w:r>
      <w:r>
        <w:rPr>
          <w:rFonts w:ascii="Cambria" w:hAnsi="Cambria"/>
          <w:b w:val="0"/>
          <w:i w:val="0"/>
          <w:color w:val="171717"/>
          <w:sz w:val="16"/>
        </w:rPr>
        <w:t>Seguimiento de lotes de entrenamiento.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12080" cy="29854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prendizaje.png"/>
                    <pic:cNvPicPr/>
                  </pic:nvPicPr>
                  <pic:blipFill>
                    <a:blip r:embed="rId21"/>
                    <a:srcRect l="18000" t="24000" r="2000" b="350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8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Figura 6.1(a). </w:t>
      </w:r>
      <w:r>
        <w:rPr>
          <w:rFonts w:ascii="Cambria" w:hAnsi="Cambria"/>
          <w:b w:val="0"/>
          <w:i w:val="0"/>
          <w:color w:val="171717"/>
          <w:sz w:val="16"/>
        </w:rPr>
        <w:t>Secuencia Recibir, Acumular, Entrenar, Evaluar y Activar.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Etapa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Resultado esperado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1. Recibir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PDF y campos corregidos registrados.</w:t>
            </w:r>
          </w:p>
        </w:tc>
      </w:tr>
      <w:tr>
        <w:tc>
          <w:tcPr>
            <w:tcW w:type="dxa" w:w="22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2. Acumular</w:t>
            </w:r>
          </w:p>
        </w:tc>
        <w:tc>
          <w:tcPr>
            <w:tcW w:type="dxa" w:w="71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Lote alcanza el umbral configurado.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3. Entrenar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Celery procesa el lote mediante el worker.</w:t>
            </w:r>
          </w:p>
        </w:tc>
      </w:tr>
      <w:tr>
        <w:tc>
          <w:tcPr>
            <w:tcW w:type="dxa" w:w="22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4. Evaluar</w:t>
            </w:r>
          </w:p>
        </w:tc>
        <w:tc>
          <w:tcPr>
            <w:tcW w:type="dxa" w:w="71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Métricas calculadas campo por campo.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5. Activar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El candidato se publica solo si no empeora el desempeño.</w:t>
            </w:r>
          </w:p>
        </w:tc>
      </w:tr>
    </w:tbl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Tabla 6.1. </w:t>
      </w:r>
      <w:r>
        <w:rPr>
          <w:rFonts w:ascii="Cambria" w:hAnsi="Cambria"/>
          <w:b w:val="0"/>
          <w:i w:val="0"/>
          <w:color w:val="171717"/>
          <w:sz w:val="16"/>
        </w:rPr>
        <w:t>Etapas del aprendizaje documental.</w:t>
      </w:r>
    </w:p>
    <w:p>
      <w:pPr>
        <w:pStyle w:val="Heading3"/>
      </w:pPr>
      <w:r>
        <w:t>6.1.1 Controles de lote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4000"/>
        <w:gridCol w:w="3560"/>
      </w:tblGrid>
      <w:tr>
        <w:trPr>
          <w:tblHeader w:val="true"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Control</w:t>
            </w:r>
          </w:p>
        </w:tc>
        <w:tc>
          <w:tcPr>
            <w:tcW w:type="dxa" w:w="400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Función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Precaución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Refrescar</w:t>
            </w:r>
          </w:p>
        </w:tc>
        <w:tc>
          <w:tcPr>
            <w:tcW w:type="dxa" w:w="40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Consulta nuevamente los lotes y sus estados.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No crea ni entrena documentos.</w:t>
            </w:r>
          </w:p>
        </w:tc>
      </w:tr>
      <w:tr>
        <w:tc>
          <w:tcPr>
            <w:tcW w:type="dxa" w:w="18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Entrenar lote</w:t>
            </w:r>
          </w:p>
        </w:tc>
        <w:tc>
          <w:tcPr>
            <w:tcW w:type="dxa" w:w="40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Envía el lote al worker de entrenamiento.</w:t>
            </w:r>
          </w:p>
        </w:tc>
        <w:tc>
          <w:tcPr>
            <w:tcW w:type="dxa" w:w="35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Usar solo con evidencia suficiente y servicios disponibles.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Métricas</w:t>
            </w:r>
          </w:p>
        </w:tc>
        <w:tc>
          <w:tcPr>
            <w:tcW w:type="dxa" w:w="40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Muestra resultados por campo después de evaluar.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Comparar contra el modelo activo.</w:t>
            </w:r>
          </w:p>
        </w:tc>
      </w:tr>
      <w:tr>
        <w:tc>
          <w:tcPr>
            <w:tcW w:type="dxa" w:w="18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Recomendación</w:t>
            </w:r>
          </w:p>
        </w:tc>
        <w:tc>
          <w:tcPr>
            <w:tcW w:type="dxa" w:w="40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Indica si conviene activar el candidato.</w:t>
            </w:r>
          </w:p>
        </w:tc>
        <w:tc>
          <w:tcPr>
            <w:tcW w:type="dxa" w:w="35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No sustituye una revisión técnica.</w:t>
            </w:r>
          </w:p>
        </w:tc>
      </w:tr>
    </w:tbl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Tabla 6.2. </w:t>
      </w:r>
      <w:r>
        <w:rPr>
          <w:rFonts w:ascii="Cambria" w:hAnsi="Cambria"/>
          <w:b w:val="0"/>
          <w:i w:val="0"/>
          <w:color w:val="171717"/>
          <w:sz w:val="16"/>
        </w:rPr>
        <w:t>Controles y resultados de un lote.</w:t>
      </w:r>
    </w:p>
    <w:p>
      <w:pPr>
        <w:pStyle w:val="Heading2"/>
      </w:pPr>
      <w:r>
        <w:t>6.2 Versiones de modelo</w:t>
      </w:r>
    </w:p>
    <w:p>
      <w:pPr/>
      <w:r>
        <w:rPr>
          <w:rFonts w:ascii="Cambria" w:hAnsi="Cambria"/>
          <w:b w:val="0"/>
          <w:i w:val="0"/>
          <w:color w:val="171717"/>
          <w:sz w:val="19"/>
        </w:rPr>
        <w:t>La etapa Modelos muestra las versiones registradas y permite registrar un candidato, como se observa en la Figura 6.2.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57800" cy="373952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odelo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73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Figura 6.2. </w:t>
      </w:r>
      <w:r>
        <w:rPr>
          <w:rFonts w:ascii="Cambria" w:hAnsi="Cambria"/>
          <w:b w:val="0"/>
          <w:i w:val="0"/>
          <w:color w:val="171717"/>
          <w:sz w:val="16"/>
        </w:rPr>
        <w:t>Registro y consulta de versiones de modelo.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54880" cy="338183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odelos.png"/>
                    <pic:cNvPicPr/>
                  </pic:nvPicPr>
                  <pic:blipFill>
                    <a:blip r:embed="rId22"/>
                    <a:srcRect l="18000" t="30000" r="2000" b="200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81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Figura 6.2(a). </w:t>
      </w:r>
      <w:r>
        <w:rPr>
          <w:rFonts w:ascii="Cambria" w:hAnsi="Cambria"/>
          <w:b w:val="0"/>
          <w:i w:val="0"/>
          <w:color w:val="171717"/>
          <w:sz w:val="16"/>
        </w:rPr>
        <w:t>Formulario de registro de una versión de modelo.</w:t>
      </w:r>
    </w:p>
    <w:p>
      <w:pPr>
        <w:numPr>
          <w:ilvl w:val="0"/>
          <w:numId w:val="16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Capture el nombre y la ruta.</w:t>
      </w:r>
      <w:r>
        <w:rPr>
          <w:rFonts w:ascii="Cambria" w:hAnsi="Cambria"/>
          <w:b w:val="0"/>
          <w:i w:val="0"/>
          <w:color w:val="171717"/>
          <w:sz w:val="19"/>
        </w:rPr>
        <w:t xml:space="preserve"> Use valores que permitan localizar el artefacto entrenado.</w:t>
      </w:r>
    </w:p>
    <w:p>
      <w:pPr>
        <w:numPr>
          <w:ilvl w:val="0"/>
          <w:numId w:val="16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Registre el volumen de entrenamiento.</w:t>
      </w:r>
      <w:r>
        <w:rPr>
          <w:rFonts w:ascii="Cambria" w:hAnsi="Cambria"/>
          <w:b w:val="0"/>
          <w:i w:val="0"/>
          <w:color w:val="171717"/>
          <w:sz w:val="19"/>
        </w:rPr>
        <w:t xml:space="preserve"> Indique cuántos documentos sustentan la versión.</w:t>
      </w:r>
    </w:p>
    <w:p>
      <w:pPr>
        <w:numPr>
          <w:ilvl w:val="0"/>
          <w:numId w:val="16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Capture la métrica F1.</w:t>
      </w:r>
      <w:r>
        <w:rPr>
          <w:rFonts w:ascii="Cambria" w:hAnsi="Cambria"/>
          <w:b w:val="0"/>
          <w:i w:val="0"/>
          <w:color w:val="171717"/>
          <w:sz w:val="19"/>
        </w:rPr>
        <w:t xml:space="preserve"> Use un valor entre 0 y 1 calculado sobre evaluación válida.</w:t>
      </w:r>
    </w:p>
    <w:p>
      <w:pPr>
        <w:numPr>
          <w:ilvl w:val="0"/>
          <w:numId w:val="16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Agregue observaciones.</w:t>
      </w:r>
      <w:r>
        <w:rPr>
          <w:rFonts w:ascii="Cambria" w:hAnsi="Cambria"/>
          <w:b w:val="0"/>
          <w:i w:val="0"/>
          <w:color w:val="171717"/>
          <w:sz w:val="19"/>
        </w:rPr>
        <w:t xml:space="preserve"> Documente origen, cambios y limitaciones.</w:t>
      </w:r>
    </w:p>
    <w:p>
      <w:pPr>
        <w:numPr>
          <w:ilvl w:val="0"/>
          <w:numId w:val="16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Active solo después de comparar.</w:t>
      </w:r>
      <w:r>
        <w:rPr>
          <w:rFonts w:ascii="Cambria" w:hAnsi="Cambria"/>
          <w:b w:val="0"/>
          <w:i w:val="0"/>
          <w:color w:val="171717"/>
          <w:sz w:val="19"/>
        </w:rPr>
        <w:t xml:space="preserve"> La opción de producción cambia el modelo utilizado por el tipo documental.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Campo</w:t>
            </w:r>
          </w:p>
        </w:tc>
        <w:tc>
          <w:tcPr>
            <w:tcW w:type="dxa" w:w="696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Contenido requerido</w:t>
            </w:r>
          </w:p>
        </w:tc>
      </w:tr>
      <w:t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Nombre modelo</w:t>
            </w:r>
          </w:p>
        </w:tc>
        <w:tc>
          <w:tcPr>
            <w:tcW w:type="dxa" w:w="69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Identificador único y descriptivo.</w:t>
            </w:r>
          </w:p>
        </w:tc>
      </w:tr>
      <w:tr>
        <w:tc>
          <w:tcPr>
            <w:tcW w:type="dxa" w:w="24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Ruta modelo</w:t>
            </w:r>
          </w:p>
        </w:tc>
        <w:tc>
          <w:tcPr>
            <w:tcW w:type="dxa" w:w="69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Ubicación legible por el servicio de predicción.</w:t>
            </w:r>
          </w:p>
        </w:tc>
      </w:tr>
      <w:t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Documentos usados</w:t>
            </w:r>
          </w:p>
        </w:tc>
        <w:tc>
          <w:tcPr>
            <w:tcW w:type="dxa" w:w="69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Cantidad efectiva de ejemplos de entrenamiento.</w:t>
            </w:r>
          </w:p>
        </w:tc>
      </w:tr>
      <w:tr>
        <w:tc>
          <w:tcPr>
            <w:tcW w:type="dxa" w:w="24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F1 entidades</w:t>
            </w:r>
          </w:p>
        </w:tc>
        <w:tc>
          <w:tcPr>
            <w:tcW w:type="dxa" w:w="69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Métrica entre 0 y 1 obtenida en evaluación.</w:t>
            </w:r>
          </w:p>
        </w:tc>
      </w:tr>
      <w:t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Activar</w:t>
            </w:r>
          </w:p>
        </w:tc>
        <w:tc>
          <w:tcPr>
            <w:tcW w:type="dxa" w:w="69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Marca opcional; cambia el modelo de producción.</w:t>
            </w:r>
          </w:p>
        </w:tc>
      </w:tr>
      <w:tr>
        <w:tc>
          <w:tcPr>
            <w:tcW w:type="dxa" w:w="24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Observaciones</w:t>
            </w:r>
          </w:p>
        </w:tc>
        <w:tc>
          <w:tcPr>
            <w:tcW w:type="dxa" w:w="69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Origen, cambios, limitaciones y responsable de la decisión.</w:t>
            </w:r>
          </w:p>
        </w:tc>
      </w:tr>
    </w:tbl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Tabla 6.3. </w:t>
      </w:r>
      <w:r>
        <w:rPr>
          <w:rFonts w:ascii="Cambria" w:hAnsi="Cambria"/>
          <w:b w:val="0"/>
          <w:i w:val="0"/>
          <w:color w:val="171717"/>
          <w:sz w:val="16"/>
        </w:rPr>
        <w:t>Datos de una versión de modelo.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7760"/>
      </w:tblGrid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shd w:fill="B42318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ADVERTENCIA</w:t>
            </w:r>
          </w:p>
        </w:tc>
        <w:tc>
          <w:tcPr>
            <w:tcW w:type="dxa" w:w="7760"/>
            <w:tcMar>
              <w:top w:w="90" w:type="dxa"/>
              <w:start w:w="120" w:type="dxa"/>
              <w:bottom w:w="90" w:type="dxa"/>
              <w:end w:w="120" w:type="dxa"/>
            </w:tcMar>
            <w:shd w:fill="FDECEC"/>
          </w:tcPr>
          <w:p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Activar un modelo sin evaluación confiable puede afectar todas las extracciones del tipo documental seleccionado.</w:t>
            </w:r>
          </w:p>
        </w:tc>
      </w:tr>
    </w:tbl>
    <w:p>
      <w:pPr>
        <w:spacing w:after="20"/>
      </w:pPr>
    </w:p>
    <w:p>
      <w:r>
        <w:br w:type="page"/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180"/>
        <w:gridCol w:w="7830"/>
      </w:tblGrid>
      <w:t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right"/>
            </w:pPr>
            <w:r>
              <w:rPr>
                <w:rFonts w:ascii="Cambria" w:hAnsi="Cambria"/>
                <w:b w:val="0"/>
                <w:i w:val="0"/>
                <w:color w:val="171717"/>
                <w:sz w:val="92"/>
              </w:rPr>
              <w:t>7</w:t>
            </w:r>
          </w:p>
        </w:tc>
        <w:tc>
          <w:tcPr>
            <w:tcW w:type="dxa" w:w="180"/>
            <w:tcMar>
              <w:top w:w="90" w:type="dxa"/>
              <w:start w:w="120" w:type="dxa"/>
              <w:bottom w:w="90" w:type="dxa"/>
              <w:end w:w="120" w:type="dxa"/>
            </w:tcMar>
            <w:shd w:fill="77933C"/>
          </w:tcPr>
          <w:p/>
        </w:tc>
        <w:tc>
          <w:tcPr>
            <w:tcW w:type="dxa" w:w="783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left"/>
            </w:pPr>
            <w:r>
              <w:rPr>
                <w:rFonts w:ascii="Cambria" w:hAnsi="Cambria"/>
                <w:b/>
                <w:i w:val="0"/>
                <w:color w:val="0A1E4D"/>
                <w:sz w:val="46"/>
              </w:rPr>
              <w:t>Claves e integración API</w:t>
            </w:r>
          </w:p>
        </w:tc>
      </w:tr>
    </w:tbl>
    <w:p>
      <w:pPr>
        <w:spacing w:after="140"/>
      </w:pPr>
    </w:p>
    <w:p>
      <w:pPr/>
      <w:r>
        <w:rPr>
          <w:rFonts w:ascii="Cambria" w:hAnsi="Cambria"/>
          <w:b w:val="0"/>
          <w:i w:val="0"/>
          <w:color w:val="171717"/>
          <w:sz w:val="19"/>
        </w:rPr>
        <w:t>La integración permite extraer documentos y devolver correcciones validadas. El acceso se protege mediante la cabecera `X-API-Key` cuando existen claves activas.</w:t>
      </w:r>
    </w:p>
    <w:p>
      <w:pPr>
        <w:pStyle w:val="Heading2"/>
      </w:pPr>
      <w:r>
        <w:t>7.1 Generar una clave</w:t>
      </w:r>
    </w:p>
    <w:p>
      <w:pPr/>
      <w:r>
        <w:rPr>
          <w:rFonts w:ascii="Cambria" w:hAnsi="Cambria"/>
          <w:b w:val="0"/>
          <w:i w:val="0"/>
          <w:color w:val="171717"/>
          <w:sz w:val="19"/>
        </w:rPr>
        <w:t>En la etapa API escriba el nombre de la integración y seleccione Generar API key. La pantalla se muestra en la Figura 7.1.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57800" cy="383103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ap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83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Figura 7.1. </w:t>
      </w:r>
      <w:r>
        <w:rPr>
          <w:rFonts w:ascii="Cambria" w:hAnsi="Cambria"/>
          <w:b w:val="0"/>
          <w:i w:val="0"/>
          <w:color w:val="171717"/>
          <w:sz w:val="16"/>
        </w:rPr>
        <w:t>Panel de conexión y ejemplos de API.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3121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api.png"/>
                    <pic:cNvPicPr/>
                  </pic:nvPicPr>
                  <pic:blipFill>
                    <a:blip r:embed="rId23"/>
                    <a:srcRect l="18000" t="24000" r="2000" b="4300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3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Figura 7.1(a). </w:t>
      </w:r>
      <w:r>
        <w:rPr>
          <w:rFonts w:ascii="Cambria" w:hAnsi="Cambria"/>
          <w:b w:val="0"/>
          <w:i w:val="0"/>
          <w:color w:val="171717"/>
          <w:sz w:val="16"/>
        </w:rPr>
        <w:t>Formulario para generar una API key.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12080" cy="379772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api.png"/>
                    <pic:cNvPicPr/>
                  </pic:nvPicPr>
                  <pic:blipFill>
                    <a:blip r:embed="rId23"/>
                    <a:srcRect l="18000" t="48000" r="2000" b="30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97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Figura 7.1(b). </w:t>
      </w:r>
      <w:r>
        <w:rPr>
          <w:rFonts w:ascii="Cambria" w:hAnsi="Cambria"/>
          <w:b w:val="0"/>
          <w:i w:val="0"/>
          <w:color w:val="171717"/>
          <w:sz w:val="16"/>
        </w:rPr>
        <w:t>Ejemplos de integración con curl y JavaScript.</w:t>
      </w:r>
    </w:p>
    <w:p>
      <w:pPr>
        <w:numPr>
          <w:ilvl w:val="0"/>
          <w:numId w:val="17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Escriba el nombre de la integración.</w:t>
      </w:r>
      <w:r>
        <w:rPr>
          <w:rFonts w:ascii="Cambria" w:hAnsi="Cambria"/>
          <w:b w:val="0"/>
          <w:i w:val="0"/>
          <w:color w:val="171717"/>
          <w:sz w:val="19"/>
        </w:rPr>
        <w:t xml:space="preserve"> Use un nombre que identifique al sistema consumidor.</w:t>
      </w:r>
    </w:p>
    <w:p>
      <w:pPr>
        <w:numPr>
          <w:ilvl w:val="0"/>
          <w:numId w:val="17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Revise el permiso.</w:t>
      </w:r>
      <w:r>
        <w:rPr>
          <w:rFonts w:ascii="Cambria" w:hAnsi="Cambria"/>
          <w:b w:val="0"/>
          <w:i w:val="0"/>
          <w:color w:val="171717"/>
          <w:sz w:val="19"/>
        </w:rPr>
        <w:t xml:space="preserve"> La versión actual ofrece extracción y aprendizaje.</w:t>
      </w:r>
    </w:p>
    <w:p>
      <w:pPr>
        <w:numPr>
          <w:ilvl w:val="0"/>
          <w:numId w:val="17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Genere la clave.</w:t>
      </w:r>
      <w:r>
        <w:rPr>
          <w:rFonts w:ascii="Cambria" w:hAnsi="Cambria"/>
          <w:b w:val="0"/>
          <w:i w:val="0"/>
          <w:color w:val="171717"/>
          <w:sz w:val="19"/>
        </w:rPr>
        <w:t xml:space="preserve"> Copie el valor en ese momento y guárdelo en un gestor de secretos.</w:t>
      </w:r>
    </w:p>
    <w:p>
      <w:pPr>
        <w:numPr>
          <w:ilvl w:val="0"/>
          <w:numId w:val="17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Verifique la lista de claves.</w:t>
      </w:r>
      <w:r>
        <w:rPr>
          <w:rFonts w:ascii="Cambria" w:hAnsi="Cambria"/>
          <w:b w:val="0"/>
          <w:i w:val="0"/>
          <w:color w:val="171717"/>
          <w:sz w:val="19"/>
        </w:rPr>
        <w:t xml:space="preserve"> Confirme nombre, permiso y estado de la integración.</w:t>
      </w:r>
    </w:p>
    <w:p>
      <w:pPr>
        <w:numPr>
          <w:ilvl w:val="0"/>
          <w:numId w:val="17"/>
        </w:numPr>
        <w:spacing w:after="80"/>
        <w:ind w:left="547" w:hanging="274"/>
      </w:pPr>
      <w:r>
        <w:rPr>
          <w:rFonts w:ascii="Arial" w:hAnsi="Arial"/>
          <w:b/>
          <w:i w:val="0"/>
          <w:color w:val="0A1E4D"/>
          <w:sz w:val="19"/>
        </w:rPr>
        <w:t>Pruebe un endpoint controlado.</w:t>
      </w:r>
      <w:r>
        <w:rPr>
          <w:rFonts w:ascii="Cambria" w:hAnsi="Cambria"/>
          <w:b w:val="0"/>
          <w:i w:val="0"/>
          <w:color w:val="171717"/>
          <w:sz w:val="19"/>
        </w:rPr>
        <w:t xml:space="preserve"> Use un PDF sintético y compruebe el código HTTP y el JSON.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7760"/>
      </w:tblGrid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shd w:fill="B42318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ADVERTENCIA</w:t>
            </w:r>
          </w:p>
        </w:tc>
        <w:tc>
          <w:tcPr>
            <w:tcW w:type="dxa" w:w="7760"/>
            <w:tcMar>
              <w:top w:w="90" w:type="dxa"/>
              <w:start w:w="120" w:type="dxa"/>
              <w:bottom w:w="90" w:type="dxa"/>
              <w:end w:w="120" w:type="dxa"/>
            </w:tcMar>
            <w:shd w:fill="FDECEC"/>
          </w:tcPr>
          <w:p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Una API key concede acceso persistente. No la incluya en código fuente, capturas, documentación pública ni registros sin protección.</w:t>
            </w:r>
          </w:p>
        </w:tc>
      </w:tr>
    </w:tbl>
    <w:p>
      <w:pPr>
        <w:spacing w:after="20"/>
      </w:pPr>
    </w:p>
    <w:p>
      <w:pPr>
        <w:pStyle w:val="Heading2"/>
      </w:pPr>
      <w:r>
        <w:t>7.2 Endpoints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500"/>
        <w:gridCol w:w="4760"/>
      </w:tblGrid>
      <w:tr>
        <w:trPr>
          <w:tblHeader w:val="true"/>
        </w:trPr>
        <w:tc>
          <w:tcPr>
            <w:tcW w:type="dxa" w:w="110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Método</w:t>
            </w:r>
          </w:p>
        </w:tc>
        <w:tc>
          <w:tcPr>
            <w:tcW w:type="dxa" w:w="350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Endpoint</w:t>
            </w:r>
          </w:p>
        </w:tc>
        <w:tc>
          <w:tcPr>
            <w:tcW w:type="dxa" w:w="476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Propósito</w:t>
            </w:r>
          </w:p>
        </w:tc>
      </w:tr>
      <w:tr>
        <w:tc>
          <w:tcPr>
            <w:tcW w:type="dxa" w:w="11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GET</w:t>
            </w:r>
          </w:p>
        </w:tc>
        <w:tc>
          <w:tcPr>
            <w:tcW w:type="dxa" w:w="35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/tipos-documento</w:t>
            </w:r>
          </w:p>
        </w:tc>
        <w:tc>
          <w:tcPr>
            <w:tcW w:type="dxa" w:w="47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Consultar tipos, campos y estado.</w:t>
            </w:r>
          </w:p>
        </w:tc>
      </w:tr>
      <w:tr>
        <w:tc>
          <w:tcPr>
            <w:tcW w:type="dxa" w:w="11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POST</w:t>
            </w:r>
          </w:p>
        </w:tc>
        <w:tc>
          <w:tcPr>
            <w:tcW w:type="dxa" w:w="35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/extract</w:t>
            </w:r>
          </w:p>
        </w:tc>
        <w:tc>
          <w:tcPr>
            <w:tcW w:type="dxa" w:w="47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Enviar un PDF y obtener los campos extraídos.</w:t>
            </w:r>
          </w:p>
        </w:tc>
      </w:tr>
      <w:tr>
        <w:tc>
          <w:tcPr>
            <w:tcW w:type="dxa" w:w="11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POST</w:t>
            </w:r>
          </w:p>
        </w:tc>
        <w:tc>
          <w:tcPr>
            <w:tcW w:type="dxa" w:w="35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/aprendizaje/documentos-validados</w:t>
            </w:r>
          </w:p>
        </w:tc>
        <w:tc>
          <w:tcPr>
            <w:tcW w:type="dxa" w:w="47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Enviar un PDF con correcciones confirmadas.</w:t>
            </w:r>
          </w:p>
        </w:tc>
      </w:tr>
    </w:tbl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Tabla 7.1. </w:t>
      </w:r>
      <w:r>
        <w:rPr>
          <w:rFonts w:ascii="Cambria" w:hAnsi="Cambria"/>
          <w:b w:val="0"/>
          <w:i w:val="0"/>
          <w:color w:val="171717"/>
          <w:sz w:val="16"/>
        </w:rPr>
        <w:t>Endpoints principales de integración.</w:t>
      </w:r>
    </w:p>
    <w:p>
      <w:pPr>
        <w:pStyle w:val="Heading2"/>
      </w:pPr>
      <w:r>
        <w:t>7.3 Solicitud de extracción</w:t>
      </w:r>
    </w:p>
    <w:p>
      <w:pPr/>
      <w:r>
        <w:rPr>
          <w:rFonts w:ascii="Cambria" w:hAnsi="Cambria"/>
          <w:b w:val="0"/>
          <w:i w:val="0"/>
          <w:color w:val="171717"/>
          <w:sz w:val="19"/>
        </w:rPr>
        <w:t>Envíe una solicitud `multipart/form-data` con el archivo, el identificador del tipo documental y la cabecera de autenticación cuando corresponda.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0A1E4D"/>
          </w:tcPr>
          <w:p>
            <w:r>
              <w:rPr>
                <w:rFonts w:ascii="Consolas" w:hAnsi="Consolas"/>
                <w:b w:val="0"/>
                <w:i w:val="0"/>
                <w:color w:val="FFFFFF"/>
                <w:sz w:val="16"/>
              </w:rPr>
              <w:t>curl -X POST "http://HOST/extract" \</w:t>
              <w:br/>
              <w:t>+  -H "X-API-Key: TU_API_KEY" \</w:t>
              <w:br/>
              <w:t>+  -F "id_tipo_documento=constancia_servicio" \</w:t>
              <w:br/>
              <w:t>+  -F "file=@constancia.pdf"</w:t>
            </w:r>
          </w:p>
        </w:tc>
      </w:tr>
    </w:tbl>
    <w:p>
      <w:pPr>
        <w:pStyle w:val="Heading2"/>
      </w:pPr>
      <w:r>
        <w:t>7.4 Envío de correcciones</w:t>
      </w:r>
    </w:p>
    <w:p>
      <w:pPr/>
      <w:r>
        <w:rPr>
          <w:rFonts w:ascii="Cambria" w:hAnsi="Cambria"/>
          <w:b w:val="0"/>
          <w:i w:val="0"/>
          <w:color w:val="171717"/>
          <w:sz w:val="19"/>
        </w:rPr>
        <w:t>El campo `campos_validados` debe contener JSON válido. Incluya todos los campos obligatorios definidos para el tipo documental.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7760"/>
      </w:tblGrid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shd w:fill="F4DE72"/>
          </w:tcPr>
          <w:p>
            <w:r>
              <w:rPr>
                <w:rFonts w:ascii="Arial" w:hAnsi="Arial"/>
                <w:b/>
                <w:i w:val="0"/>
                <w:color w:val="171717"/>
                <w:sz w:val="16"/>
              </w:rPr>
              <w:t>IMPORTANTE</w:t>
            </w:r>
          </w:p>
        </w:tc>
        <w:tc>
          <w:tcPr>
            <w:tcW w:type="dxa" w:w="7760"/>
            <w:tcMar>
              <w:top w:w="90" w:type="dxa"/>
              <w:start w:w="120" w:type="dxa"/>
              <w:bottom w:w="90" w:type="dxa"/>
              <w:end w:w="120" w:type="dxa"/>
            </w:tcMar>
            <w:shd w:fill="F1F2F0"/>
          </w:tcPr>
          <w:p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Las correcciones alimentan lotes de aprendizaje. Envíe únicamente valores revisados por una persona responsable.</w:t>
            </w:r>
          </w:p>
        </w:tc>
      </w:tr>
    </w:tbl>
    <w:p>
      <w:pPr>
        <w:spacing w:after="20"/>
      </w:pPr>
    </w:p>
    <w:p>
      <w:r>
        <w:br w:type="page"/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180"/>
        <w:gridCol w:w="7830"/>
      </w:tblGrid>
      <w:t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right"/>
            </w:pPr>
            <w:r>
              <w:rPr>
                <w:rFonts w:ascii="Cambria" w:hAnsi="Cambria"/>
                <w:b w:val="0"/>
                <w:i w:val="0"/>
                <w:color w:val="171717"/>
                <w:sz w:val="92"/>
              </w:rPr>
              <w:t>8</w:t>
            </w:r>
          </w:p>
        </w:tc>
        <w:tc>
          <w:tcPr>
            <w:tcW w:type="dxa" w:w="180"/>
            <w:tcMar>
              <w:top w:w="90" w:type="dxa"/>
              <w:start w:w="120" w:type="dxa"/>
              <w:bottom w:w="90" w:type="dxa"/>
              <w:end w:w="120" w:type="dxa"/>
            </w:tcMar>
            <w:shd w:fill="77933C"/>
          </w:tcPr>
          <w:p/>
        </w:tc>
        <w:tc>
          <w:tcPr>
            <w:tcW w:type="dxa" w:w="783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left"/>
            </w:pPr>
            <w:r>
              <w:rPr>
                <w:rFonts w:ascii="Cambria" w:hAnsi="Cambria"/>
                <w:b/>
                <w:i w:val="0"/>
                <w:color w:val="0A1E4D"/>
                <w:sz w:val="46"/>
              </w:rPr>
              <w:t>Solución de problemas y buenas prácticas</w:t>
            </w:r>
          </w:p>
        </w:tc>
      </w:tr>
    </w:tbl>
    <w:p>
      <w:pPr>
        <w:spacing w:after="140"/>
      </w:pPr>
    </w:p>
    <w:p>
      <w:pPr/>
      <w:r>
        <w:rPr>
          <w:rFonts w:ascii="Cambria" w:hAnsi="Cambria"/>
          <w:b w:val="0"/>
          <w:i w:val="0"/>
          <w:color w:val="171717"/>
          <w:sz w:val="19"/>
        </w:rPr>
        <w:t>Los problemas más frecuentes se relacionan con archivos inválidos, credenciales, configuración incompleta, OCR deficiente o servicios auxiliares no disponibles.</w:t>
      </w:r>
    </w:p>
    <w:p>
      <w:pPr>
        <w:pStyle w:val="Heading2"/>
      </w:pPr>
      <w:r>
        <w:t>8.1 Diagnóstico rápido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200"/>
        <w:gridCol w:w="3660"/>
      </w:tblGrid>
      <w:tr>
        <w:trPr>
          <w:tblHeader w:val="true"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Situación</w:t>
            </w:r>
          </w:p>
        </w:tc>
        <w:tc>
          <w:tcPr>
            <w:tcW w:type="dxa" w:w="320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Causa probable</w:t>
            </w:r>
          </w:p>
        </w:tc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Acción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No abre la consola</w:t>
            </w:r>
          </w:p>
        </w:tc>
        <w:tc>
          <w:tcPr>
            <w:tcW w:type="dxa" w:w="32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Sesión inexistente o credencial incorrecta.</w:t>
            </w:r>
          </w:p>
        </w:tc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Regrese a `/login` y valide la credencial vigente.</w:t>
            </w:r>
          </w:p>
        </w:tc>
      </w:tr>
      <w:tr>
        <w:tc>
          <w:tcPr>
            <w:tcW w:type="dxa" w:w="25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El PDF no se procesa</w:t>
            </w:r>
          </w:p>
        </w:tc>
        <w:tc>
          <w:tcPr>
            <w:tcW w:type="dxa" w:w="32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Archivo vacío, dañado o con formato distinto.</w:t>
            </w:r>
          </w:p>
        </w:tc>
        <w:tc>
          <w:tcPr>
            <w:tcW w:type="dxa" w:w="36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Abra el PDF localmente y cargue una copia válida.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Faltan campos</w:t>
            </w:r>
          </w:p>
        </w:tc>
        <w:tc>
          <w:tcPr>
            <w:tcW w:type="dxa" w:w="32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Tipo incorrecto, OCR insuficiente o modelo sin evidencia.</w:t>
            </w:r>
          </w:p>
        </w:tc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Revise tipo, calidad, plantilla y anotaciones.</w:t>
            </w:r>
          </w:p>
        </w:tc>
      </w:tr>
      <w:tr>
        <w:tc>
          <w:tcPr>
            <w:tcW w:type="dxa" w:w="25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No hay lotes</w:t>
            </w:r>
          </w:p>
        </w:tc>
        <w:tc>
          <w:tcPr>
            <w:tcW w:type="dxa" w:w="32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No se han recibido documentos validados.</w:t>
            </w:r>
          </w:p>
        </w:tc>
        <w:tc>
          <w:tcPr>
            <w:tcW w:type="dxa" w:w="36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Verifique el endpoint de aprendizaje y la API key.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El entrenamiento no inicia</w:t>
            </w:r>
          </w:p>
        </w:tc>
        <w:tc>
          <w:tcPr>
            <w:tcW w:type="dxa" w:w="32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Worker Celery o Redis no disponible.</w:t>
            </w:r>
          </w:p>
        </w:tc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Solicite revisión del servicio y sus registros.</w:t>
            </w:r>
          </w:p>
        </w:tc>
      </w:tr>
      <w:tr>
        <w:tc>
          <w:tcPr>
            <w:tcW w:type="dxa" w:w="25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La API responde 401</w:t>
            </w:r>
          </w:p>
        </w:tc>
        <w:tc>
          <w:tcPr>
            <w:tcW w:type="dxa" w:w="32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Clave ausente, inválida o inactiva.</w:t>
            </w:r>
          </w:p>
        </w:tc>
        <w:tc>
          <w:tcPr>
            <w:tcW w:type="dxa" w:w="36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Envíe `X-API-Key` y verifique la clave en la consola.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La API responde 400</w:t>
            </w:r>
          </w:p>
        </w:tc>
        <w:tc>
          <w:tcPr>
            <w:tcW w:type="dxa" w:w="32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Falta archivo, tipo o campos obligatorios.</w:t>
            </w:r>
          </w:p>
        </w:tc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Revise nombres y contenido del formulario.</w:t>
            </w:r>
          </w:p>
        </w:tc>
      </w:tr>
    </w:tbl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Tabla 8.1. </w:t>
      </w:r>
      <w:r>
        <w:rPr>
          <w:rFonts w:ascii="Cambria" w:hAnsi="Cambria"/>
          <w:b w:val="0"/>
          <w:i w:val="0"/>
          <w:color w:val="171717"/>
          <w:sz w:val="16"/>
        </w:rPr>
        <w:t>Problemas frecuentes y acciones recomendadas.</w:t>
      </w:r>
    </w:p>
    <w:p>
      <w:pPr>
        <w:pStyle w:val="Heading2"/>
      </w:pPr>
      <w:r>
        <w:t>8.2 Buenas prácticas operativas</w:t>
      </w:r>
    </w:p>
    <w:p>
      <w:pPr>
        <w:pStyle w:val="ListBullet"/>
      </w:pPr>
      <w:r>
        <w:rPr>
          <w:rFonts w:ascii="Cambria" w:hAnsi="Cambria"/>
          <w:b w:val="0"/>
          <w:i w:val="0"/>
          <w:color w:val="171717"/>
          <w:sz w:val="19"/>
        </w:rPr>
        <w:t>Mantenga los tipos en Borrador hasta completar pruebas representativas.</w:t>
      </w:r>
    </w:p>
    <w:p>
      <w:pPr>
        <w:pStyle w:val="ListBullet"/>
      </w:pPr>
      <w:r>
        <w:rPr>
          <w:rFonts w:ascii="Cambria" w:hAnsi="Cambria"/>
          <w:b w:val="0"/>
          <w:i w:val="0"/>
          <w:color w:val="171717"/>
          <w:sz w:val="19"/>
        </w:rPr>
        <w:t>Use un conjunto de evaluación separado del entrenamiento.</w:t>
      </w:r>
    </w:p>
    <w:p>
      <w:pPr>
        <w:pStyle w:val="ListBullet"/>
      </w:pPr>
      <w:r>
        <w:rPr>
          <w:rFonts w:ascii="Cambria" w:hAnsi="Cambria"/>
          <w:b w:val="0"/>
          <w:i w:val="0"/>
          <w:color w:val="171717"/>
          <w:sz w:val="19"/>
        </w:rPr>
        <w:t>Documente cada versión de modelo y su comparación.</w:t>
      </w:r>
    </w:p>
    <w:p>
      <w:pPr>
        <w:pStyle w:val="ListBullet"/>
      </w:pPr>
      <w:r>
        <w:rPr>
          <w:rFonts w:ascii="Cambria" w:hAnsi="Cambria"/>
          <w:b w:val="0"/>
          <w:i w:val="0"/>
          <w:color w:val="171717"/>
          <w:sz w:val="19"/>
        </w:rPr>
        <w:t>Rote credenciales comprometidas y almacene secretos fuera del repositorio.</w:t>
      </w:r>
    </w:p>
    <w:p>
      <w:pPr>
        <w:pStyle w:val="ListBullet"/>
      </w:pPr>
      <w:r>
        <w:rPr>
          <w:rFonts w:ascii="Cambria" w:hAnsi="Cambria"/>
          <w:b w:val="0"/>
          <w:i w:val="0"/>
          <w:color w:val="171717"/>
          <w:sz w:val="19"/>
        </w:rPr>
        <w:t>Revise la disponibilidad del servicio web, Redis y Celery antes de investigar el modelo.</w:t>
      </w:r>
    </w:p>
    <w:p>
      <w:pPr>
        <w:pStyle w:val="Heading2"/>
      </w:pPr>
      <w:r>
        <w:t>8.3 Cierre de sesión</w:t>
      </w:r>
    </w:p>
    <w:p>
      <w:pPr/>
      <w:r>
        <w:rPr>
          <w:rFonts w:ascii="Cambria" w:hAnsi="Cambria"/>
          <w:b w:val="0"/>
          <w:i w:val="0"/>
          <w:color w:val="171717"/>
          <w:sz w:val="19"/>
        </w:rPr>
        <w:t>Seleccione Cerrar sesión al terminar una tarea administrativa, especialmente en equipos compartidos. El sistema volverá al formulario de acceso.</w:t>
      </w:r>
    </w:p>
    <w:p>
      <w:r>
        <w:br w:type="page"/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180"/>
        <w:gridCol w:w="7830"/>
      </w:tblGrid>
      <w:t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right"/>
            </w:pPr>
            <w:r>
              <w:rPr>
                <w:rFonts w:ascii="Cambria" w:hAnsi="Cambria"/>
                <w:b w:val="0"/>
                <w:i w:val="0"/>
                <w:color w:val="171717"/>
                <w:sz w:val="92"/>
              </w:rPr>
              <w:t>9</w:t>
            </w:r>
          </w:p>
        </w:tc>
        <w:tc>
          <w:tcPr>
            <w:tcW w:type="dxa" w:w="180"/>
            <w:tcMar>
              <w:top w:w="90" w:type="dxa"/>
              <w:start w:w="120" w:type="dxa"/>
              <w:bottom w:w="90" w:type="dxa"/>
              <w:end w:w="120" w:type="dxa"/>
            </w:tcMar>
            <w:shd w:fill="77933C"/>
          </w:tcPr>
          <w:p/>
        </w:tc>
        <w:tc>
          <w:tcPr>
            <w:tcW w:type="dxa" w:w="783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left"/>
            </w:pPr>
            <w:r>
              <w:rPr>
                <w:rFonts w:ascii="Cambria" w:hAnsi="Cambria"/>
                <w:b/>
                <w:i w:val="0"/>
                <w:color w:val="0A1E4D"/>
                <w:sz w:val="46"/>
              </w:rPr>
              <w:t>Glosario y referencias</w:t>
            </w:r>
          </w:p>
        </w:tc>
      </w:tr>
    </w:tbl>
    <w:p>
      <w:pPr>
        <w:spacing w:after="140"/>
      </w:pPr>
    </w:p>
    <w:p>
      <w:pPr/>
      <w:r>
        <w:rPr>
          <w:rFonts w:ascii="Cambria" w:hAnsi="Cambria"/>
          <w:b w:val="0"/>
          <w:i w:val="0"/>
          <w:color w:val="171717"/>
          <w:sz w:val="19"/>
        </w:rPr>
        <w:t>Esta sección reúne conceptos operativos y fuentes internas para facilitar el mantenimiento del sistema y del propio manual.</w:t>
      </w:r>
    </w:p>
    <w:p>
      <w:pPr>
        <w:pStyle w:val="Heading2"/>
      </w:pPr>
      <w:r>
        <w:t>9.1 Glosario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Término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Definición</w:t>
            </w:r>
          </w:p>
        </w:tc>
      </w:tr>
      <w:t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Anotación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Relación entre un fragmento exacto de OCR y un campo o entidad.</w:t>
            </w:r>
          </w:p>
        </w:tc>
      </w:tr>
      <w:tr>
        <w:tc>
          <w:tcPr>
            <w:tcW w:type="dxa" w:w="23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Campo obligatorio</w:t>
            </w:r>
          </w:p>
        </w:tc>
        <w:tc>
          <w:tcPr>
            <w:tcW w:type="dxa" w:w="70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Dato requerido para aceptar una validación documental.</w:t>
            </w:r>
          </w:p>
        </w:tc>
      </w:tr>
      <w:t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Documento validado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PDF acompañado por valores corregidos y confirmados.</w:t>
            </w:r>
          </w:p>
        </w:tc>
      </w:tr>
      <w:tr>
        <w:tc>
          <w:tcPr>
            <w:tcW w:type="dxa" w:w="23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Lote</w:t>
            </w:r>
          </w:p>
        </w:tc>
        <w:tc>
          <w:tcPr>
            <w:tcW w:type="dxa" w:w="70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Conjunto de documentos utilizado para entrenamiento y evaluación.</w:t>
            </w:r>
          </w:p>
        </w:tc>
      </w:tr>
      <w:t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Modelo activo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Versión utilizada en producción para un tipo documental.</w:t>
            </w:r>
          </w:p>
        </w:tc>
      </w:tr>
      <w:tr>
        <w:tc>
          <w:tcPr>
            <w:tcW w:type="dxa" w:w="23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Plantilla</w:t>
            </w:r>
          </w:p>
        </w:tc>
        <w:tc>
          <w:tcPr>
            <w:tcW w:type="dxa" w:w="70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Mapa aprendido de texto, posición y contexto para un formato repetible.</w:t>
            </w:r>
          </w:p>
        </w:tc>
      </w:tr>
      <w:t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Tipo documental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Configuración que agrupa campos, plantillas, evidencias y modelos.</w:t>
            </w:r>
          </w:p>
        </w:tc>
      </w:tr>
    </w:tbl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Tabla 9.1. </w:t>
      </w:r>
      <w:r>
        <w:rPr>
          <w:rFonts w:ascii="Cambria" w:hAnsi="Cambria"/>
          <w:b w:val="0"/>
          <w:i w:val="0"/>
          <w:color w:val="171717"/>
          <w:sz w:val="16"/>
        </w:rPr>
        <w:t>Glosario operativo.</w:t>
      </w:r>
    </w:p>
    <w:p>
      <w:pPr>
        <w:pStyle w:val="Heading2"/>
      </w:pPr>
      <w:r>
        <w:t>9.2 Referencias técnicas</w:t>
      </w:r>
    </w:p>
    <w:p>
      <w:pPr>
        <w:pStyle w:val="ListBullet"/>
      </w:pPr>
      <w:r>
        <w:rPr>
          <w:rFonts w:ascii="Cambria" w:hAnsi="Cambria"/>
          <w:b w:val="0"/>
          <w:i w:val="0"/>
          <w:color w:val="171717"/>
          <w:sz w:val="19"/>
        </w:rPr>
        <w:t>Código y configuración del proyecto `document_processor`.</w:t>
      </w:r>
    </w:p>
    <w:p>
      <w:pPr>
        <w:pStyle w:val="ListBullet"/>
      </w:pPr>
      <w:r>
        <w:rPr>
          <w:rFonts w:ascii="Cambria" w:hAnsi="Cambria"/>
          <w:b w:val="0"/>
          <w:i w:val="0"/>
          <w:color w:val="171717"/>
          <w:sz w:val="19"/>
        </w:rPr>
        <w:t>Interfaz desplegada en AWS EC2 verificada el 25 de agosto de 2026.</w:t>
      </w:r>
    </w:p>
    <w:p>
      <w:pPr>
        <w:pStyle w:val="ListBullet"/>
      </w:pPr>
      <w:r>
        <w:rPr>
          <w:rFonts w:ascii="Cambria" w:hAnsi="Cambria"/>
          <w:b w:val="0"/>
          <w:i w:val="0"/>
          <w:color w:val="171717"/>
          <w:sz w:val="19"/>
        </w:rPr>
        <w:t>Guía interna de despliegue en VM y catálogo documental MySQL.</w:t>
      </w:r>
    </w:p>
    <w:p>
      <w:pPr>
        <w:pStyle w:val="ListBullet"/>
      </w:pPr>
      <w:r>
        <w:rPr>
          <w:rFonts w:ascii="Cambria" w:hAnsi="Cambria"/>
          <w:b w:val="0"/>
          <w:i w:val="0"/>
          <w:color w:val="171717"/>
          <w:sz w:val="19"/>
        </w:rPr>
        <w:t>Manual de usuario de referencia visual proporcionado para este proyecto.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7760"/>
      </w:tblGrid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shd w:fill="0E749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NOTA</w:t>
            </w:r>
          </w:p>
        </w:tc>
        <w:tc>
          <w:tcPr>
            <w:tcW w:type="dxa" w:w="7760"/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Las rutas, nombres de servicios y credenciales pertenecen a la operación técnica y no deben publicarse en versiones de distribución abierta.</w:t>
            </w:r>
          </w:p>
        </w:tc>
      </w:tr>
    </w:tbl>
    <w:p>
      <w:pPr>
        <w:spacing w:after="20"/>
      </w:pPr>
    </w:p>
    <w:p>
      <w:pPr>
        <w:pStyle w:val="Heading2"/>
      </w:pPr>
      <w:r>
        <w:t>9.3 Catálogo completo de funciones visibles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700"/>
        <w:gridCol w:w="4860"/>
      </w:tblGrid>
      <w:tr>
        <w:trPr>
          <w:tblHeader w:val="true"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Pantalla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Función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shd w:fill="173B67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Efecto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Acceso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Entrar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Valida la credencial y crea una sesión administrativa.</w:t>
            </w:r>
          </w:p>
        </w:tc>
      </w:tr>
      <w:tr>
        <w:tc>
          <w:tcPr>
            <w:tcW w:type="dxa" w:w="18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Consola</w:t>
            </w:r>
          </w:p>
        </w:tc>
        <w:tc>
          <w:tcPr>
            <w:tcW w:type="dxa" w:w="27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Abrir analizador público</w:t>
            </w:r>
          </w:p>
        </w:tc>
        <w:tc>
          <w:tcPr>
            <w:tcW w:type="dxa" w:w="48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Abre la interfaz de carga y extracción.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Consola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Cerrar sesión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Elimina la sesión administrativa actual.</w:t>
            </w:r>
          </w:p>
        </w:tc>
      </w:tr>
      <w:tr>
        <w:tc>
          <w:tcPr>
            <w:tcW w:type="dxa" w:w="18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Documento</w:t>
            </w:r>
          </w:p>
        </w:tc>
        <w:tc>
          <w:tcPr>
            <w:tcW w:type="dxa" w:w="27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Crear tipo documental</w:t>
            </w:r>
          </w:p>
        </w:tc>
        <w:tc>
          <w:tcPr>
            <w:tcW w:type="dxa" w:w="48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Registra una configuración documental nueva.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Documento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Ver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Selecciona el documento y abre su resumen.</w:t>
            </w:r>
          </w:p>
        </w:tc>
      </w:tr>
      <w:tr>
        <w:tc>
          <w:tcPr>
            <w:tcW w:type="dxa" w:w="18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Documento</w:t>
            </w:r>
          </w:p>
        </w:tc>
        <w:tc>
          <w:tcPr>
            <w:tcW w:type="dxa" w:w="27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Campos</w:t>
            </w:r>
          </w:p>
        </w:tc>
        <w:tc>
          <w:tcPr>
            <w:tcW w:type="dxa" w:w="48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Abre los campos del documento seleccionado.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Documento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Plantilla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Abre la plantilla del documento seleccionado.</w:t>
            </w:r>
          </w:p>
        </w:tc>
      </w:tr>
      <w:tr>
        <w:tc>
          <w:tcPr>
            <w:tcW w:type="dxa" w:w="18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Documento</w:t>
            </w:r>
          </w:p>
        </w:tc>
        <w:tc>
          <w:tcPr>
            <w:tcW w:type="dxa" w:w="27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Anotar</w:t>
            </w:r>
          </w:p>
        </w:tc>
        <w:tc>
          <w:tcPr>
            <w:tcW w:type="dxa" w:w="48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Abre documentos OCR y anotaciones.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Documento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Aprendizaje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Abre los lotes de ese documento.</w:t>
            </w:r>
          </w:p>
        </w:tc>
      </w:tr>
      <w:tr>
        <w:tc>
          <w:tcPr>
            <w:tcW w:type="dxa" w:w="18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Documento</w:t>
            </w:r>
          </w:p>
        </w:tc>
        <w:tc>
          <w:tcPr>
            <w:tcW w:type="dxa" w:w="27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Modelos</w:t>
            </w:r>
          </w:p>
        </w:tc>
        <w:tc>
          <w:tcPr>
            <w:tcW w:type="dxa" w:w="48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Abre las versiones de ese documento.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Campos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Agregar campo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Guarda nombre, clave, entidad, tipo y obligatoriedad.</w:t>
            </w:r>
          </w:p>
        </w:tc>
      </w:tr>
      <w:tr>
        <w:tc>
          <w:tcPr>
            <w:tcW w:type="dxa" w:w="18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Plantilla</w:t>
            </w:r>
          </w:p>
        </w:tc>
        <w:tc>
          <w:tcPr>
            <w:tcW w:type="dxa" w:w="27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Crear plantilla desde OCR</w:t>
            </w:r>
          </w:p>
        </w:tc>
        <w:tc>
          <w:tcPr>
            <w:tcW w:type="dxa" w:w="48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Procesa un PDF y guarda rasgos de ubicación y contexto.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Anotación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Subir y generar OCR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Crea un documento de entrenamiento con texto OCR.</w:t>
            </w:r>
          </w:p>
        </w:tc>
      </w:tr>
      <w:tr>
        <w:tc>
          <w:tcPr>
            <w:tcW w:type="dxa" w:w="18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Anotación</w:t>
            </w:r>
          </w:p>
        </w:tc>
        <w:tc>
          <w:tcPr>
            <w:tcW w:type="dxa" w:w="27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Seleccionar documento</w:t>
            </w:r>
          </w:p>
        </w:tc>
        <w:tc>
          <w:tcPr>
            <w:tcW w:type="dxa" w:w="48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Carga su OCR y sus anotaciones.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Anotación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Guardar anotación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Relaciona el rango seleccionado con un campo.</w:t>
            </w:r>
          </w:p>
        </w:tc>
      </w:tr>
      <w:tr>
        <w:tc>
          <w:tcPr>
            <w:tcW w:type="dxa" w:w="18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Aprendizaje</w:t>
            </w:r>
          </w:p>
        </w:tc>
        <w:tc>
          <w:tcPr>
            <w:tcW w:type="dxa" w:w="27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Refrescar</w:t>
            </w:r>
          </w:p>
        </w:tc>
        <w:tc>
          <w:tcPr>
            <w:tcW w:type="dxa" w:w="48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Actualiza la lista y el estado de los lotes.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Aprendizaje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Entrenar lote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Despacha entrenamiento al worker.</w:t>
            </w:r>
          </w:p>
        </w:tc>
      </w:tr>
      <w:tr>
        <w:tc>
          <w:tcPr>
            <w:tcW w:type="dxa" w:w="18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Modelos</w:t>
            </w:r>
          </w:p>
        </w:tc>
        <w:tc>
          <w:tcPr>
            <w:tcW w:type="dxa" w:w="27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Registrar modelo</w:t>
            </w:r>
          </w:p>
        </w:tc>
        <w:tc>
          <w:tcPr>
            <w:tcW w:type="dxa" w:w="48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Registra una versión y opcionalmente la activa.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API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Generar API key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Crea una credencial persistente para integración.</w:t>
            </w:r>
          </w:p>
        </w:tc>
      </w:tr>
      <w:tr>
        <w:tc>
          <w:tcPr>
            <w:tcW w:type="dxa" w:w="18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Analizador</w:t>
            </w:r>
          </w:p>
        </w:tc>
        <w:tc>
          <w:tcPr>
            <w:tcW w:type="dxa" w:w="270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Archivo PDF</w:t>
            </w:r>
          </w:p>
        </w:tc>
        <w:tc>
          <w:tcPr>
            <w:tcW w:type="dxa" w:w="4860"/>
            <w:shd w:fill="F1F2F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Selecciona el documento que se analizará.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Analizador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Analizar documento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71717"/>
                <w:sz w:val="16"/>
              </w:rPr>
              <w:t>Ejecuta OCR y extracción del tipo elegido.</w:t>
            </w:r>
          </w:p>
        </w:tc>
      </w:tr>
    </w:tbl>
    <w:p>
      <w:pPr>
        <w:spacing w:before="60" w:after="140"/>
        <w:jc w:val="center"/>
      </w:pPr>
      <w:r>
        <w:rPr>
          <w:rFonts w:ascii="Cambria" w:hAnsi="Cambria"/>
          <w:b/>
          <w:i w:val="0"/>
          <w:color w:val="171717"/>
          <w:sz w:val="16"/>
        </w:rPr>
        <w:t xml:space="preserve">Tabla 9.2. </w:t>
      </w:r>
      <w:r>
        <w:rPr>
          <w:rFonts w:ascii="Cambria" w:hAnsi="Cambria"/>
          <w:b w:val="0"/>
          <w:i w:val="0"/>
          <w:color w:val="171717"/>
          <w:sz w:val="16"/>
        </w:rPr>
        <w:t>Inventario de funciones visibles del sistema.</w:t>
      </w:r>
    </w:p>
    <w:sectPr w:rsidR="00FC693F" w:rsidRPr="0006063C" w:rsidSect="00034616">
      <w:footerReference w:type="default" r:id="rId13"/>
      <w:pgSz w:w="12240" w:h="15840"/>
      <w:pgMar w:top="1123" w:right="1123" w:bottom="1037" w:left="1238" w:header="504" w:footer="504" w:gutter="0"/>
      <w:cols w:space="720"/>
      <w:titlePg/>
      <w:docGrid w:linePitch="360"/>
      <w:pgNumType w:fmt="decimal"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Style w:val="TableGrid"/>
      <w:tblW w:type="dxa" w:w="9360"/>
      <w:tblLayout w:type="fixed"/>
      <w:tblLook w:firstColumn="1" w:firstRow="1" w:lastColumn="0" w:lastRow="0" w:noHBand="0" w:noVBand="1" w:val="04A0"/>
      <w:tblInd w:w="120" w:type="dxa"/>
    </w:tblPr>
    <w:tblGrid>
      <w:gridCol w:w="7600"/>
      <w:gridCol w:w="1760"/>
    </w:tblGrid>
    <w:tr>
      <w:tc>
        <w:tcPr>
          <w:tcW w:type="dxa" w:w="7600"/>
          <w:tcMar>
            <w:top w:w="90" w:type="dxa"/>
            <w:start w:w="120" w:type="dxa"/>
            <w:bottom w:w="90" w:type="dxa"/>
            <w:end w:w="120" w:type="dxa"/>
          </w:tcMar>
          <w:shd w:fill="FFFFFF"/>
        </w:tcPr>
        <w:p>
          <w:r>
            <w:rPr>
              <w:rFonts w:ascii="Arial" w:hAnsi="Arial"/>
              <w:b w:val="0"/>
              <w:i w:val="0"/>
              <w:color w:val="666666"/>
              <w:sz w:val="14"/>
            </w:rPr>
            <w:t>Instituto Tecnológico de Villahermosa  |  Gestión documental</w:t>
          </w:r>
        </w:p>
      </w:tc>
      <w:tc>
        <w:tcPr>
          <w:tcW w:type="dxa" w:w="1760"/>
          <w:tcMar>
            <w:top w:w="90" w:type="dxa"/>
            <w:start w:w="120" w:type="dxa"/>
            <w:bottom w:w="90" w:type="dxa"/>
            <w:end w:w="120" w:type="dxa"/>
          </w:tcMar>
          <w:shd w:fill="0A1E4D"/>
        </w:tcPr>
        <w:p>
          <w:pPr>
            <w:jc w:val="center"/>
          </w:pPr>
          <w:r>
            <w:rPr>
              <w:rFonts w:ascii="Arial" w:hAnsi="Arial"/>
              <w:b/>
              <w:i w:val="0"/>
              <w:color w:val="FFFFFF"/>
              <w:sz w:val="16"/>
            </w:rPr>
            <w:fldChar w:fldCharType="begin"/>
            <w:instrText xml:space="preserve">PAGE \* ROMAN</w:instrText>
            <w:fldChar w:fldCharType="separate"/>
            <w:t>1</w:t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Style w:val="TableGrid"/>
      <w:tblW w:type="dxa" w:w="9360"/>
      <w:tblLayout w:type="fixed"/>
      <w:tblLook w:firstColumn="1" w:firstRow="1" w:lastColumn="0" w:lastRow="0" w:noHBand="0" w:noVBand="1" w:val="04A0"/>
      <w:tblInd w:w="120" w:type="dxa"/>
    </w:tblPr>
    <w:tblGrid>
      <w:gridCol w:w="7600"/>
      <w:gridCol w:w="1760"/>
    </w:tblGrid>
    <w:tr>
      <w:tc>
        <w:tcPr>
          <w:tcW w:type="dxa" w:w="7600"/>
          <w:tcMar>
            <w:top w:w="90" w:type="dxa"/>
            <w:start w:w="120" w:type="dxa"/>
            <w:bottom w:w="90" w:type="dxa"/>
            <w:end w:w="120" w:type="dxa"/>
          </w:tcMar>
        </w:tcPr>
        <w:p>
          <w:r>
            <w:rPr>
              <w:rFonts w:ascii="Arial" w:hAnsi="Arial"/>
              <w:b w:val="0"/>
              <w:i w:val="0"/>
              <w:color w:val="666666"/>
              <w:sz w:val="14"/>
            </w:rPr>
            <w:t>Document Processor  |  Manual de usuario</w:t>
          </w:r>
        </w:p>
      </w:tc>
      <w:tc>
        <w:tcPr>
          <w:tcW w:type="dxa" w:w="1760"/>
          <w:tcMar>
            <w:top w:w="90" w:type="dxa"/>
            <w:start w:w="120" w:type="dxa"/>
            <w:bottom w:w="90" w:type="dxa"/>
            <w:end w:w="120" w:type="dxa"/>
          </w:tcMar>
          <w:shd w:fill="0A1E4D"/>
        </w:tcPr>
        <w:p>
          <w:pPr>
            <w:jc w:val="center"/>
          </w:pPr>
          <w:r>
            <w:rPr>
              <w:rFonts w:ascii="Arial" w:hAnsi="Arial"/>
              <w:b/>
              <w:i w:val="0"/>
              <w:color w:val="FFFFFF"/>
              <w:sz w:val="16"/>
            </w:rPr>
            <w:fldChar w:fldCharType="begin"/>
            <w:instrText xml:space="preserve">PAGE \* ARABIC</w:instrText>
            <w:fldChar w:fldCharType="separate"/>
            <w:t>1</w: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3" w:color="B8BDC5"/>
      </w:pBdr>
    </w:pPr>
    <w:r>
      <w:rPr>
        <w:rFonts w:ascii="Arial" w:hAnsi="Arial"/>
        <w:b/>
        <w:i w:val="0"/>
        <w:color w:val="173B67"/>
        <w:sz w:val="15"/>
      </w:rPr>
      <w:t>MANUAL DE USUARIO  |  DOCUMENT PROCESSOR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6">
    <w:abstractNumId w:val="15"/>
  </w:num>
  <w:abstractNum w:abstractNumId="16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mbria" w:hAnsi="Cambria"/>
      <w:color w:val="17171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173B6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73B6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77933C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9" w:lineRule="auto"/>
      <w:ind w:left="547" w:hanging="274"/>
      <w:contextualSpacing/>
    </w:pPr>
    <w:rPr>
      <w:rFonts w:ascii="Cambria" w:hAnsi="Cambria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9" w:lineRule="auto"/>
      <w:ind w:left="547" w:hanging="274"/>
      <w:contextualSpacing/>
    </w:pPr>
    <w:rPr>
      <w:rFonts w:ascii="Cambria" w:hAnsi="Cambria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footer" Target="footer2.xml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- Document Processor</dc:title>
  <dc:subject>Operación, administración e integración API</dc:subject>
  <dc:creator>Instituto Tecnológico de Villahermosa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