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595959"/>
          <w:sz w:val="20"/>
          <w:szCs w:val="20"/>
        </w:rPr>
        <w:t xml:space="preserve">VELSANET ARCHITECTURE GROUP | TECHNICAL DESIGN DOCUMENT</w:t>
      </w:r>
    </w:p>
    <w:p>
      <w:pPr>
        <w:pStyle w:val="Title"/>
        <w:spacing w:after="60" w:before="0"/>
        <w:jc w:val="center"/>
      </w:pPr>
      <w:r>
        <w:rPr>
          <w:b/>
          <w:bCs/>
        </w:rPr>
        <w:t xml:space="preserve">WP#24 — Cognition Cube Physical Specification (HBM / HBF)</w:t>
      </w:r>
    </w:p>
    <w:p>
      <w:pPr>
        <w:spacing w:after="160" w:before="40"/>
        <w:jc w:val="center"/>
      </w:pPr>
      <w:r>
        <w:rPr>
          <w:i/>
          <w:iCs/>
          <w:color w:val="595959"/>
          <w:sz w:val="18"/>
          <w:szCs w:val="18"/>
        </w:rPr>
        <w:t xml:space="preserve">WORM Register Map · HBF ACL Bitfields · Transform Engine Registers · Electrical Interfaces · CH11 Functional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4"/>
        <w:gridCol w:w="1000"/>
        <w:gridCol w:w="3544"/>
        <w:gridCol w:w="2362"/>
      </w:tblGrid>
      <w:tr>
        <w:trPr>
          <w:tblHeader/>
        </w:trPr>
        <w:tc>
          <w:tcPr>
            <w:tcW w:type="dxa" w:w="245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Classification</w:t>
            </w:r>
          </w:p>
        </w:tc>
        <w:tc>
          <w:tcPr>
            <w:tcW w:type="dxa" w:w="10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Version</w:t>
            </w:r>
          </w:p>
        </w:tc>
        <w:tc>
          <w:tcPr>
            <w:tcW w:type="dxa" w:w="354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Scope</w:t>
            </w:r>
          </w:p>
        </w:tc>
        <w:tc>
          <w:tcPr>
            <w:tcW w:type="dxa" w:w="236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Basis</w:t>
            </w:r>
          </w:p>
        </w:tc>
      </w:tr>
      <w:tr>
        <w:tc>
          <w:tcPr>
            <w:tcW w:type="dxa" w:w="245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Public — Open Specification</w:t>
            </w:r>
          </w:p>
        </w:tc>
        <w:tc>
          <w:tcPr>
            <w:tcW w:type="dxa" w:w="10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v1.1 │ 2026</w:t>
            </w:r>
          </w:p>
        </w:tc>
        <w:tc>
          <w:tcPr>
            <w:tcW w:type="dxa" w:w="35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HBM/HBF/Transform Engine register level</w:t>
            </w:r>
          </w:p>
        </w:tc>
        <w:tc>
          <w:tcPr>
            <w:tcW w:type="dxa" w:w="236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Extends FGEAI-I-011R1 Att2</w:t>
            </w:r>
          </w:p>
        </w:tc>
      </w:tr>
    </w:tbl>
    <w:p>
      <w:pPr>
        <w:spacing w:after="80"/>
      </w:pPr>
    </w:p>
    <w:p>
      <w:pPr>
        <w:spacing w:after="160" w:before="40"/>
        <w:jc w:val="center"/>
      </w:pPr>
      <w:r>
        <w:rPr>
          <w:i/>
          <w:iCs/>
          <w:color w:val="595959"/>
          <w:sz w:val="18"/>
          <w:szCs w:val="18"/>
        </w:rPr>
        <w:t xml:space="preserve">Republic of Korea | Velsanet Architecture Group</w:t>
      </w:r>
    </w:p>
    <w:p>
      <w:pPr>
        <w:spacing w:after="120" w:before="120"/>
      </w:pPr>
      <w:r>
        <w:rPr>
          <w:b/>
          <w:bCs/>
        </w:rPr>
        <w:t xml:space="preserve">Governance principle: This specification is published in full under the Velsanet open-specification policy. The mechanism that governs compliance and interoperability is certification against this register map — not confidentiality.</w:t>
      </w:r>
    </w:p>
    <w:p>
      <w:pPr>
        <w:pStyle w:val="Heading1"/>
        <w:spacing w:after="120" w:before="260"/>
      </w:pPr>
      <w:r>
        <w:t xml:space="preserve">0. Purpose and Relationship to Att2</w:t>
      </w:r>
    </w:p>
    <w:p>
      <w:pPr>
        <w:spacing w:after="140"/>
      </w:pPr>
      <w:r>
        <w:t xml:space="preserve">Att2 (Cognition Cube Hardware Design Specification) defines the WORM controller, the HBF 5-axis access matrix, and the Transform Engine at the functional-block level (Att2 §3.2, §4.1, §5). This document (WP#24) is the first of five follow-on documents proposed in Att2 §11.1, and takes these functional blocks down to the register, bitfield, timing, and electrical-interface level needed for independent hardware implementation and conformance testing.</w:t>
      </w:r>
    </w:p>
    <w:p>
      <w:pPr>
        <w:spacing w:after="140"/>
      </w:pPr>
      <w:r>
        <w:t xml:space="preserve">As in Att2, the §1.3 methodology/implementation separation principle applies: register semantics (lock behavior, ACL encoding, audit-log format, safety state transitions) are the standardization-target layer, while specific silicon processes, vendor IP blocks, or connector part numbers are implementation-layer choices and out of scope.</w:t>
      </w:r>
    </w:p>
    <w:p>
      <w:pPr>
        <w:pStyle w:val="Heading1"/>
        <w:spacing w:after="120" w:before="260"/>
      </w:pPr>
      <w:r>
        <w:t xml:space="preserve">1. WORM Register Map — HBM Raw Memory Layer</w:t>
      </w:r>
    </w:p>
    <w:p>
      <w:pPr>
        <w:spacing w:after="140"/>
      </w:pPr>
      <w:r>
        <w:t xml:space="preserve">The WORM controller (Att2 §3.2) is exposed to the Transform Engine (Att2 §5) through per-channel register blocks. Each of the 16 EAI channels or 8 PAI channels owns a physically isolated, independent register set per Att2 §5.3.</w:t>
      </w:r>
    </w:p>
    <w:p>
      <w:pPr>
        <w:spacing w:after="160" w:before="40"/>
        <w:jc w:val="center"/>
      </w:pPr>
      <w:r>
        <w:rPr>
          <w:i/>
          <w:iCs/>
          <w:color w:val="595959"/>
          <w:sz w:val="18"/>
          <w:szCs w:val="18"/>
        </w:rPr>
        <w:t xml:space="preserve">Figure 1-1. WORM per-channel register pipeline</w:t>
      </w:r>
    </w:p>
    <w:p>
      <w:pPr>
        <w:pStyle w:val="Heading2"/>
        <w:spacing w:after="120" w:before="260"/>
      </w:pPr>
      <w:r>
        <w:t xml:space="preserve">1.1 Per-Channel Register Block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918"/>
        <w:gridCol w:w="700"/>
        <w:gridCol w:w="6042"/>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Offset</w:t>
            </w:r>
          </w:p>
        </w:tc>
        <w:tc>
          <w:tcPr>
            <w:tcW w:type="dxa" w:w="191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Register</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604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Access</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0x00</w:t>
            </w:r>
          </w:p>
        </w:tc>
        <w:tc>
          <w:tcPr>
            <w:tcW w:type="dxa" w:w="1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WORM_SECTOR_LOCK</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64-bit</w:t>
            </w:r>
          </w:p>
        </w:tc>
        <w:tc>
          <w:tcPr>
            <w:tcW w:type="dxa" w:w="60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 (HW-set on first write)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0x08</w:t>
            </w:r>
          </w:p>
        </w:tc>
        <w:tc>
          <w:tcPr>
            <w:tcW w:type="dxa" w:w="1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WORM_CTRL</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32-bit</w:t>
            </w:r>
          </w:p>
        </w:tc>
        <w:tc>
          <w:tcPr>
            <w:tcW w:type="dxa" w:w="60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 (hardwired at manufacture)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0x0C</w:t>
            </w:r>
          </w:p>
        </w:tc>
        <w:tc>
          <w:tcPr>
            <w:tcW w:type="dxa" w:w="1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WORM_STATUS / ECC</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32-bit</w:t>
            </w:r>
          </w:p>
        </w:tc>
        <w:tc>
          <w:tcPr>
            <w:tcW w:type="dxa" w:w="60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0x10</w:t>
            </w:r>
          </w:p>
        </w:tc>
        <w:tc>
          <w:tcPr>
            <w:tcW w:type="dxa" w:w="1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WORM_AUDIT_PTR</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32-bit</w:t>
            </w:r>
          </w:p>
        </w:tc>
        <w:tc>
          <w:tcPr>
            <w:tcW w:type="dxa" w:w="60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0x14</w:t>
            </w:r>
          </w:p>
        </w:tc>
        <w:tc>
          <w:tcPr>
            <w:tcW w:type="dxa" w:w="1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WORM_CHAN_ID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60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 (fixed per physical channel)</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0x20</w:t>
            </w:r>
          </w:p>
        </w:tc>
        <w:tc>
          <w:tcPr>
            <w:tcW w:type="dxa" w:w="1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SEU_TIMESTAMP_LATCH</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80-bit</w:t>
            </w:r>
          </w:p>
        </w:tc>
        <w:tc>
          <w:tcPr>
            <w:tcW w:type="dxa" w:w="60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 (T-Axis Timestamp Engine output)</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0x30</w:t>
            </w:r>
          </w:p>
        </w:tc>
        <w:tc>
          <w:tcPr>
            <w:tcW w:type="dxa" w:w="191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T_AXIS_EPOCH_CTR (global)</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604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RO — free-running epoch counter, increments on every 48-bit ns rollover (~78.9 hours)</w:t>
            </w:r>
          </w:p>
        </w:tc>
      </w:tr>
    </w:tbl>
    <w:p>
      <w:pPr>
        <w:spacing w:after="80"/>
      </w:pPr>
    </w:p>
    <w:p>
      <w:pPr>
        <w:spacing w:after="160" w:before="40"/>
        <w:jc w:val="center"/>
      </w:pPr>
      <w:r>
        <w:rPr>
          <w:i/>
          <w:iCs/>
          <w:color w:val="595959"/>
          <w:sz w:val="18"/>
          <w:szCs w:val="18"/>
        </w:rPr>
        <w:t xml:space="preserve">Table 1-1. WORM per-channel register block (0x30 is a single global register shared across all channels, not per-channel)</w:t>
      </w:r>
    </w:p>
    <w:p>
      <w:pPr>
        <w:pStyle w:val="Heading2"/>
        <w:spacing w:after="120" w:before="260"/>
      </w:pPr>
      <w:r>
        <w:t xml:space="preserve">1.2 WORM_SECTOR_LOCK (0x00) — Bitfield Definition</w:t>
      </w:r>
    </w:p>
    <w:p>
      <w:pPr>
        <w:spacing w:after="140"/>
      </w:pPr>
      <w:r>
        <w:t xml:space="preserve">The moment the first write to a sector completes, the WORM Logic Gate permanently sets bit 0, and no register interface can clear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60"/>
        <w:gridCol w:w="710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Bit</w:t>
            </w:r>
          </w:p>
        </w:tc>
        <w:tc>
          <w:tcPr>
            <w:tcW w:type="dxa" w:w="15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71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[63:56]</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0x00</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[55:48]</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CHAN_ID</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Physical channel identifier (EAI 0–15, PAI 0–7)</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[47:16]</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SECTOR_BASE_ADDR</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32-bit byte address of the locked sector within the HBM partition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[15:8]</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ECC_SYNDROME</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ECC syndrome latched at lock time; 0x00 = clean write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[7]</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VIOLATION_FLAG</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Set to 1 if a write was attempted after lock; held until the audit log is read</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[6]</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ECC_ERROR</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Set if an uncorrectable ECC error occurs on this sector</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ECC_EN</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1</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DMA_ONLY</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1 — no CPU/OS register write path physically exists</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WRITE_IN_PROGRESS</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while the first write is committing</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[2:1]</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0b00</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w:t>
            </w:r>
          </w:p>
        </w:tc>
        <w:tc>
          <w:tcPr>
            <w:tcW w:type="dxa" w:w="15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LOCK</w:t>
            </w:r>
          </w:p>
        </w:tc>
        <w:tc>
          <w:tcPr>
            <w:tcW w:type="dxa" w:w="71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 = unwritten, exactly one write permitted. 1 = permanently locked</w:t>
            </w:r>
          </w:p>
        </w:tc>
      </w:tr>
    </w:tbl>
    <w:p>
      <w:pPr>
        <w:spacing w:after="80"/>
      </w:pPr>
    </w:p>
    <w:p>
      <w:pPr>
        <w:spacing w:after="160" w:before="40"/>
        <w:jc w:val="center"/>
      </w:pPr>
      <w:r>
        <w:rPr>
          <w:i/>
          <w:iCs/>
          <w:color w:val="595959"/>
          <w:sz w:val="18"/>
          <w:szCs w:val="18"/>
        </w:rPr>
        <w:t xml:space="preserve">Table 1-2. WORM_SECTOR_LOCK bitfield map</w:t>
      </w:r>
    </w:p>
    <w:p>
      <w:pPr>
        <w:pStyle w:val="Heading2"/>
        <w:spacing w:after="120" w:before="260"/>
      </w:pPr>
      <w:r>
        <w:t xml:space="preserve">1.3 WORM_CTRL (0x08) — Hardwired Control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6"/>
        <w:gridCol w:w="4789"/>
        <w:gridCol w:w="3265"/>
      </w:tblGrid>
      <w:tr>
        <w:trPr>
          <w:tblHeader/>
        </w:trPr>
        <w:tc>
          <w:tcPr>
            <w:tcW w:type="dxa" w:w="130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Bit</w:t>
            </w:r>
          </w:p>
        </w:tc>
        <w:tc>
          <w:tcPr>
            <w:tcW w:type="dxa" w:w="478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326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13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[31:4]</w:t>
            </w:r>
          </w:p>
        </w:tc>
        <w:tc>
          <w:tcPr>
            <w:tcW w:type="dxa" w:w="47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w:t>
            </w:r>
          </w:p>
        </w:tc>
        <w:tc>
          <w:tcPr>
            <w:tcW w:type="dxa" w:w="326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0x0000000</w:t>
            </w:r>
          </w:p>
        </w:tc>
      </w:tr>
      <w:tr>
        <w:tc>
          <w:tcPr>
            <w:tcW w:type="dxa" w:w="13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w:t>
            </w:r>
          </w:p>
        </w:tc>
        <w:tc>
          <w:tcPr>
            <w:tcW w:type="dxa" w:w="47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AUDIT_LOG_EN</w:t>
            </w:r>
          </w:p>
        </w:tc>
        <w:tc>
          <w:tcPr>
            <w:tcW w:type="dxa" w:w="326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1</w:t>
            </w:r>
          </w:p>
        </w:tc>
      </w:tr>
      <w:tr>
        <w:tc>
          <w:tcPr>
            <w:tcW w:type="dxa" w:w="13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w:t>
            </w:r>
          </w:p>
        </w:tc>
        <w:tc>
          <w:tcPr>
            <w:tcW w:type="dxa" w:w="47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INTERRUPT_ON_VIOLATION</w:t>
            </w:r>
          </w:p>
        </w:tc>
        <w:tc>
          <w:tcPr>
            <w:tcW w:type="dxa" w:w="326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1</w:t>
            </w:r>
          </w:p>
        </w:tc>
      </w:tr>
      <w:tr>
        <w:tc>
          <w:tcPr>
            <w:tcW w:type="dxa" w:w="13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w:t>
            </w:r>
          </w:p>
        </w:tc>
        <w:tc>
          <w:tcPr>
            <w:tcW w:type="dxa" w:w="47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CPU_ACCESS_BLOCK</w:t>
            </w:r>
          </w:p>
        </w:tc>
        <w:tc>
          <w:tcPr>
            <w:tcW w:type="dxa" w:w="326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1</w:t>
            </w:r>
          </w:p>
        </w:tc>
      </w:tr>
      <w:tr>
        <w:tc>
          <w:tcPr>
            <w:tcW w:type="dxa" w:w="13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w:t>
            </w:r>
          </w:p>
        </w:tc>
        <w:tc>
          <w:tcPr>
            <w:tcW w:type="dxa" w:w="478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GLOBAL_ENABLE</w:t>
            </w:r>
          </w:p>
        </w:tc>
        <w:tc>
          <w:tcPr>
            <w:tcW w:type="dxa" w:w="326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1</w:t>
            </w:r>
          </w:p>
        </w:tc>
      </w:tr>
    </w:tbl>
    <w:p>
      <w:pPr>
        <w:spacing w:after="80"/>
      </w:pPr>
    </w:p>
    <w:p>
      <w:pPr>
        <w:spacing w:after="160" w:before="40"/>
        <w:jc w:val="center"/>
      </w:pPr>
      <w:r>
        <w:rPr>
          <w:i/>
          <w:iCs/>
          <w:color w:val="595959"/>
          <w:sz w:val="18"/>
          <w:szCs w:val="18"/>
        </w:rPr>
        <w:t xml:space="preserve">Table 1-3. WORM_CTRL — every field is read-only by design</w:t>
      </w:r>
    </w:p>
    <w:p>
      <w:pPr>
        <w:pStyle w:val="Heading2"/>
        <w:spacing w:after="120" w:before="260"/>
      </w:pPr>
      <w:r>
        <w:t xml:space="preserve">1.4 Audit-Log Entry Format</w:t>
      </w:r>
    </w:p>
    <w:p>
      <w:pPr>
        <w:spacing w:after="140"/>
      </w:pPr>
      <w:r>
        <w:t xml:space="preserve">A 48-bit nanosecond field alone rolls over every 2^48ns ≈ 78.9 hours, which is inadequate for a legal-reference audit record (Att2 CH15, "legal record, traceability") that must remain unambiguous in time order across the entire operating life of the system. It must also be able to attribute not just the fact that a violation occurred, but which subject attempted the rejected write. The record below addresses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9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9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EPOCH_ID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Taken from the global T_AXIS_EPOCH_CTR (Table 1-1, 0x30); increments every time TIMESTAMP_NS rolls over. 2^16 epochs × 78.9 hours ≈ an unambiguous range of roughly 900 years</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TIMESTAMP_NS</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48-bit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Nanosecond timestamp within the current epoch, sourced from the T-Axis Timestamp Engine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REQUESTOR_ID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Identifier of the DMA-originating subject that produced the rejected write (a SEU Assembly Engine instance, or, if it did not arise from the normal assembly path, the DMA channel tag of the violation source)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Channel on which the violation occurred</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ATTEMPTED_ADDR</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32-bit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Address targeted by the rejected write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VIOLATION_TYPE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0x01 = rewrite of a locked sector · 0x02 = non-DMA access attempt · 0x03 = out-of-range address · 0x04 = REQUESTOR_ID could not be verified (unauthorized DMA source)</w:t>
            </w:r>
          </w:p>
        </w:tc>
      </w:tr>
    </w:tbl>
    <w:p>
      <w:pPr>
        <w:spacing w:after="80"/>
      </w:pPr>
    </w:p>
    <w:p>
      <w:pPr>
        <w:spacing w:after="160" w:before="40"/>
        <w:jc w:val="center"/>
      </w:pPr>
      <w:r>
        <w:rPr>
          <w:i/>
          <w:iCs/>
          <w:color w:val="595959"/>
          <w:sz w:val="18"/>
          <w:szCs w:val="18"/>
        </w:rPr>
        <w:t xml:space="preserve">Table 1-4. Audit-log entry — 128-bit fixed record; ring buffer, pointed to by WORM_AUDIT_PTR</w:t>
      </w:r>
    </w:p>
    <w:p>
      <w:pPr>
        <w:pStyle w:val="Heading2"/>
        <w:spacing w:after="120" w:before="260"/>
      </w:pPr>
      <w:r>
        <w:t xml:space="preserve">1.5 Audit-Log Buffer Policy</w:t>
      </w:r>
    </w:p>
    <w:p>
      <w:pPr>
        <w:spacing w:after="140"/>
      </w:pPr>
      <w:r>
        <w:t xml:space="preserve">Each audit-log ring buffer (the WORM per-channel log of §1.4 and the consolidated ACL log of §2.4, each) has a fixed depth of 1024 entries (128 bits per entry, 16KB total per buffer). WORM_AUDIT_PTR (Table 1-1, offset 0x10) is an index that cycles through the range 0–1023.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6"/>
        <w:gridCol w:w="8524"/>
      </w:tblGrid>
      <w:tr>
        <w:trPr>
          <w:tblHeader/>
        </w:trPr>
        <w:tc>
          <w:tcPr>
            <w:tcW w:type="dxa" w:w="83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852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r>
      <w:tr>
        <w:tc>
          <w:tcPr>
            <w:tcW w:type="dxa" w:w="8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Buffer depth</w:t>
            </w:r>
          </w:p>
        </w:tc>
        <w:tc>
          <w:tcPr>
            <w:tcW w:type="dxa" w:w="85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at 1024 entries (16KB per buffer at 128 bits/entry)</w:t>
            </w:r>
          </w:p>
        </w:tc>
      </w:tr>
      <w:tr>
        <w:tc>
          <w:tcPr>
            <w:tcW w:type="dxa" w:w="8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Overflow warning threshold</w:t>
            </w:r>
          </w:p>
        </w:tc>
        <w:tc>
          <w:tcPr>
            <w:tcW w:type="dxa" w:w="85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AUDIT_LOG_STATUS.OVERFLOW_WARN is set at 896/1024 (87.5% full), giving a flush margin before data loss</w:t>
            </w:r>
          </w:p>
        </w:tc>
      </w:tr>
      <w:tr>
        <w:tc>
          <w:tcPr>
            <w:tcW w:type="dxa" w:w="8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Default overflow behavior</w:t>
            </w:r>
          </w:p>
        </w:tc>
        <w:tc>
          <w:tcPr>
            <w:tcW w:type="dxa" w:w="85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FIFO wraparound — if the buffer fills and no flush occurs, the oldest entry is overwritten</w:t>
            </w:r>
          </w:p>
        </w:tc>
      </w:tr>
      <w:tr>
        <w:tc>
          <w:tcPr>
            <w:tcW w:type="dxa" w:w="8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Overflow-event handling</w:t>
            </w:r>
          </w:p>
        </w:tc>
        <w:tc>
          <w:tcPr>
            <w:tcW w:type="dxa" w:w="85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The wraparound event itself sets AUDIT_LOG_STATUS.OVERFLOW_OCCURRED. This is a sticky single bit outside the ring (not itself subject to overwrite), so that even though the lost entry itself is unrecoverable, loss of audit history is always independently detectable</w:t>
            </w:r>
          </w:p>
        </w:tc>
      </w:tr>
      <w:tr>
        <w:tc>
          <w:tcPr>
            <w:tcW w:type="dxa" w:w="8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Recommended mitigation</w:t>
            </w:r>
          </w:p>
        </w:tc>
        <w:tc>
          <w:tcPr>
            <w:tcW w:type="dxa" w:w="85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Periodically or on threshold trigger, flush ring contents to CH15 (Audit/Evidence, WORM-dedicated long-term storage per Att2 Table 3-3) before OVERFLOW_OCCURRED is reached; AUTO_FLUSH_EN below supports this in hardware</w:t>
            </w:r>
          </w:p>
        </w:tc>
      </w:tr>
    </w:tbl>
    <w:p>
      <w:pPr>
        <w:spacing w:after="80"/>
      </w:pPr>
    </w:p>
    <w:p>
      <w:pPr>
        <w:spacing w:after="160" w:before="40"/>
        <w:jc w:val="center"/>
      </w:pPr>
      <w:r>
        <w:rPr>
          <w:i/>
          <w:iCs/>
          <w:color w:val="595959"/>
          <w:sz w:val="18"/>
          <w:szCs w:val="18"/>
        </w:rPr>
        <w:t xml:space="preserve">Table 1-5. Audit-log buffer size and overflow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9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Register</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9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AUDIT_LOG_STATUS</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9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Bit 0: OVERFLOW_WARN (≥87.5% full) · Bit 1: OVERFLOW_OCCURRED (sticky, latched, set regardless of ring contents) · Bit 2: AUTO_FLUSH_EN (hardwired or deployment-configured; when set, reaching the threshold alone triggers an automatic flush to CH15 with no software polling required)</w:t>
            </w:r>
          </w:p>
        </w:tc>
      </w:tr>
    </w:tbl>
    <w:p>
      <w:pPr>
        <w:spacing w:after="80"/>
      </w:pPr>
    </w:p>
    <w:p>
      <w:pPr>
        <w:spacing w:after="160" w:before="40"/>
        <w:jc w:val="center"/>
      </w:pPr>
      <w:r>
        <w:rPr>
          <w:i/>
          <w:iCs/>
          <w:color w:val="595959"/>
          <w:sz w:val="18"/>
          <w:szCs w:val="18"/>
        </w:rPr>
        <w:t xml:space="preserve">Table 1-6. AUDIT_LOG_STATUS register</w:t>
      </w:r>
    </w:p>
    <w:p>
      <w:pPr>
        <w:pStyle w:val="Heading1"/>
        <w:spacing w:after="120" w:before="260"/>
      </w:pPr>
      <w:r>
        <w:t xml:space="preserve">2. HBF ACL Bitfields — Cube Memory Layer</w:t>
      </w:r>
    </w:p>
    <w:p>
      <w:pPr>
        <w:spacing w:after="140"/>
      </w:pPr>
      <w:r>
        <w:t xml:space="preserve">HBF access control implements the 5-axis permission matrix defined in Att2 §4.1. Each cube entry has one 8-bit ACL_PERM register per axis, plus a Layer Lock register for the M-Axis.</w:t>
      </w:r>
    </w:p>
    <w:p>
      <w:pPr>
        <w:pStyle w:val="Heading2"/>
        <w:spacing w:after="120" w:before="260"/>
      </w:pPr>
      <w:r>
        <w:t xml:space="preserve">2.1 ACL_PERM Register — Per-Axis Permission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40"/>
        <w:gridCol w:w="720"/>
        <w:gridCol w:w="2160"/>
        <w:gridCol w:w="4140"/>
      </w:tblGrid>
      <w:tr>
        <w:trPr>
          <w:tblHeader/>
        </w:trPr>
        <w:tc>
          <w:tcPr>
            <w:tcW w:type="dxa" w:w="9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Bit</w:t>
            </w:r>
          </w:p>
        </w:tc>
        <w:tc>
          <w:tcPr>
            <w:tcW w:type="dxa" w:w="144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Role</w:t>
            </w:r>
          </w:p>
        </w:tc>
        <w:tc>
          <w:tcPr>
            <w:tcW w:type="dxa" w:w="72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00</w:t>
            </w:r>
          </w:p>
        </w:tc>
        <w:tc>
          <w:tcPr>
            <w:tcW w:type="dxa" w:w="21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01 / 10 / 11</w:t>
            </w:r>
          </w:p>
        </w:tc>
        <w:tc>
          <w:tcPr>
            <w:tcW w:type="dxa" w:w="414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Notes</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[1:0]</w:t>
            </w:r>
          </w:p>
        </w:tc>
        <w:tc>
          <w:tcPr>
            <w:tcW w:type="dxa" w:w="14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PAI</w:t>
            </w:r>
          </w:p>
        </w:tc>
        <w:tc>
          <w:tcPr>
            <w:tcW w:type="dxa" w:w="7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None</w:t>
            </w:r>
          </w:p>
        </w:tc>
        <w:tc>
          <w:tcPr>
            <w:tcW w:type="dxa" w:w="2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 / W / RW</w:t>
            </w:r>
          </w:p>
        </w:tc>
        <w:tc>
          <w:tcPr>
            <w:tcW w:type="dxa" w:w="41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Least-significant field</w:t>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[3:2]</w:t>
            </w:r>
          </w:p>
        </w:tc>
        <w:tc>
          <w:tcPr>
            <w:tcW w:type="dxa" w:w="14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AAI</w:t>
            </w:r>
          </w:p>
        </w:tc>
        <w:tc>
          <w:tcPr>
            <w:tcW w:type="dxa" w:w="7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None</w:t>
            </w:r>
          </w:p>
        </w:tc>
        <w:tc>
          <w:tcPr>
            <w:tcW w:type="dxa" w:w="2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 / W / RW</w:t>
            </w:r>
          </w:p>
        </w:tc>
        <w:tc>
          <w:tcPr>
            <w:tcW w:type="dxa" w:w="41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[5:4]</w:t>
            </w:r>
          </w:p>
        </w:tc>
        <w:tc>
          <w:tcPr>
            <w:tcW w:type="dxa" w:w="14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AsAI</w:t>
            </w:r>
          </w:p>
        </w:tc>
        <w:tc>
          <w:tcPr>
            <w:tcW w:type="dxa" w:w="7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None</w:t>
            </w:r>
          </w:p>
        </w:tc>
        <w:tc>
          <w:tcPr>
            <w:tcW w:type="dxa" w:w="2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 / W / RW</w:t>
            </w:r>
          </w:p>
        </w:tc>
        <w:tc>
          <w:tcPr>
            <w:tcW w:type="dxa" w:w="41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
            </w:r>
          </w:p>
        </w:tc>
      </w:tr>
      <w:tr>
        <w:tc>
          <w:tcPr>
            <w:tcW w:type="dxa" w:w="9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[7:6]</w:t>
            </w:r>
          </w:p>
        </w:tc>
        <w:tc>
          <w:tcPr>
            <w:tcW w:type="dxa" w:w="14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w:t>
            </w:r>
          </w:p>
        </w:tc>
        <w:tc>
          <w:tcPr>
            <w:tcW w:type="dxa" w:w="7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c>
          <w:tcPr>
            <w:tcW w:type="dxa" w:w="21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c>
          <w:tcPr>
            <w:tcW w:type="dxa" w:w="414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0b00</w:t>
            </w:r>
          </w:p>
        </w:tc>
      </w:tr>
    </w:tbl>
    <w:p>
      <w:pPr>
        <w:spacing w:after="80"/>
      </w:pPr>
    </w:p>
    <w:p>
      <w:pPr>
        <w:spacing w:after="160" w:before="40"/>
        <w:jc w:val="center"/>
      </w:pPr>
      <w:r>
        <w:rPr>
          <w:i/>
          <w:iCs/>
          <w:color w:val="595959"/>
          <w:sz w:val="18"/>
          <w:szCs w:val="18"/>
        </w:rPr>
        <w:t xml:space="preserve">Table 2-1. ACL_PERM bit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38"/>
        <w:gridCol w:w="1831"/>
        <w:gridCol w:w="1831"/>
        <w:gridCol w:w="1831"/>
        <w:gridCol w:w="1629"/>
      </w:tblGrid>
      <w:tr>
        <w:trPr>
          <w:tblHeader/>
        </w:trPr>
        <w:tc>
          <w:tcPr>
            <w:tcW w:type="dxa" w:w="223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Axis</w:t>
            </w:r>
          </w:p>
        </w:tc>
        <w:tc>
          <w:tcPr>
            <w:tcW w:type="dxa" w:w="183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PAI</w:t>
            </w:r>
          </w:p>
        </w:tc>
        <w:tc>
          <w:tcPr>
            <w:tcW w:type="dxa" w:w="183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AAI</w:t>
            </w:r>
          </w:p>
        </w:tc>
        <w:tc>
          <w:tcPr>
            <w:tcW w:type="dxa" w:w="183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AsAI</w:t>
            </w:r>
          </w:p>
        </w:tc>
        <w:tc>
          <w:tcPr>
            <w:tcW w:type="dxa" w:w="162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ACL_PERM</w:t>
            </w:r>
          </w:p>
        </w:tc>
      </w:tr>
      <w:tr>
        <w:tc>
          <w:tcPr>
            <w:tcW w:type="dxa" w:w="22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 (Time)</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6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0x15</w:t>
            </w:r>
          </w:p>
        </w:tc>
      </w:tr>
      <w:tr>
        <w:tc>
          <w:tcPr>
            <w:tcW w:type="dxa" w:w="22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 (Context)</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RW (11)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6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0x17</w:t>
            </w:r>
          </w:p>
        </w:tc>
      </w:tr>
      <w:tr>
        <w:tc>
          <w:tcPr>
            <w:tcW w:type="dxa" w:w="22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 (Intent)</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RW (11)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RW (11)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6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0x1F</w:t>
            </w:r>
          </w:p>
        </w:tc>
      </w:tr>
      <w:tr>
        <w:tc>
          <w:tcPr>
            <w:tcW w:type="dxa" w:w="22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 (Emotion)</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RW (11)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6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0x17</w:t>
            </w:r>
          </w:p>
        </w:tc>
      </w:tr>
      <w:tr>
        <w:tc>
          <w:tcPr>
            <w:tcW w:type="dxa" w:w="22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 (Meta)</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Read (01)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RW (11)</w:t>
            </w:r>
          </w:p>
        </w:tc>
        <w:tc>
          <w:tcPr>
            <w:tcW w:type="dxa" w:w="183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RW (11)</w:t>
            </w:r>
          </w:p>
        </w:tc>
        <w:tc>
          <w:tcPr>
            <w:tcW w:type="dxa" w:w="162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0x3D</w:t>
            </w:r>
          </w:p>
        </w:tc>
      </w:tr>
    </w:tbl>
    <w:p>
      <w:pPr>
        <w:spacing w:after="80"/>
      </w:pPr>
    </w:p>
    <w:p>
      <w:pPr>
        <w:spacing w:after="160" w:before="40"/>
        <w:jc w:val="center"/>
      </w:pPr>
      <w:r>
        <w:rPr>
          <w:i/>
          <w:iCs/>
          <w:color w:val="595959"/>
          <w:sz w:val="18"/>
          <w:szCs w:val="18"/>
        </w:rPr>
        <w:t xml:space="preserve">Table 2-2. ACL_PERM values resolved from Att2 Table 4-1</w:t>
      </w:r>
    </w:p>
    <w:p>
      <w:pPr>
        <w:spacing w:after="140"/>
      </w:pPr>
      <w:r>
        <w:t xml:space="preserve">This table specifies register-level permissions only — which role may read or write which axis — and does not indicate the order or direction of interaction between roles. PAI, AAI, and AsAI are not independent parallel actors each accessing the cube on their own; they sit on a defined E2E pipeline (PAI → AAI per Att2 §9.1; AsAI → HBF via Dedicated Equipment Block C per Att2 §5.1). Figure 2-1 below shows the permission grid only and does not include pipeline order — see Att2 §9.1, §5.1 for order.</w:t>
      </w:r>
    </w:p>
    <w:p>
      <w:pPr>
        <w:spacing w:after="160" w:before="40"/>
        <w:jc w:val="center"/>
      </w:pPr>
      <w:r>
        <w:rPr>
          <w:i/>
          <w:iCs/>
          <w:color w:val="595959"/>
          <w:sz w:val="18"/>
          <w:szCs w:val="18"/>
        </w:rPr>
        <w:t xml:space="preserve">Figure 2-1. HBF ACL_PERM grid — permission encoding only, not a flow diagram</w:t>
      </w:r>
    </w:p>
    <w:p>
      <w:pPr>
        <w:pStyle w:val="Heading2"/>
        <w:spacing w:after="120" w:before="260"/>
      </w:pPr>
      <w:r>
        <w:t xml:space="preserve">2.2 T-Axis — Physical Override</w:t>
      </w:r>
    </w:p>
    <w:p>
      <w:pPr>
        <w:spacing w:after="140"/>
      </w:pPr>
      <w:r>
        <w:t xml:space="preserve">T-Axis write protection is not mediated by the ACL — it is enforced by the WORM hardware anchor (Section 1) at a layer below the ACL gate, so a misconfigured permission register cannot make the T-Axis writable.</w:t>
      </w:r>
    </w:p>
    <w:p>
      <w:pPr>
        <w:pStyle w:val="Heading2"/>
        <w:spacing w:after="120" w:before="260"/>
      </w:pPr>
      <w:r>
        <w:t xml:space="preserve">2.3 M-Axis — Layer Lock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24"/>
        <w:gridCol w:w="7336"/>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Bit</w:t>
            </w:r>
          </w:p>
        </w:tc>
        <w:tc>
          <w:tcPr>
            <w:tcW w:type="dxa" w:w="132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733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[15:8]</w:t>
            </w:r>
          </w:p>
        </w:tc>
        <w:tc>
          <w:tcPr>
            <w:tcW w:type="dxa" w:w="13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LOCK_OWNER_ID</w:t>
            </w:r>
          </w:p>
        </w:tc>
        <w:tc>
          <w:tcPr>
            <w:tcW w:type="dxa" w:w="7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ID of the AAI or AsAI instance currently holding the write lock; 0x00 = no lock</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[7:4]</w:t>
            </w:r>
          </w:p>
        </w:tc>
        <w:tc>
          <w:tcPr>
            <w:tcW w:type="dxa" w:w="13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w:t>
            </w:r>
          </w:p>
        </w:tc>
        <w:tc>
          <w:tcPr>
            <w:tcW w:type="dxa" w:w="7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0b0000</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w:t>
            </w:r>
          </w:p>
        </w:tc>
        <w:tc>
          <w:tcPr>
            <w:tcW w:type="dxa" w:w="13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ASAI_LOCK_HELD</w:t>
            </w:r>
          </w:p>
        </w:tc>
        <w:tc>
          <w:tcPr>
            <w:tcW w:type="dxa" w:w="7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while an AsAI instance holds the write lock</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w:t>
            </w:r>
          </w:p>
        </w:tc>
        <w:tc>
          <w:tcPr>
            <w:tcW w:type="dxa" w:w="13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AAI_LOCK_HELD</w:t>
            </w:r>
          </w:p>
        </w:tc>
        <w:tc>
          <w:tcPr>
            <w:tcW w:type="dxa" w:w="7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while an AAI instance holds the write lock</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w:t>
            </w:r>
          </w:p>
        </w:tc>
        <w:tc>
          <w:tcPr>
            <w:tcW w:type="dxa" w:w="13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WRITE_PENDING</w:t>
            </w:r>
          </w:p>
        </w:tc>
        <w:tc>
          <w:tcPr>
            <w:tcW w:type="dxa" w:w="7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while a write is committing</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w:t>
            </w:r>
          </w:p>
        </w:tc>
        <w:tc>
          <w:tcPr>
            <w:tcW w:type="dxa" w:w="132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LOCK_ACTIVE</w:t>
            </w:r>
          </w:p>
        </w:tc>
        <w:tc>
          <w:tcPr>
            <w:tcW w:type="dxa" w:w="733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while any subject holds the lock</w:t>
            </w:r>
          </w:p>
        </w:tc>
      </w:tr>
    </w:tbl>
    <w:p>
      <w:pPr>
        <w:spacing w:after="80"/>
      </w:pPr>
    </w:p>
    <w:p>
      <w:pPr>
        <w:spacing w:after="160" w:before="40"/>
        <w:jc w:val="center"/>
      </w:pPr>
      <w:r>
        <w:rPr>
          <w:i/>
          <w:iCs/>
          <w:color w:val="595959"/>
          <w:sz w:val="18"/>
          <w:szCs w:val="18"/>
        </w:rPr>
        <w:t xml:space="preserve">Table 2-3. M-Axis Layer Lock register</w:t>
      </w:r>
    </w:p>
    <w:p>
      <w:pPr>
        <w:pStyle w:val="Heading2"/>
        <w:spacing w:after="120" w:before="260"/>
      </w:pPr>
      <w:r>
        <w:t xml:space="preserve">2.4 ACL Violation Log</w:t>
      </w:r>
    </w:p>
    <w:p>
      <w:pPr>
        <w:spacing w:after="140"/>
      </w:pPr>
      <w:r>
        <w:t xml:space="preserve">The ACL violation log uses the same 128-bit format as §1.4, so that a single unified audit schema applies across the WORM/ACL subsystem as a whole.</w:t>
      </w:r>
    </w:p>
    <w:p>
      <w:pPr>
        <w:spacing w:after="140"/>
      </w:pPr>
      <w:r>
        <w:t xml:space="preserve">EPOCH_ID[16] : TIMESTAMP_NS[48] : REQUESTOR_ID[16] : AXIS_ID[4] : REQUESTED_OP[4] : RESULT[8] : RESERVED[32]. AXIS_ID convention: T=0, C=1, I=2, E=3, M=4. REQUESTOR_ID identifies the PAI/AAI/AsAI instance that attempted the rejected access.</w:t>
      </w:r>
    </w:p>
    <w:p>
      <w:pPr>
        <w:pStyle w:val="Heading1"/>
        <w:spacing w:after="120" w:before="260"/>
      </w:pPr>
      <w:r>
        <w:t xml:space="preserve">3. Transform Engine Register Map</w:t>
      </w:r>
    </w:p>
    <w:p>
      <w:pPr>
        <w:spacing w:after="140"/>
      </w:pPr>
      <w:r>
        <w:t xml:space="preserve">The DEMUX Engine (Block A), SEU Assembly Engine, and MUX Engine (Block B) sit directly between the optical input and the WORM/HBF registers defined in Sections 1–2. Their register-level definitions are specified below.</w:t>
      </w:r>
    </w:p>
    <w:p>
      <w:pPr>
        <w:spacing w:after="160" w:before="40"/>
        <w:jc w:val="center"/>
      </w:pPr>
      <w:r>
        <w:rPr>
          <w:i/>
          <w:iCs/>
          <w:color w:val="595959"/>
          <w:sz w:val="18"/>
          <w:szCs w:val="18"/>
        </w:rPr>
        <w:t xml:space="preserve">Figure 3-1. Transform Engine register pipeline — DEMUX → SEU Assembly → MUX</w:t>
      </w:r>
    </w:p>
    <w:p>
      <w:pPr>
        <w:pStyle w:val="Heading2"/>
        <w:spacing w:after="120" w:before="260"/>
      </w:pPr>
      <w:r>
        <w:t xml:space="preserve">3.1 Block A — DEMUX Engine Registers (Att2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2"/>
        <w:gridCol w:w="1192"/>
        <w:gridCol w:w="6856"/>
      </w:tblGrid>
      <w:tr>
        <w:trPr>
          <w:tblHeader/>
        </w:trPr>
        <w:tc>
          <w:tcPr>
            <w:tcW w:type="dxa" w:w="131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Register</w:t>
            </w:r>
          </w:p>
        </w:tc>
        <w:tc>
          <w:tcPr>
            <w:tcW w:type="dxa" w:w="119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685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1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DEMUX_LANE_CFG</w:t>
            </w:r>
          </w:p>
        </w:tc>
        <w:tc>
          <w:tcPr>
            <w:tcW w:type="dxa" w:w="119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68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Lane-group mode: 0x0 = PAI (48 lanes/ch × 8 groups), 0x1 = EAI (24 lanes/ch × 16 groups)</w:t>
            </w:r>
          </w:p>
        </w:tc>
      </w:tr>
      <w:tr>
        <w:tc>
          <w:tcPr>
            <w:tcW w:type="dxa" w:w="1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DEMUX_CLK_PLL_STATUS</w:t>
            </w:r>
          </w:p>
        </w:tc>
        <w:tc>
          <w:tcPr>
            <w:tcW w:type="dxa" w:w="119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68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Per-channel PLL lock bitmap (bit N = channel N lock status); the per-channel independent clock domains of Att2 §5.2</w:t>
            </w:r>
          </w:p>
        </w:tc>
      </w:tr>
      <w:tr>
        <w:tc>
          <w:tcPr>
            <w:tcW w:type="dxa" w:w="1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DEMUX_FAULT_EXCLUDE</w:t>
            </w:r>
          </w:p>
        </w:tc>
        <w:tc>
          <w:tcPr>
            <w:tcW w:type="dxa" w:w="119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384-bit (48×8 words)</w:t>
            </w:r>
          </w:p>
        </w:tc>
        <w:tc>
          <w:tcPr>
            <w:tcW w:type="dxa" w:w="68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Bitmap of faulty cores auto-excluded from the 192–384 input cores</w:t>
            </w:r>
          </w:p>
        </w:tc>
      </w:tr>
      <w:tr>
        <w:tc>
          <w:tcPr>
            <w:tcW w:type="dxa" w:w="1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DEMUX_LATENCY_MON</w:t>
            </w:r>
          </w:p>
        </w:tc>
        <w:tc>
          <w:tcPr>
            <w:tcW w:type="dxa" w:w="119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68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Measured processing latency (picoseconds); target &lt;2ns is hardwired (Att2 §5.2)</w:t>
            </w:r>
          </w:p>
        </w:tc>
      </w:tr>
      <w:tr>
        <w:tc>
          <w:tcPr>
            <w:tcW w:type="dxa" w:w="1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DEMUX_NONCOLLISION_CHK</w:t>
            </w:r>
          </w:p>
        </w:tc>
        <w:tc>
          <w:tcPr>
            <w:tcW w:type="dxa" w:w="119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1-bit</w:t>
            </w:r>
          </w:p>
        </w:tc>
        <w:tc>
          <w:tcPr>
            <w:tcW w:type="dxa" w:w="68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Set when power-on self-test (POST) hardware-verifies Core(ri)∩Core(rj)=∅ for every channel pair</w:t>
            </w:r>
          </w:p>
        </w:tc>
      </w:tr>
    </w:tbl>
    <w:p>
      <w:pPr>
        <w:spacing w:after="80"/>
      </w:pPr>
    </w:p>
    <w:p>
      <w:pPr>
        <w:spacing w:after="160" w:before="40"/>
        <w:jc w:val="center"/>
      </w:pPr>
      <w:r>
        <w:rPr>
          <w:i/>
          <w:iCs/>
          <w:color w:val="595959"/>
          <w:sz w:val="18"/>
          <w:szCs w:val="18"/>
        </w:rPr>
        <w:t xml:space="preserve">Table 3-1. DEMUX Engine (Block A) register summary</w:t>
      </w:r>
    </w:p>
    <w:p>
      <w:pPr>
        <w:pStyle w:val="Heading2"/>
        <w:spacing w:after="120" w:before="260"/>
      </w:pPr>
      <w:r>
        <w:t xml:space="preserve">3.2 SEU Assembly Engine Registers (Att2 §6.1 Stage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2"/>
        <w:gridCol w:w="700"/>
        <w:gridCol w:w="7758"/>
      </w:tblGrid>
      <w:tr>
        <w:trPr>
          <w:tblHeader/>
        </w:trPr>
        <w:tc>
          <w:tcPr>
            <w:tcW w:type="dxa" w:w="90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Register</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75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SEU_WINDOW_CTRL</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75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[15:8] CURRENT_WINDOW_MS (800–1500) · [1] ADAPTIVE_MODE_EN · [0] CH4_RAPID_TRIGGER — implements the Att2 §6.2 adaptive window (default 1.0s, 0.8s on CH4 rapid change, 1.5s on low change rate)</w:t>
            </w:r>
          </w:p>
        </w:tc>
      </w:tr>
      <w:tr>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SEU_CHANNEL_COMPLETE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75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Per-channel completeness bitmap (16 bits used for EAI, 8 for PAI); bit=1 when that channel's slot data has been fully received</w:t>
            </w:r>
          </w:p>
        </w:tc>
      </w:tr>
      <w:tr>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SEU_MISSING_FLAG</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75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Set per-channel when no data has arrived by the slot boundary (Att2 §6.1: "null + MISSING_FLAG")</w:t>
            </w:r>
          </w:p>
        </w:tc>
      </w:tr>
      <w:tr>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SEU_ASSEMBLY_STATUS</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75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0x0 COLLECTING · 0x1 FLUSHING · 0x2 COMPLETE · 0x3 ABORTED (a required channel is missing)</w:t>
            </w:r>
          </w:p>
        </w:tc>
      </w:tr>
      <w:tr>
        <w:tc>
          <w:tcPr>
            <w:tcW w:type="dxa" w:w="9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SEU_CTRL_PLANE_WINDOW</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75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EAI-only; an independent window register for the CH9–CH16 control plane, operating independently of the cognition-plane window (Att2 §6.2)</w:t>
            </w:r>
          </w:p>
        </w:tc>
      </w:tr>
    </w:tbl>
    <w:p>
      <w:pPr>
        <w:spacing w:after="80"/>
      </w:pPr>
    </w:p>
    <w:p>
      <w:pPr>
        <w:spacing w:after="160" w:before="40"/>
        <w:jc w:val="center"/>
      </w:pPr>
      <w:r>
        <w:rPr>
          <w:i/>
          <w:iCs/>
          <w:color w:val="595959"/>
          <w:sz w:val="18"/>
          <w:szCs w:val="18"/>
        </w:rPr>
        <w:t xml:space="preserve">Table 3-2. SEU Assembly Engine register summary</w:t>
      </w:r>
    </w:p>
    <w:p>
      <w:pPr>
        <w:pStyle w:val="Heading2"/>
        <w:spacing w:after="120" w:before="260"/>
      </w:pPr>
      <w:r>
        <w:t xml:space="preserve">3.3 Block B — MUX Engine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2"/>
        <w:gridCol w:w="700"/>
        <w:gridCol w:w="7848"/>
      </w:tblGrid>
      <w:tr>
        <w:trPr>
          <w:tblHeader/>
        </w:trPr>
        <w:tc>
          <w:tcPr>
            <w:tcW w:type="dxa" w:w="81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Register</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84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8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MUX_CH_MAP</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128-bit</w:t>
            </w:r>
          </w:p>
        </w:tc>
        <w:tc>
          <w:tcPr>
            <w:tcW w:type="dxa" w:w="78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Mapping table from 8-channel (PAI) or 16-channel (EAI) cognition-bus lanes to 24-core Bundle lane assignments</w:t>
            </w:r>
          </w:p>
        </w:tc>
      </w:tr>
      <w:tr>
        <w:tc>
          <w:tcPr>
            <w:tcW w:type="dxa" w:w="8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MUX_BUNDLE_STATUS</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8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Bit 0: BUNDLE_READY · Bit 1: PARTIAL_BUNDLE (fewer than 24 cores active) · Bit 2: OVERFLOW — this register's BUNDLE_READY state feeds the Network Adapter LINK_STATUS (§6.2)</w:t>
            </w:r>
          </w:p>
        </w:tc>
      </w:tr>
    </w:tbl>
    <w:p>
      <w:pPr>
        <w:spacing w:after="80"/>
      </w:pPr>
    </w:p>
    <w:p>
      <w:pPr>
        <w:spacing w:after="160" w:before="40"/>
        <w:jc w:val="center"/>
      </w:pPr>
      <w:r>
        <w:rPr>
          <w:i/>
          <w:iCs/>
          <w:color w:val="595959"/>
          <w:sz w:val="18"/>
          <w:szCs w:val="18"/>
        </w:rPr>
        <w:t xml:space="preserve">Table 3-3. MUX Engine (Block B) register summary</w:t>
      </w:r>
    </w:p>
    <w:p>
      <w:pPr>
        <w:pStyle w:val="Heading1"/>
        <w:spacing w:after="120" w:before="260"/>
      </w:pPr>
      <w:r>
        <w:t xml:space="preserve">4. Electrical Interfaces</w:t>
      </w:r>
    </w:p>
    <w:p>
      <w:pPr>
        <w:spacing w:after="140"/>
      </w:pPr>
      <w:r>
        <w:t xml:space="preserve">This section specifies, for every channel interface enumerated in Att2 Tables 3-3/3-4, the pin-level functional map, timing parameters, and voltage tolerances needed to implement and certify this Physical Spec.</w:t>
      </w:r>
    </w:p>
    <w:p>
      <w:pPr>
        <w:pStyle w:val="Heading2"/>
        <w:spacing w:after="120" w:before="260"/>
      </w:pPr>
      <w:r>
        <w:t xml:space="preserve">4.1 L1 → L2 Optical-to-Electrical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5"/>
        <w:gridCol w:w="2456"/>
        <w:gridCol w:w="4979"/>
      </w:tblGrid>
      <w:tr>
        <w:trPr>
          <w:tblHeader/>
        </w:trPr>
        <w:tc>
          <w:tcPr>
            <w:tcW w:type="dxa" w:w="192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245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c>
          <w:tcPr>
            <w:tcW w:type="dxa" w:w="4979"/>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Notes</w:t>
            </w:r>
          </w:p>
        </w:tc>
      </w:tr>
      <w:tr>
        <w:tc>
          <w:tcPr>
            <w:tcW w:type="dxa" w:w="19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Optical modulation</w:t>
            </w:r>
          </w:p>
        </w:tc>
        <w:tc>
          <w:tcPr>
            <w:tcW w:type="dxa" w:w="24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PAM4, 800G per core (Att2 §1.5)</w:t>
            </w:r>
          </w:p>
        </w:tc>
        <w:tc>
          <w:tcPr>
            <w:tcW w:type="dxa" w:w="49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Consistent with the commercial 800G pluggable technology referenced in Att2</w:t>
            </w:r>
          </w:p>
        </w:tc>
      </w:tr>
      <w:tr>
        <w:tc>
          <w:tcPr>
            <w:tcW w:type="dxa" w:w="19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O/E conversion</w:t>
            </w:r>
          </w:p>
        </w:tc>
        <w:tc>
          <w:tcPr>
            <w:tcW w:type="dxa" w:w="24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Photodiode array per core → TIA → ADC</w:t>
            </w:r>
          </w:p>
        </w:tc>
        <w:tc>
          <w:tcPr>
            <w:tcW w:type="dxa" w:w="49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One conversion chain per fixed ribbon core</w:t>
            </w:r>
          </w:p>
        </w:tc>
      </w:tr>
      <w:tr>
        <w:tc>
          <w:tcPr>
            <w:tcW w:type="dxa" w:w="19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O/E backend electrical domain</w:t>
            </w:r>
          </w:p>
        </w:tc>
        <w:tc>
          <w:tcPr>
            <w:tcW w:type="dxa" w:w="245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Differential, target ≤ 0.4 Vpp</w:t>
            </w:r>
          </w:p>
        </w:tc>
        <w:tc>
          <w:tcPr>
            <w:tcW w:type="dxa" w:w="4979"/>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Feeds directly into the per-channel WORM DMA write path</w:t>
            </w:r>
          </w:p>
        </w:tc>
      </w:tr>
    </w:tbl>
    <w:p>
      <w:pPr>
        <w:spacing w:after="80"/>
      </w:pPr>
    </w:p>
    <w:p>
      <w:pPr>
        <w:spacing w:after="160" w:before="40"/>
        <w:jc w:val="center"/>
      </w:pPr>
      <w:r>
        <w:rPr>
          <w:i/>
          <w:iCs/>
          <w:color w:val="595959"/>
          <w:sz w:val="18"/>
          <w:szCs w:val="18"/>
        </w:rPr>
        <w:t xml:space="preserve">Table 4-1. Optical-to-electrical conversion parameters</w:t>
      </w:r>
    </w:p>
    <w:p>
      <w:pPr>
        <w:pStyle w:val="Heading2"/>
        <w:spacing w:after="120" w:before="260"/>
      </w:pPr>
      <w:r>
        <w:t xml:space="preserve">4.2 Pin-Level Interface Map</w:t>
      </w:r>
    </w:p>
    <w:p>
      <w:pPr>
        <w:spacing w:after="140"/>
      </w:pPr>
      <w:r>
        <w:t xml:space="preserve">The pin counts below are internal PCB header/pad counts between the sensor front-end and each channel's receive buffer (Att2 §3.2, "independent per-channel receive buffer"), not user-facing connectors — consistent with the connectorless MOCT philosophy (Att2 §1.4) applied across the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1872"/>
        <w:gridCol w:w="4290"/>
        <w:gridCol w:w="702"/>
      </w:tblGrid>
      <w:tr>
        <w:trPr>
          <w:tblHeader/>
        </w:trPr>
        <w:tc>
          <w:tcPr>
            <w:tcW w:type="dxa" w:w="249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Channel</w:t>
            </w:r>
          </w:p>
        </w:tc>
        <w:tc>
          <w:tcPr>
            <w:tcW w:type="dxa" w:w="187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Interface</w:t>
            </w:r>
          </w:p>
        </w:tc>
        <w:tc>
          <w:tcPr>
            <w:tcW w:type="dxa" w:w="429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Pin Function List</w:t>
            </w:r>
          </w:p>
        </w:tc>
        <w:tc>
          <w:tcPr>
            <w:tcW w:type="dxa" w:w="70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Pin Count</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 Video</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MIPI CSI-2</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CLK+/CLK−, D0+/D0−…D3+/D3− (4-lane)</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10</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CH2 Audio</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I2S/PDM</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BCLK, LRCLK/WS, SDATA, MCLK (optional)</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3–4</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CH3 Spatiotemporal</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UART + SPI</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UART: TX,RX · SPI: SCLK,MOSI,MISO,CS</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 + 4</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CH4 Biosignal</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SPI/I2C → Secure Enclave</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SDA,SCL or SCLK,MOSI,MISO,CS</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 or 4</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CH5 Text/Language</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PCIe Gen4 x1</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TX+/TX−, RX+/RX−, REFCLK+/REFCLK− (optional)</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 (+2)</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CH6 Activity/Motion</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SPI + CAN</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SPI for IMU (4) + CANH,CANL (2)</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 + 2</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CH7 Device Interface</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CAN FD</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CANH, CANL</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CH8 Environmental</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I2C/ADC</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SDA,SCL or single-ended analog + GND</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 or 1+1</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CH9 Command Input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Dedicated encrypted SPI</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SCLK,MOSI,MISO,CS,IRQ</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CH10 Actuation Output</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RT-PWM</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PWM_OUT, PWM_DIR, GND</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2–3</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CH11 Safety Override</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relay</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 COM (dry contact, per relay circuit)</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w:t>
            </w:r>
          </w:p>
        </w:tc>
      </w:tr>
      <w:tr>
        <w:tc>
          <w:tcPr>
            <w:tcW w:type="dxa" w:w="249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CH12 Authentication/Identity</w:t>
            </w:r>
          </w:p>
        </w:tc>
        <w:tc>
          <w:tcPr>
            <w:tcW w:type="dxa" w:w="187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Vendor HSM (signing bus)</w:t>
            </w:r>
          </w:p>
        </w:tc>
        <w:tc>
          <w:tcPr>
            <w:tcW w:type="dxa" w:w="429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Vendor-specific, typically 4-pin SPI + signing protocol</w:t>
            </w:r>
          </w:p>
        </w:tc>
        <w:tc>
          <w:tcPr>
            <w:tcW w:type="dxa" w:w="7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w:t>
            </w:r>
          </w:p>
        </w:tc>
      </w:tr>
    </w:tbl>
    <w:p>
      <w:pPr>
        <w:spacing w:after="80"/>
      </w:pPr>
    </w:p>
    <w:p>
      <w:pPr>
        <w:spacing w:after="160" w:before="40"/>
        <w:jc w:val="center"/>
      </w:pPr>
      <w:r>
        <w:rPr>
          <w:i/>
          <w:iCs/>
          <w:color w:val="595959"/>
          <w:sz w:val="18"/>
          <w:szCs w:val="18"/>
        </w:rPr>
        <w:t xml:space="preserve">Table 4-2. Pin-level interface map — CH13–CH16 are logical/storage channels with no separate pinout at the analog front-end; their PHY is specified concretely below rather than as a generic "inherits host interconnect"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3"/>
        <w:gridCol w:w="1227"/>
        <w:gridCol w:w="7420"/>
      </w:tblGrid>
      <w:tr>
        <w:trPr>
          <w:tblHeader/>
        </w:trPr>
        <w:tc>
          <w:tcPr>
            <w:tcW w:type="dxa" w:w="71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Channel</w:t>
            </w:r>
          </w:p>
        </w:tc>
        <w:tc>
          <w:tcPr>
            <w:tcW w:type="dxa" w:w="122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PHY</w:t>
            </w:r>
          </w:p>
        </w:tc>
        <w:tc>
          <w:tcPr>
            <w:tcW w:type="dxa" w:w="742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Notes</w:t>
            </w:r>
          </w:p>
        </w:tc>
      </w:tr>
      <w:tr>
        <w:tc>
          <w:tcPr>
            <w:tcW w:type="dxa" w:w="71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CH13 Mission State</w:t>
            </w:r>
          </w:p>
        </w:tc>
        <w:tc>
          <w:tcPr>
            <w:tcW w:type="dxa" w:w="12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PCIe Gen4 NVMe</w:t>
            </w:r>
          </w:p>
        </w:tc>
        <w:tc>
          <w:tcPr>
            <w:tcW w:type="dxa" w:w="74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Reuses the PCIe Gen4 electrical spec of CH5 (Table 4-5) on a separate controller/lanes; does not share a bus with CH5</w:t>
            </w:r>
          </w:p>
        </w:tc>
      </w:tr>
      <w:tr>
        <w:tc>
          <w:tcPr>
            <w:tcW w:type="dxa" w:w="71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CH14 AAI Coordination</w:t>
            </w:r>
          </w:p>
        </w:tc>
        <w:tc>
          <w:tcPr>
            <w:tcW w:type="dxa" w:w="12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 dedicated PHY — logical delivery only</w:t>
            </w:r>
          </w:p>
        </w:tc>
        <w:tc>
          <w:tcPr>
            <w:tcW w:type="dxa" w:w="74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a physical channel: CH14 is realized as inter-cube traffic through the Network Adapter/Cube Frame multiplexing defined in Section 6, using idle channel capacity within the E2E parallel structure (Att2 §8.1–§8.2) — not a fixed point-to-point link. See §6.4.</w:t>
            </w:r>
          </w:p>
        </w:tc>
      </w:tr>
      <w:tr>
        <w:tc>
          <w:tcPr>
            <w:tcW w:type="dxa" w:w="71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CH15 Audit/Evidence</w:t>
            </w:r>
          </w:p>
        </w:tc>
        <w:tc>
          <w:tcPr>
            <w:tcW w:type="dxa" w:w="12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 external PHY — internal only</w:t>
            </w:r>
          </w:p>
        </w:tc>
        <w:tc>
          <w:tcPr>
            <w:tcW w:type="dxa" w:w="74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Directly backed by the WORM_SECTOR_LOCK infrastructure (Section 1); this channel is a register-level construct, not a sensor-facing electrical interface</w:t>
            </w:r>
          </w:p>
        </w:tc>
      </w:tr>
      <w:tr>
        <w:tc>
          <w:tcPr>
            <w:tcW w:type="dxa" w:w="71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EAI CH16 Redundant Link</w:t>
            </w:r>
          </w:p>
        </w:tc>
        <w:tc>
          <w:tcPr>
            <w:tcW w:type="dxa" w:w="12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Inherits the PHY of the channel it backs up</w:t>
            </w:r>
          </w:p>
        </w:tc>
        <w:tc>
          <w:tcPr>
            <w:tcW w:type="dxa" w:w="742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Hot-standby redundancy activated on fault, per the CH16 definition in Att2 Table 3-3; has no fixed PHY of its own</w:t>
            </w:r>
          </w:p>
        </w:tc>
      </w:tr>
    </w:tbl>
    <w:p>
      <w:pPr>
        <w:spacing w:after="80"/>
      </w:pPr>
    </w:p>
    <w:p>
      <w:pPr>
        <w:spacing w:after="160" w:before="40"/>
        <w:jc w:val="center"/>
      </w:pPr>
      <w:r>
        <w:rPr>
          <w:i/>
          <w:iCs/>
          <w:color w:val="595959"/>
          <w:sz w:val="18"/>
          <w:szCs w:val="18"/>
        </w:rPr>
        <w:t xml:space="preserve">Table 4-3. CH13–CH16 PHY specification</w:t>
      </w:r>
    </w:p>
    <w:p>
      <w:pPr>
        <w:pStyle w:val="Heading2"/>
        <w:spacing w:after="120" w:before="260"/>
      </w:pPr>
      <w:r>
        <w:t xml:space="preserve">4.3 Timing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43"/>
        <w:gridCol w:w="1678"/>
        <w:gridCol w:w="1766"/>
        <w:gridCol w:w="1325"/>
        <w:gridCol w:w="2648"/>
      </w:tblGrid>
      <w:tr>
        <w:trPr>
          <w:tblHeader/>
        </w:trPr>
        <w:tc>
          <w:tcPr>
            <w:tcW w:type="dxa" w:w="194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Interface</w:t>
            </w:r>
          </w:p>
        </w:tc>
        <w:tc>
          <w:tcPr>
            <w:tcW w:type="dxa" w:w="167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Max Speed</w:t>
            </w:r>
          </w:p>
        </w:tc>
        <w:tc>
          <w:tcPr>
            <w:tcW w:type="dxa" w:w="176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Setup Time</w:t>
            </w:r>
          </w:p>
        </w:tc>
        <w:tc>
          <w:tcPr>
            <w:tcW w:type="dxa" w:w="132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Hold Time</w:t>
            </w:r>
          </w:p>
        </w:tc>
        <w:tc>
          <w:tcPr>
            <w:tcW w:type="dxa" w:w="264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Skew Budget</w:t>
            </w:r>
          </w:p>
        </w:tc>
      </w:tr>
      <w:tr>
        <w:tc>
          <w:tcPr>
            <w:tcW w:type="dxa" w:w="194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MIPI CSI-2 (CH1)</w:t>
            </w:r>
          </w:p>
        </w:tc>
        <w:tc>
          <w:tcPr>
            <w:tcW w:type="dxa" w:w="16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1.5 Gbps/lane HS</w:t>
            </w:r>
          </w:p>
        </w:tc>
        <w:tc>
          <w:tcPr>
            <w:tcW w:type="dxa" w:w="17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UI/2 (HS mode)</w:t>
            </w:r>
          </w:p>
        </w:tc>
        <w:tc>
          <w:tcPr>
            <w:tcW w:type="dxa" w:w="1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UI/2 (HS mode)</w:t>
            </w:r>
          </w:p>
        </w:tc>
        <w:tc>
          <w:tcPr>
            <w:tcW w:type="dxa" w:w="26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&lt;100ps between lanes</w:t>
            </w:r>
          </w:p>
        </w:tc>
      </w:tr>
      <w:tr>
        <w:tc>
          <w:tcPr>
            <w:tcW w:type="dxa" w:w="194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I2S/PDM (CH2)</w:t>
            </w:r>
          </w:p>
        </w:tc>
        <w:tc>
          <w:tcPr>
            <w:tcW w:type="dxa" w:w="16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12.288 MHz BCLK</w:t>
            </w:r>
          </w:p>
        </w:tc>
        <w:tc>
          <w:tcPr>
            <w:tcW w:type="dxa" w:w="17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≥5ns</w:t>
            </w:r>
          </w:p>
        </w:tc>
        <w:tc>
          <w:tcPr>
            <w:tcW w:type="dxa" w:w="1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≥5ns</w:t>
            </w:r>
          </w:p>
        </w:tc>
        <w:tc>
          <w:tcPr>
            <w:tcW w:type="dxa" w:w="26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r>
      <w:tr>
        <w:tc>
          <w:tcPr>
            <w:tcW w:type="dxa" w:w="194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SPI (CH3/CH4/CH6/CH9)</w:t>
            </w:r>
          </w:p>
        </w:tc>
        <w:tc>
          <w:tcPr>
            <w:tcW w:type="dxa" w:w="16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≤10MHz typical</w:t>
            </w:r>
          </w:p>
        </w:tc>
        <w:tc>
          <w:tcPr>
            <w:tcW w:type="dxa" w:w="17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≥5ns</w:t>
            </w:r>
          </w:p>
        </w:tc>
        <w:tc>
          <w:tcPr>
            <w:tcW w:type="dxa" w:w="1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≥5ns</w:t>
            </w:r>
          </w:p>
        </w:tc>
        <w:tc>
          <w:tcPr>
            <w:tcW w:type="dxa" w:w="26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r>
      <w:tr>
        <w:tc>
          <w:tcPr>
            <w:tcW w:type="dxa" w:w="194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I2C (CH4/CH8)</w:t>
            </w:r>
          </w:p>
        </w:tc>
        <w:tc>
          <w:tcPr>
            <w:tcW w:type="dxa" w:w="16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100/400kHz</w:t>
            </w:r>
          </w:p>
        </w:tc>
        <w:tc>
          <w:tcPr>
            <w:tcW w:type="dxa" w:w="17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t(SU;DAT)≥100ns (FM)</w:t>
            </w:r>
          </w:p>
        </w:tc>
        <w:tc>
          <w:tcPr>
            <w:tcW w:type="dxa" w:w="1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t(HD;DAT)≥0ns</w:t>
            </w:r>
          </w:p>
        </w:tc>
        <w:tc>
          <w:tcPr>
            <w:tcW w:type="dxa" w:w="26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r>
      <w:tr>
        <w:tc>
          <w:tcPr>
            <w:tcW w:type="dxa" w:w="194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PCIe Gen4 (CH5)</w:t>
            </w:r>
          </w:p>
        </w:tc>
        <w:tc>
          <w:tcPr>
            <w:tcW w:type="dxa" w:w="16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 GT/s</w:t>
            </w:r>
          </w:p>
        </w:tc>
        <w:tc>
          <w:tcPr>
            <w:tcW w:type="dxa" w:w="17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UI=62.5ps</w:t>
            </w:r>
          </w:p>
        </w:tc>
        <w:tc>
          <w:tcPr>
            <w:tcW w:type="dxa" w:w="1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UI=62.5ps</w:t>
            </w:r>
          </w:p>
        </w:tc>
        <w:tc>
          <w:tcPr>
            <w:tcW w:type="dxa" w:w="26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 PCIe CEM jitter budget</w:t>
            </w:r>
          </w:p>
        </w:tc>
      </w:tr>
      <w:tr>
        <w:tc>
          <w:tcPr>
            <w:tcW w:type="dxa" w:w="194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CAN FD (CH6/CH7/CH10)</w:t>
            </w:r>
          </w:p>
        </w:tc>
        <w:tc>
          <w:tcPr>
            <w:tcW w:type="dxa" w:w="16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≤8Mbps (data phase)</w:t>
            </w:r>
          </w:p>
        </w:tc>
        <w:tc>
          <w:tcPr>
            <w:tcW w:type="dxa" w:w="17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 ISO 11898-1</w:t>
            </w:r>
          </w:p>
        </w:tc>
        <w:tc>
          <w:tcPr>
            <w:tcW w:type="dxa" w:w="1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 ISO 11898-1</w:t>
            </w:r>
          </w:p>
        </w:tc>
        <w:tc>
          <w:tcPr>
            <w:tcW w:type="dxa" w:w="26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r>
      <w:tr>
        <w:tc>
          <w:tcPr>
            <w:tcW w:type="dxa" w:w="194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relay (CH11)</w:t>
            </w:r>
          </w:p>
        </w:tc>
        <w:tc>
          <w:tcPr>
            <w:tcW w:type="dxa" w:w="16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 (mechanical)</w:t>
            </w:r>
          </w:p>
        </w:tc>
        <w:tc>
          <w:tcPr>
            <w:tcW w:type="dxa" w:w="176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c>
          <w:tcPr>
            <w:tcW w:type="dxa" w:w="132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c>
          <w:tcPr>
            <w:tcW w:type="dxa" w:w="26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Operate-time budget — see §5.4</w:t>
            </w:r>
          </w:p>
        </w:tc>
      </w:tr>
    </w:tbl>
    <w:p>
      <w:pPr>
        <w:spacing w:after="80"/>
      </w:pPr>
    </w:p>
    <w:p>
      <w:pPr>
        <w:spacing w:after="160" w:before="40"/>
        <w:jc w:val="center"/>
      </w:pPr>
      <w:r>
        <w:rPr>
          <w:i/>
          <w:iCs/>
          <w:color w:val="595959"/>
          <w:sz w:val="18"/>
          <w:szCs w:val="18"/>
        </w:rPr>
        <w:t xml:space="preserve">Table 4-4. Timing parameters by interface family</w:t>
      </w:r>
    </w:p>
    <w:p>
      <w:pPr>
        <w:pStyle w:val="Heading2"/>
        <w:spacing w:after="120" w:before="260"/>
      </w:pPr>
      <w:r>
        <w:t xml:space="preserve">4.4 Voltage Level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33"/>
        <w:gridCol w:w="1552"/>
        <w:gridCol w:w="1644"/>
        <w:gridCol w:w="1278"/>
        <w:gridCol w:w="3653"/>
      </w:tblGrid>
      <w:tr>
        <w:trPr>
          <w:tblHeader/>
        </w:trPr>
        <w:tc>
          <w:tcPr>
            <w:tcW w:type="dxa" w:w="123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Interface</w:t>
            </w:r>
          </w:p>
        </w:tc>
        <w:tc>
          <w:tcPr>
            <w:tcW w:type="dxa" w:w="155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VDD</w:t>
            </w:r>
          </w:p>
        </w:tc>
        <w:tc>
          <w:tcPr>
            <w:tcW w:type="dxa" w:w="1644"/>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VIH (min)</w:t>
            </w:r>
          </w:p>
        </w:tc>
        <w:tc>
          <w:tcPr>
            <w:tcW w:type="dxa" w:w="127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VIL (max)</w:t>
            </w:r>
          </w:p>
        </w:tc>
        <w:tc>
          <w:tcPr>
            <w:tcW w:type="dxa" w:w="365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Notes</w:t>
            </w:r>
          </w:p>
        </w:tc>
      </w:tr>
      <w:tr>
        <w:tc>
          <w:tcPr>
            <w:tcW w:type="dxa" w:w="12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MIPI CSI-2 (CH1)</w:t>
            </w:r>
          </w:p>
        </w:tc>
        <w:tc>
          <w:tcPr>
            <w:tcW w:type="dxa" w:w="15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1.1–1.2 V</w:t>
            </w:r>
          </w:p>
        </w:tc>
        <w:tc>
          <w:tcPr>
            <w:tcW w:type="dxa" w:w="1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HS: ~100mV differential swing</w:t>
            </w:r>
          </w:p>
        </w:tc>
        <w:tc>
          <w:tcPr>
            <w:tcW w:type="dxa" w:w="12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LP: 0.35×VDD</w:t>
            </w:r>
          </w:p>
        </w:tc>
        <w:tc>
          <w:tcPr>
            <w:tcW w:type="dxa" w:w="36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D-PHY HS is a low-swing differential scheme; single-ended VIH/VIL does not apply</w:t>
            </w:r>
          </w:p>
        </w:tc>
      </w:tr>
      <w:tr>
        <w:tc>
          <w:tcPr>
            <w:tcW w:type="dxa" w:w="12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I2S/PDM (CH2)</w:t>
            </w:r>
          </w:p>
        </w:tc>
        <w:tc>
          <w:tcPr>
            <w:tcW w:type="dxa" w:w="15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1.8 V / 3.3 V</w:t>
            </w:r>
          </w:p>
        </w:tc>
        <w:tc>
          <w:tcPr>
            <w:tcW w:type="dxa" w:w="1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0.65×VDD</w:t>
            </w:r>
          </w:p>
        </w:tc>
        <w:tc>
          <w:tcPr>
            <w:tcW w:type="dxa" w:w="12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0.35×VDD</w:t>
            </w:r>
          </w:p>
        </w:tc>
        <w:tc>
          <w:tcPr>
            <w:tcW w:type="dxa" w:w="36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LVCMOS</w:t>
            </w:r>
          </w:p>
        </w:tc>
      </w:tr>
      <w:tr>
        <w:tc>
          <w:tcPr>
            <w:tcW w:type="dxa" w:w="12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UART/SPI (CH3)</w:t>
            </w:r>
          </w:p>
        </w:tc>
        <w:tc>
          <w:tcPr>
            <w:tcW w:type="dxa" w:w="15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3.3 V</w:t>
            </w:r>
          </w:p>
        </w:tc>
        <w:tc>
          <w:tcPr>
            <w:tcW w:type="dxa" w:w="1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2.0 V</w:t>
            </w:r>
          </w:p>
        </w:tc>
        <w:tc>
          <w:tcPr>
            <w:tcW w:type="dxa" w:w="12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0.8 V</w:t>
            </w:r>
          </w:p>
        </w:tc>
        <w:tc>
          <w:tcPr>
            <w:tcW w:type="dxa" w:w="36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LVCMOS</w:t>
            </w:r>
          </w:p>
        </w:tc>
      </w:tr>
      <w:tr>
        <w:tc>
          <w:tcPr>
            <w:tcW w:type="dxa" w:w="12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SPI/I2C (CH4/CH8)</w:t>
            </w:r>
          </w:p>
        </w:tc>
        <w:tc>
          <w:tcPr>
            <w:tcW w:type="dxa" w:w="15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1.8 V / 3.3 V</w:t>
            </w:r>
          </w:p>
        </w:tc>
        <w:tc>
          <w:tcPr>
            <w:tcW w:type="dxa" w:w="1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0.7×VDD (I2C)</w:t>
            </w:r>
          </w:p>
        </w:tc>
        <w:tc>
          <w:tcPr>
            <w:tcW w:type="dxa" w:w="12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0.3×VDD (I2C)</w:t>
            </w:r>
          </w:p>
        </w:tc>
        <w:tc>
          <w:tcPr>
            <w:tcW w:type="dxa" w:w="36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I2C open-drain, requires external pull-up</w:t>
            </w:r>
          </w:p>
        </w:tc>
      </w:tr>
      <w:tr>
        <w:tc>
          <w:tcPr>
            <w:tcW w:type="dxa" w:w="12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PCIe Gen4 (CH5)</w:t>
            </w:r>
          </w:p>
        </w:tc>
        <w:tc>
          <w:tcPr>
            <w:tcW w:type="dxa" w:w="15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c>
          <w:tcPr>
            <w:tcW w:type="dxa" w:w="1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0.4V differential swing (AC-coupled)</w:t>
            </w:r>
          </w:p>
        </w:tc>
        <w:tc>
          <w:tcPr>
            <w:tcW w:type="dxa" w:w="12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c>
          <w:tcPr>
            <w:tcW w:type="dxa" w:w="36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NRZ differential, not LVCMOS levels</w:t>
            </w:r>
          </w:p>
        </w:tc>
      </w:tr>
      <w:tr>
        <w:tc>
          <w:tcPr>
            <w:tcW w:type="dxa" w:w="12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CAN / CAN FD (CH6/CH7/CH10)</w:t>
            </w:r>
          </w:p>
        </w:tc>
        <w:tc>
          <w:tcPr>
            <w:tcW w:type="dxa" w:w="15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5V bus, 3.3V logic</w:t>
            </w:r>
          </w:p>
        </w:tc>
        <w:tc>
          <w:tcPr>
            <w:tcW w:type="dxa" w:w="1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Dominant differential ≥0.9V</w:t>
            </w:r>
          </w:p>
        </w:tc>
        <w:tc>
          <w:tcPr>
            <w:tcW w:type="dxa" w:w="12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Recessive differential ≤0.5V</w:t>
            </w:r>
          </w:p>
        </w:tc>
        <w:tc>
          <w:tcPr>
            <w:tcW w:type="dxa" w:w="36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ISO 11898-1/-2 CANH/CANL differential</w:t>
            </w:r>
          </w:p>
        </w:tc>
      </w:tr>
      <w:tr>
        <w:tc>
          <w:tcPr>
            <w:tcW w:type="dxa" w:w="12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relay (CH11)</w:t>
            </w:r>
          </w:p>
        </w:tc>
        <w:tc>
          <w:tcPr>
            <w:tcW w:type="dxa" w:w="155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24V DC (typical, install-specific)</w:t>
            </w:r>
          </w:p>
        </w:tc>
        <w:tc>
          <w:tcPr>
            <w:tcW w:type="dxa" w:w="1644"/>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c>
          <w:tcPr>
            <w:tcW w:type="dxa" w:w="127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N/A</w:t>
            </w:r>
          </w:p>
        </w:tc>
        <w:tc>
          <w:tcPr>
            <w:tcW w:type="dxa" w:w="36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Contact rating and coil spec are implementation-layer/vendor choices</w:t>
            </w:r>
          </w:p>
        </w:tc>
      </w:tr>
    </w:tbl>
    <w:p>
      <w:pPr>
        <w:spacing w:after="80"/>
      </w:pPr>
    </w:p>
    <w:p>
      <w:pPr>
        <w:spacing w:after="160" w:before="40"/>
        <w:jc w:val="center"/>
      </w:pPr>
      <w:r>
        <w:rPr>
          <w:i/>
          <w:iCs/>
          <w:color w:val="595959"/>
          <w:sz w:val="18"/>
          <w:szCs w:val="18"/>
        </w:rPr>
        <w:t xml:space="preserve">Table 4-5. Voltage level specification by interface family</w:t>
      </w:r>
    </w:p>
    <w:p>
      <w:pPr>
        <w:pStyle w:val="Heading1"/>
        <w:spacing w:after="120" w:before="260"/>
      </w:pPr>
      <w:r>
        <w:t xml:space="preserve">5. EAI CH11 Safety Override — Functional Safety Design</w:t>
      </w:r>
    </w:p>
    <w:p>
      <w:pPr>
        <w:spacing w:after="140"/>
      </w:pPr>
      <w:r>
        <w:t xml:space="preserve">An independent power supply and a hardwired relay (Att2 Table 5-2) are physical requirements. This section specifies the state machine, diagnostic coverage, safety registers, and response-time budget needed to bring CH11 within functional-safety certification scope.</w:t>
      </w:r>
    </w:p>
    <w:p>
      <w:pPr>
        <w:pStyle w:val="Heading2"/>
        <w:spacing w:after="120" w:before="260"/>
      </w:pPr>
      <w:r>
        <w:t xml:space="preserve">5.1 Safety Concept</w:t>
      </w:r>
    </w:p>
    <w:p>
      <w:pPr>
        <w:spacing w:after="140"/>
      </w:pPr>
      <w:r>
        <w:t xml:space="preserve">CH11 targets diagnostic coverage ≥90% for dangerous failure modes, in the spirit of IEC 61508 SIL-2 practice. This is a design target for the certification procedure defined in Section 7, not a claim of existing third-party certification. The core principle carried forward from Att2 Table 5-2 is retained and extended unchanged: CH11 cannot be reached through any register, bus, or logic path shared with WORM/HBF/Transform Engine, and the diagnostic functions below only observe those systems — they do not depend on them to operate.</w:t>
      </w:r>
    </w:p>
    <w:p>
      <w:pPr>
        <w:pStyle w:val="Heading2"/>
        <w:spacing w:after="120" w:before="260"/>
      </w:pPr>
      <w:r>
        <w:t xml:space="preserve">5.1.1 Relay Specification — Force-Guided Contacts</w:t>
      </w:r>
    </w:p>
    <w:p>
      <w:pPr>
        <w:spacing w:after="140"/>
      </w:pPr>
      <w:r>
        <w:t xml:space="preserve">The physical relay implementing the SAFE_STOP cutoff is specified as a force-guided relay compliant with EN 50205, not a general-purpose relay. A force-guided construction mechanically links the NO contact set and the NC contact set so that a single fault (e.g., a welded contact) cannot leave both closed simultaneously. This lets the NC contact independently verify the actual physical position of the NO (load) contact, rather than relying solely on the drive/command signal.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1"/>
        <w:gridCol w:w="3446"/>
        <w:gridCol w:w="4553"/>
      </w:tblGrid>
      <w:tr>
        <w:trPr>
          <w:tblHeader/>
        </w:trPr>
        <w:tc>
          <w:tcPr>
            <w:tcW w:type="dxa" w:w="1361"/>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Parameter</w:t>
            </w:r>
          </w:p>
        </w:tc>
        <w:tc>
          <w:tcPr>
            <w:tcW w:type="dxa" w:w="344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Specification</w:t>
            </w:r>
          </w:p>
        </w:tc>
        <w:tc>
          <w:tcPr>
            <w:tcW w:type="dxa" w:w="455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Notes</w:t>
            </w:r>
          </w:p>
        </w:tc>
      </w:tr>
      <w:tr>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Relay type</w:t>
            </w:r>
          </w:p>
        </w:tc>
        <w:tc>
          <w:tcPr>
            <w:tcW w:type="dxa" w:w="344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Force-guided relay, EN 50205 Type A or B</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Not a general-purpose relay</w:t>
            </w:r>
          </w:p>
        </w:tc>
      </w:tr>
      <w:tr>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Contact configuration</w:t>
            </w:r>
          </w:p>
        </w:tc>
        <w:tc>
          <w:tcPr>
            <w:tcW w:type="dxa" w:w="344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 NO (load path) + ≥1 NC (monitor path), mechanically interlocked</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The NC contact is wired to NC_CONTACT_MISMATCH in Table 5-3 and used for independent state verification</w:t>
            </w:r>
          </w:p>
        </w:tc>
      </w:tr>
      <w:tr>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Failure mode on contact welding</w:t>
            </w:r>
          </w:p>
        </w:tc>
        <w:tc>
          <w:tcPr>
            <w:tcW w:type="dxa" w:w="344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Simultaneous NO/NC agreement is mechanically prevented</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Welding of one contact set is not concealed and is detectable as an NC/NO mismatch</w:t>
            </w:r>
          </w:p>
        </w:tc>
      </w:tr>
      <w:tr>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Coil drive scheme</w:t>
            </w:r>
          </w:p>
        </w:tc>
        <w:tc>
          <w:tcPr>
            <w:tcW w:type="dxa" w:w="344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De-energize-to-open (fail-safe), consistent with the Table 5-2 SAFE_STOP behavior</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Opens by default on loss of drive signal or power — consistent with the fail-safe requirement</w:t>
            </w:r>
          </w:p>
        </w:tc>
      </w:tr>
      <w:tr>
        <w:tc>
          <w:tcPr>
            <w:tcW w:type="dxa" w:w="1361"/>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Rated mechanical/electrical life</w:t>
            </w:r>
          </w:p>
        </w:tc>
        <w:tc>
          <w:tcPr>
            <w:tcW w:type="dxa" w:w="344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Implementation-layer/vendor choice</w:t>
            </w:r>
          </w:p>
        </w:tc>
        <w:tc>
          <w:tcPr>
            <w:tcW w:type="dxa" w:w="455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Outside standardization scope; only the force-guided construction and monitoring interface are standardized</w:t>
            </w:r>
          </w:p>
        </w:tc>
      </w:tr>
    </w:tbl>
    <w:p>
      <w:pPr>
        <w:spacing w:after="80"/>
      </w:pPr>
    </w:p>
    <w:p>
      <w:pPr>
        <w:spacing w:after="160" w:before="40"/>
        <w:jc w:val="center"/>
      </w:pPr>
      <w:r>
        <w:rPr>
          <w:i/>
          <w:iCs/>
          <w:color w:val="595959"/>
          <w:sz w:val="18"/>
          <w:szCs w:val="18"/>
        </w:rPr>
        <w:t xml:space="preserve">Table 5-1. CH11 relay physical specification</w:t>
      </w:r>
    </w:p>
    <w:p>
      <w:pPr>
        <w:spacing w:after="140"/>
      </w:pPr>
      <w:r>
        <w:t xml:space="preserve">POWER_HEALTH_REG (Table 5-3) is extended with an NC_CONTACT_MISMATCH bit driven by this monitor contact, closing the gap between "SAFE_STOP was commanded" and "the contact is actually open" that the drive signal alone cannot detect.</w:t>
      </w:r>
    </w:p>
    <w:p>
      <w:pPr>
        <w:spacing w:after="160" w:before="40"/>
        <w:jc w:val="center"/>
      </w:pPr>
      <w:r>
        <w:rPr>
          <w:i/>
          <w:iCs/>
          <w:color w:val="595959"/>
          <w:sz w:val="18"/>
          <w:szCs w:val="18"/>
        </w:rPr>
        <w:t xml:space="preserve">Figure 5-1. CH11 safety state machine and diagnostic loop</w:t>
      </w:r>
    </w:p>
    <w:p>
      <w:pPr>
        <w:pStyle w:val="Heading2"/>
        <w:spacing w:after="120" w:before="260"/>
      </w:pPr>
      <w:r>
        <w:t xml:space="preserve">5.2 Safety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22"/>
        <w:gridCol w:w="4438"/>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State</w:t>
            </w:r>
          </w:p>
        </w:tc>
        <w:tc>
          <w:tcPr>
            <w:tcW w:type="dxa" w:w="422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Condition</w:t>
            </w:r>
          </w:p>
        </w:tc>
        <w:tc>
          <w:tcPr>
            <w:tcW w:type="dxa" w:w="443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Action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NORMAL</w:t>
            </w:r>
          </w:p>
        </w:tc>
        <w:tc>
          <w:tcPr>
            <w:tcW w:type="dxa" w:w="42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POWER_HEALTH_REG normal, WATCHDOG_TIMER not expired</w:t>
            </w:r>
          </w:p>
        </w:tc>
        <w:tc>
          <w:tcPr>
            <w:tcW w:type="dxa" w:w="44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Relay held closed by active drive; E2E #2 control plane operates normally</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DEGRADED</w:t>
            </w:r>
          </w:p>
        </w:tc>
        <w:tc>
          <w:tcPr>
            <w:tcW w:type="dxa" w:w="42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Single fault: one of {Main PSU, Backup UPS/supercapacitor, heartbeat} flagged, redundant path still normal</w:t>
            </w:r>
          </w:p>
        </w:tc>
        <w:tc>
          <w:tcPr>
            <w:tcW w:type="dxa" w:w="44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Relay held closed; fault logged (unified audit format of §1.4/2.4); AAI notified via the CH14 coordination channel</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SAFE_STOP</w:t>
            </w:r>
          </w:p>
        </w:tc>
        <w:tc>
          <w:tcPr>
            <w:tcW w:type="dxa" w:w="422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Simultaneous second fault, or explicit override command, or watchdog expiry</w:t>
            </w:r>
          </w:p>
        </w:tc>
        <w:tc>
          <w:tcPr>
            <w:tcW w:type="dxa" w:w="443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Relay opens (fail-safe = de-energized open); independent power sustains the controller and audit logging for ≥30 seconds</w:t>
            </w:r>
          </w:p>
        </w:tc>
      </w:tr>
    </w:tbl>
    <w:p>
      <w:pPr>
        <w:spacing w:after="80"/>
      </w:pPr>
    </w:p>
    <w:p>
      <w:pPr>
        <w:spacing w:after="160" w:before="40"/>
        <w:jc w:val="center"/>
      </w:pPr>
      <w:r>
        <w:rPr>
          <w:i/>
          <w:iCs/>
          <w:color w:val="595959"/>
          <w:sz w:val="18"/>
          <w:szCs w:val="18"/>
        </w:rPr>
        <w:t xml:space="preserve">Table 5-2. CH11 safety state definitions</w:t>
      </w:r>
    </w:p>
    <w:p>
      <w:pPr>
        <w:spacing w:after="140"/>
      </w:pPr>
      <w:r>
        <w:t xml:space="preserve">Recovery from DEGRADED to NORMAL requires the fault condition to clear and self-test to pass. SAFE_STOP is latched and requires an explicit out-of-band reset rather than a register write reachable from the shared bus — consistent with the principle of keeping CH11 outside every shared logic domain.</w:t>
      </w:r>
    </w:p>
    <w:p>
      <w:pPr>
        <w:pStyle w:val="Heading2"/>
        <w:spacing w:after="120" w:before="260"/>
      </w:pPr>
      <w:r>
        <w:t xml:space="preserve">5.3 Safety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45"/>
        <w:gridCol w:w="700"/>
        <w:gridCol w:w="7715"/>
      </w:tblGrid>
      <w:tr>
        <w:trPr>
          <w:tblHeader/>
        </w:trPr>
        <w:tc>
          <w:tcPr>
            <w:tcW w:type="dxa" w:w="94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Register</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715"/>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9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SAFETY_STATE_REG</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7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0x0 NORMAL · 0x1 DEGRADED · 0x2 SAFE_STOP (latched, requires out-of-band release)</w:t>
            </w:r>
          </w:p>
        </w:tc>
      </w:tr>
      <w:tr>
        <w:tc>
          <w:tcPr>
            <w:tcW w:type="dxa" w:w="9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WATCHDOG_TIMER</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7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Counts down from the heartbeat period; the E2E#1↔CH11 heartbeat per the Att2 Table 5-2 fault-propagation model</w:t>
            </w:r>
          </w:p>
        </w:tc>
      </w:tr>
      <w:tr>
        <w:tc>
          <w:tcPr>
            <w:tcW w:type="dxa" w:w="9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POWER_HEALTH_REG</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7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Bit 0: MAIN_PSU_OK · Bit 1: BACKUP_UPS_OK · Bit 2: SUPERCAP_CHARGE_OK · Bit 3: CROSS_CHECK_MISMATCH · Bit 4: NC_CONTACT_MISMATCH (force-guided relay NC/NO mismatch, §5.1.1)</w:t>
            </w:r>
          </w:p>
        </w:tc>
      </w:tr>
      <w:tr>
        <w:tc>
          <w:tcPr>
            <w:tcW w:type="dxa" w:w="94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OVERRIDE_TRIGGER_REG</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715"/>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Bit 0: MANUAL_TRIGGER (physical, not register-issued) · Bit 1: WATCHDOG_TRIGGER · Bit 2: DUAL_FAULT_TRIGGER — records the cause of SAFE_STOP entry for post-incident audit</w:t>
            </w:r>
          </w:p>
        </w:tc>
      </w:tr>
    </w:tbl>
    <w:p>
      <w:pPr>
        <w:spacing w:after="80"/>
      </w:pPr>
    </w:p>
    <w:p>
      <w:pPr>
        <w:spacing w:after="160" w:before="40"/>
        <w:jc w:val="center"/>
      </w:pPr>
      <w:r>
        <w:rPr>
          <w:i/>
          <w:iCs/>
          <w:color w:val="595959"/>
          <w:sz w:val="18"/>
          <w:szCs w:val="18"/>
        </w:rPr>
        <w:t xml:space="preserve">Table 5-3. CH11 safety register summary — every register is readable-observable from the shared-bus side for logging purposes only; none of the registers in this list can command a state transition from the shared-bus side</w:t>
      </w:r>
    </w:p>
    <w:p>
      <w:pPr>
        <w:pStyle w:val="Heading2"/>
        <w:spacing w:after="120" w:before="260"/>
      </w:pPr>
      <w:r>
        <w:t xml:space="preserve">5.4 Response-Time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8"/>
        <w:gridCol w:w="700"/>
        <w:gridCol w:w="7312"/>
      </w:tblGrid>
      <w:tr>
        <w:trPr>
          <w:tblHeader/>
        </w:trPr>
        <w:tc>
          <w:tcPr>
            <w:tcW w:type="dxa" w:w="134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Stage</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Target Latency</w:t>
            </w:r>
          </w:p>
        </w:tc>
        <w:tc>
          <w:tcPr>
            <w:tcW w:type="dxa" w:w="731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Basis</w:t>
            </w:r>
          </w:p>
        </w:tc>
      </w:tr>
      <w:tr>
        <w:tc>
          <w:tcPr>
            <w:tcW w:type="dxa" w:w="13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Fault detection</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&lt;10ms</w:t>
            </w:r>
          </w:p>
        </w:tc>
        <w:tc>
          <w:tcPr>
            <w:tcW w:type="dxa" w:w="7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POWER_HEALTH_REG cross-check comparator cycle</w:t>
            </w:r>
          </w:p>
        </w:tc>
      </w:tr>
      <w:tr>
        <w:tc>
          <w:tcPr>
            <w:tcW w:type="dxa" w:w="13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State transition (DEGRADED/SAFE_STOP)</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&lt;5ms</w:t>
            </w:r>
          </w:p>
        </w:tc>
        <w:tc>
          <w:tcPr>
            <w:tcW w:type="dxa" w:w="7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Hardwired state machine, no dependency on software scheduling</w:t>
            </w:r>
          </w:p>
        </w:tc>
      </w:tr>
      <w:tr>
        <w:tc>
          <w:tcPr>
            <w:tcW w:type="dxa" w:w="13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Relay physical operate time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&lt;15ms</w:t>
            </w:r>
          </w:p>
        </w:tc>
        <w:tc>
          <w:tcPr>
            <w:tcW w:type="dxa" w:w="7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Typical electromechanical relay opening time; specific part is an implementation-layer/vendor choice</w:t>
            </w:r>
          </w:p>
        </w:tc>
      </w:tr>
      <w:tr>
        <w:tc>
          <w:tcPr>
            <w:tcW w:type="dxa" w:w="13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Worst-case fault-to-open time</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&lt;30ms</w:t>
            </w:r>
          </w:p>
        </w:tc>
        <w:tc>
          <w:tcPr>
            <w:tcW w:type="dxa" w:w="7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Sum of the items above — independent of, and much faster than, the ≥30-second hold requirement (which governs the controlled shutdown procedure after the trip, not the trip time itself)</w:t>
            </w:r>
          </w:p>
        </w:tc>
      </w:tr>
      <w:tr>
        <w:tc>
          <w:tcPr>
            <w:tcW w:type="dxa" w:w="134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Independent power sizing</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 ≥ (I × t) / ΔV</w:t>
            </w:r>
          </w:p>
        </w:tc>
        <w:tc>
          <w:tcPr>
            <w:tcW w:type="dxa" w:w="731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Sizes the supercapacitor bank so the CH11 controller + relay hold current I is sustained for hold time t=30s within an allowable voltage drop ΔV; exact capacitance is an implementation-layer/vendor choice</w:t>
            </w:r>
          </w:p>
        </w:tc>
      </w:tr>
    </w:tbl>
    <w:p>
      <w:pPr>
        <w:spacing w:after="80"/>
      </w:pPr>
    </w:p>
    <w:p>
      <w:pPr>
        <w:spacing w:after="160" w:before="40"/>
        <w:jc w:val="center"/>
      </w:pPr>
      <w:r>
        <w:rPr>
          <w:i/>
          <w:iCs/>
          <w:color w:val="595959"/>
          <w:sz w:val="18"/>
          <w:szCs w:val="18"/>
        </w:rPr>
        <w:t xml:space="preserve">Table 5-4. CH11 response-time and power-sizing budget</w:t>
      </w:r>
    </w:p>
    <w:p>
      <w:pPr>
        <w:pStyle w:val="Heading2"/>
        <w:spacing w:after="120" w:before="260"/>
      </w:pPr>
      <w:r>
        <w:t xml:space="preserve">5.5 E2E Center Governance Profile — Human-in-the-Loop Interface</w:t>
      </w:r>
    </w:p>
    <w:p>
      <w:pPr>
        <w:spacing w:after="140"/>
      </w:pPr>
      <w:r>
        <w:t xml:space="preserve">EAI and PAI differ not only in deployment location (Att2 §1.1) but also in the required granularity of governance. Att2 Table 4-2 already distinguishes the two at the M-Axis level — EAI accumulates "mission experience" on a per-incident basis, while PAI's M-Axis operates at the aggregated level of "interpretation tags, policy updates." This document extends that distinction to the governance layer: because the E2E Center (unlike an AI Data Center) is a location where personnel are physically present, an individual EAI incident by default falls within the scope of human-operator intervention before, or independently of, AAI's aggregate-level Approve/Reject governance (Att2 §9.2).</w:t>
      </w:r>
    </w:p>
    <w:p>
      <w:pPr>
        <w:spacing w:after="140"/>
      </w:pPr>
      <w:r>
        <w:t xml:space="preserve">The specific degree of human intervention is deliberately not standardized in this document. A city patrol-robot center and a disaster-response center may weight human intervention differently, and fixing the axes or thresholds of that weighting would conflict with the standardization boundary already established in Att2 §9.3 (structure and interfaces are standardized; specific policies and algorithms are not). What is standardized is only the existence of the configuration point itself, and its interface with the two channels already defined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Term</w:t>
            </w:r>
          </w:p>
        </w:tc>
        <w:tc>
          <w:tcPr>
            <w:tcW w:type="dxa" w:w="86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Definition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E2E Center Governance Profile</w:t>
            </w:r>
          </w:p>
        </w:tc>
        <w:tc>
          <w:tcPr>
            <w:tcW w:type="dxa" w:w="86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 per-deployment configuration point that specifies the degree of human-in-the-loop involvement for individual EAI incidents. The specific axes and thresholds are deliberately left to each deployment site (e.g., a city patrol-robot center and a disaster-response center may carry different weightings) and are out of standardization scope — only the existence of this configuration point, and its interface with the CH11 MANUAL_TRIGGER and AAI escalation paths, is standardized.</w:t>
            </w:r>
          </w:p>
        </w:tc>
      </w:tr>
    </w:tbl>
    <w:p>
      <w:pPr>
        <w:spacing w:after="80"/>
      </w:pPr>
    </w:p>
    <w:p>
      <w:pPr>
        <w:spacing w:after="160" w:before="40"/>
        <w:jc w:val="center"/>
      </w:pPr>
      <w:r>
        <w:rPr>
          <w:i/>
          <w:iCs/>
          <w:color w:val="595959"/>
          <w:sz w:val="18"/>
          <w:szCs w:val="18"/>
        </w:rPr>
        <w:t xml:space="preserve">Table 5-5. E2E Center Governance Profile — definition</w:t>
      </w:r>
    </w:p>
    <w:p>
      <w:pPr>
        <w:pStyle w:val="Heading2"/>
        <w:spacing w:after="120" w:before="260"/>
      </w:pPr>
      <w:r>
        <w:t xml:space="preserve">5.6 EAI_GOV_PROFILE_REG</w:t>
      </w:r>
    </w:p>
    <w:p>
      <w:pPr>
        <w:spacing w:after="140"/>
      </w:pPr>
      <w:r>
        <w:t xml:space="preserve">Defines a minimal hook register that makes the existence of the Governance Profile and its two standardized interface points machine-readable, without encoding the policy content itself. Each bitfield has a distinct access type — OTP (one-time-programmed, set at deployment, not runtime-changeable) or RW (runtime-adjustable) — because whether a field is reconfigurable is a register-level property independent of the policy content it points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260"/>
      </w:tblGrid>
      <w:tr>
        <w:trPr>
          <w:tblHeader/>
        </w:trPr>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Bit</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Access</w:t>
            </w:r>
          </w:p>
        </w:tc>
        <w:tc>
          <w:tcPr>
            <w:tcW w:type="dxa" w:w="726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HUMAN_IN_LOOP_EN</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OTP</w:t>
            </w:r>
          </w:p>
        </w:tc>
        <w:tc>
          <w:tcPr>
            <w:tcW w:type="dxa" w:w="7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Set at deployment; defaults to reflecting that human presence is a defining characteristic of EAI (Att2 §1.1). Not runtime-changeable — turning human involvement itself on or off is treated as a redeployment-level decision, not an operational one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AUTO_ESCALATION_EN</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RW</w:t>
            </w:r>
          </w:p>
        </w:tc>
        <w:tc>
          <w:tcPr>
            <w:tcW w:type="dxa" w:w="7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Whether an individual incident is automatically forwarded to AAI's aggregate governance, or only after local processing; adjustable at runtime by the resident operator or AAI within deployment-policy scope</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[7:2]</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RESERVED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t>
            </w:r>
          </w:p>
        </w:tc>
        <w:tc>
          <w:tcPr>
            <w:tcW w:type="dxa" w:w="7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Fixed 0b000000</w:t>
            </w:r>
          </w:p>
        </w:tc>
      </w:tr>
      <w:tr>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[15:8]</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PROFILE_ID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OTP</w:t>
            </w:r>
          </w:p>
        </w:tc>
        <w:tc>
          <w:tcPr>
            <w:tcW w:type="dxa" w:w="726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Opaque identifier pointing to a per-deployment profile, fixed at deployment; the profile content itself is out of standardization scope</w:t>
            </w:r>
          </w:p>
        </w:tc>
      </w:tr>
    </w:tbl>
    <w:p>
      <w:pPr>
        <w:spacing w:after="80"/>
      </w:pPr>
    </w:p>
    <w:p>
      <w:pPr>
        <w:spacing w:after="160" w:before="40"/>
        <w:jc w:val="center"/>
      </w:pPr>
      <w:r>
        <w:rPr>
          <w:i/>
          <w:iCs/>
          <w:color w:val="595959"/>
          <w:sz w:val="18"/>
          <w:szCs w:val="18"/>
        </w:rPr>
        <w:t xml:space="preserve">Table 5-6. EAI_GOV_PROFILE_REG — interfaces with OVERRIDE_TRIGGER_REG (§5.3, MANUAL_TRIGGER) and the AAI escalation path (Att2 §9.1); does not itself carry policy content</w:t>
      </w:r>
    </w:p>
    <w:p>
      <w:pPr>
        <w:spacing w:after="140"/>
      </w:pPr>
      <w:r>
        <w:t xml:space="preserve">Under this model, when HUMAN_IN_LOOP_EN is set, an individual EAI incident reaches the resident operator through the same physical MANUAL_TRIGGER path already defined in §5.3 — no new physical channel is introduced. What AUTO_ESCALATION_EN determines is whether AAI's aggregate-level governance (Att2 §9.2) sees that incident as a raw individual event, or only after it has already been processed locally and folded into aggregated data — while PAI's aggregate-only granularity (Att2 Table 4-2) is preserved unchanged.</w:t>
      </w:r>
    </w:p>
    <w:p>
      <w:pPr>
        <w:pStyle w:val="Heading1"/>
        <w:spacing w:after="120" w:before="260"/>
      </w:pPr>
      <w:r>
        <w:t xml:space="preserve">6. Network Adapter — L4/L5 Boundary Interface</w:t>
      </w:r>
    </w:p>
    <w:p>
      <w:pPr>
        <w:spacing w:after="140"/>
      </w:pPr>
      <w:r>
        <w:t xml:space="preserve">Att2 stops at the output of Dedicated Equipment Block B (MUX Engine, now defined at the register level in §3.3): it states only that the 24-core Bundle heads "toward the D12 AAI node" (Att2 §5.1, §7.2), without previously defining the interface between that Bundle and the upper network layer. Att2 §9.3 excludes generic network transport protocols from standardization scope, but the physical/framing handoff at this boundary is the last Velsanet-owned interface before the cube leaves Velsanet-owned equipment, and it carries the SEU_ID and ACL_PERM fields defined in Sections 1–2.</w:t>
      </w:r>
    </w:p>
    <w:p>
      <w:pPr>
        <w:spacing w:after="160" w:before="40"/>
        <w:jc w:val="center"/>
      </w:pPr>
      <w:r>
        <w:rPr>
          <w:i/>
          <w:iCs/>
          <w:color w:val="595959"/>
          <w:sz w:val="18"/>
          <w:szCs w:val="18"/>
        </w:rPr>
        <w:t xml:space="preserve">Figure 6-1. Network Adapter boundary</w:t>
      </w:r>
    </w:p>
    <w:p>
      <w:pPr>
        <w:pStyle w:val="Heading2"/>
        <w:spacing w:after="120" w:before="260"/>
      </w:pPr>
      <w:r>
        <w:t xml:space="preserve">6.1 Cube Frame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7"/>
        <w:gridCol w:w="700"/>
        <w:gridCol w:w="7633"/>
      </w:tblGrid>
      <w:tr>
        <w:trPr>
          <w:tblHeader/>
        </w:trPr>
        <w:tc>
          <w:tcPr>
            <w:tcW w:type="dxa" w:w="102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Field</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633"/>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Source</w:t>
            </w:r>
          </w:p>
        </w:tc>
      </w:tr>
      <w:tr>
        <w:tc>
          <w:tcPr>
            <w:tcW w:type="dxa" w:w="10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80-bit</w:t>
            </w:r>
          </w:p>
        </w:tc>
        <w:tc>
          <w:tcPr>
            <w:tcW w:type="dxa" w:w="76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T-Axis Timestamp Engine output (§1.1, offset 0x20)</w:t>
            </w:r>
          </w:p>
        </w:tc>
      </w:tr>
      <w:tr>
        <w:tc>
          <w:tcPr>
            <w:tcW w:type="dxa" w:w="10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AXIS_ID</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4-bit</w:t>
            </w:r>
          </w:p>
        </w:tc>
        <w:tc>
          <w:tcPr>
            <w:tcW w:type="dxa" w:w="76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Axis of the payload cube (T=0, C=1, I=2, E=3, M=4)</w:t>
            </w:r>
          </w:p>
        </w:tc>
      </w:tr>
      <w:tr>
        <w:tc>
          <w:tcPr>
            <w:tcW w:type="dxa" w:w="10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ACL_PERM</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6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Permission value resolved for that payload's axis (§2.1, Table 2-2)</w:t>
            </w:r>
          </w:p>
        </w:tc>
      </w:tr>
      <w:tr>
        <w:tc>
          <w:tcPr>
            <w:tcW w:type="dxa" w:w="102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FRAME_LEN</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633"/>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Payload length in bytes</w:t>
            </w:r>
          </w:p>
        </w:tc>
      </w:tr>
    </w:tbl>
    <w:p>
      <w:pPr>
        <w:spacing w:after="80"/>
      </w:pPr>
    </w:p>
    <w:p>
      <w:pPr>
        <w:spacing w:after="160" w:before="40"/>
        <w:jc w:val="center"/>
      </w:pPr>
      <w:r>
        <w:rPr>
          <w:i/>
          <w:iCs/>
          <w:color w:val="595959"/>
          <w:sz w:val="18"/>
          <w:szCs w:val="18"/>
        </w:rPr>
        <w:t xml:space="preserve">Table 6-1. Cube Frame header — 108-bit fixed prefix</w:t>
      </w:r>
    </w:p>
    <w:p>
      <w:pPr>
        <w:pStyle w:val="Heading2"/>
        <w:spacing w:after="120" w:before="260"/>
      </w:pPr>
      <w:r>
        <w:t xml:space="preserve">6.2 Adapter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8"/>
        <w:gridCol w:w="700"/>
        <w:gridCol w:w="7402"/>
      </w:tblGrid>
      <w:tr>
        <w:trPr>
          <w:tblHeader/>
        </w:trPr>
        <w:tc>
          <w:tcPr>
            <w:tcW w:type="dxa" w:w="1258"/>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Register</w:t>
            </w:r>
          </w:p>
        </w:tc>
        <w:tc>
          <w:tcPr>
            <w:tcW w:type="dxa" w:w="700"/>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Width</w:t>
            </w:r>
          </w:p>
        </w:tc>
        <w:tc>
          <w:tcPr>
            <w:tcW w:type="dxa" w:w="7402"/>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Description</w:t>
            </w:r>
          </w:p>
        </w:tc>
      </w:tr>
      <w:tr>
        <w:tc>
          <w:tcPr>
            <w:tcW w:type="dxa" w:w="125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NET_ADAPTER_CTRL</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16-bit</w:t>
            </w:r>
          </w:p>
        </w:tc>
        <w:tc>
          <w:tcPr>
            <w:tcW w:type="dxa" w:w="74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Bit 0: GLOBAL_ENABLE · Bit 1: HEADER_INSERT_EN (hardwired 1)</w:t>
            </w:r>
          </w:p>
        </w:tc>
      </w:tr>
      <w:tr>
        <w:tc>
          <w:tcPr>
            <w:tcW w:type="dxa" w:w="1258"/>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LINK_STATUS</w:t>
            </w:r>
          </w:p>
        </w:tc>
        <w:tc>
          <w:tcPr>
            <w:tcW w:type="dxa" w:w="700"/>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8-bit</w:t>
            </w:r>
          </w:p>
        </w:tc>
        <w:tc>
          <w:tcPr>
            <w:tcW w:type="dxa" w:w="7402"/>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Bit 0: LINK_UP · Bit 1: SYNC_LOCK (PTP) · Bit 2: BACKPRESSURE — fed from MUX_BUNDLE_STATUS (§3.3)</w:t>
            </w:r>
          </w:p>
        </w:tc>
      </w:tr>
    </w:tbl>
    <w:p>
      <w:pPr>
        <w:spacing w:after="80"/>
      </w:pPr>
    </w:p>
    <w:p>
      <w:pPr>
        <w:spacing w:after="160" w:before="40"/>
        <w:jc w:val="center"/>
      </w:pPr>
      <w:r>
        <w:rPr>
          <w:i/>
          <w:iCs/>
          <w:color w:val="595959"/>
          <w:sz w:val="18"/>
          <w:szCs w:val="18"/>
        </w:rPr>
        <w:t xml:space="preserve">Table 6-2. Network Adapter register summary</w:t>
      </w:r>
    </w:p>
    <w:p>
      <w:pPr>
        <w:pStyle w:val="Heading2"/>
        <w:spacing w:after="120" w:before="260"/>
      </w:pPr>
      <w:r>
        <w:t xml:space="preserve">6.3 Physical Handoff by Deployment Type</w:t>
      </w:r>
    </w:p>
    <w:p>
      <w:pPr>
        <w:spacing w:after="140"/>
      </w:pPr>
      <w:r>
        <w:t xml:space="preserve">EAI (E2E Center) simply extends the same fixed MOCT ribbon cable upward with no protocol conversion. PAI (AI Data Center) undergoes O/E conversion and hands off to the rack-level data-center uplink fabric (800G class), with the Cube Frame header preserved bit-for-bit across the conversion.</w:t>
      </w:r>
    </w:p>
    <w:p>
      <w:pPr>
        <w:pStyle w:val="Heading2"/>
        <w:spacing w:after="120" w:before="260"/>
      </w:pPr>
      <w:r>
        <w:t xml:space="preserve">6.4 Bidirectional Cube Delivery — Realizing CH14</w:t>
      </w:r>
    </w:p>
    <w:p>
      <w:pPr>
        <w:spacing w:after="140"/>
      </w:pPr>
      <w:r>
        <w:t xml:space="preserve">Sections 6.1–6.3 describe only the upward direction: the path by which an individual EAI/PAI node's cube travels to the D12 AAI. The same Cube Frame mechanism also carries the downward direction — AAI delivering cube content back to an individual node — and this is the physical realization of what Att2 Table 3-3 names "CH14, AAI Coordination, Mesh link." No separate physical channel or dedicated PHY is introduced for this: per Att2 §8.1–§8.2, the E2E parallel structure already holds far more optical cores at the boundary than a single node's traffic requires, and CH14 is realized within that existing capacity by claiming one idle channel for the duration of the transfer — using the same Cube Frame header (§6.1) in the reverse direction.</w:t>
      </w:r>
    </w:p>
    <w:p>
      <w:pPr>
        <w:spacing w:after="140"/>
      </w:pPr>
      <w:r>
        <w:t xml:space="preserve">The access-control path for this downward delivery is identical to Section 2: AAI has RW permission on the I-Axis (Table 2-2, ACL_PERM 0x1F) but only Read permission on the C-Axis (ACL_PERM 0x17). Consequently, a downward instruction such as "caution in zone X" is not written by AAI directly into the target node's C-Axis; it is delivered as an I-Axis (Intent) cube from AAI to the target node's PAI. The receiving node's own PAI — per Att2 Table 4-1, the sole writer of its own C-Axis — reflects that instruction onto its own Context axis in whatever manner and timing it judges appropriate. This preserves the axis-ownership boundary established in Section 2 without altering the ACL_PERM matrix in any way.</w:t>
      </w:r>
    </w:p>
    <w:p>
      <w:pPr>
        <w:pStyle w:val="Heading1"/>
        <w:spacing w:after="120" w:before="260"/>
      </w:pPr>
      <w:r>
        <w:t xml:space="preserve">7. Hardware Verification Strategy Cross-Reference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7"/>
        <w:gridCol w:w="2667"/>
        <w:gridCol w:w="5006"/>
      </w:tblGrid>
      <w:tr>
        <w:trPr>
          <w:tblHeader/>
        </w:trPr>
        <w:tc>
          <w:tcPr>
            <w:tcW w:type="dxa" w:w="168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Att2 / WP#24 Verification Item</w:t>
            </w:r>
          </w:p>
        </w:tc>
        <w:tc>
          <w:tcPr>
            <w:tcW w:type="dxa" w:w="2667"/>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Related Registers</w:t>
            </w:r>
          </w:p>
        </w:tc>
        <w:tc>
          <w:tcPr>
            <w:tcW w:type="dxa" w:w="5006"/>
            <w:tcBorders>
              <w:top w:val="single" w:color="000000" w:sz="4"/>
              <w:left w:val="single" w:color="000000" w:sz="4"/>
              <w:bottom w:val="single" w:color="000000" w:sz="4"/>
              <w:right w:val="single" w:color="000000" w:sz="4"/>
            </w:tcBorders>
            <w:shd w:fill="D9D9D9" w:val="clear"/>
            <w:tcMar>
              <w:top w:type="dxa" w:w="80"/>
              <w:left w:type="dxa" w:w="100"/>
              <w:bottom w:type="dxa" w:w="80"/>
              <w:right w:type="dxa" w:w="100"/>
            </w:tcMar>
          </w:tcPr>
          <w:p>
            <w:pPr>
              <w:jc w:val="left"/>
            </w:pPr>
            <w:r>
              <w:rPr>
                <w:b/>
                <w:bCs/>
                <w:sz w:val="20"/>
                <w:szCs w:val="20"/>
              </w:rPr>
              <w:t xml:space="preserve">Pass Criteria</w:t>
            </w:r>
          </w:p>
        </w:tc>
      </w:tr>
      <w:tr>
        <w:tc>
          <w:tcPr>
            <w:tcW w:type="dxa" w:w="168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HBM WORM rewrite blocking</w:t>
            </w:r>
          </w:p>
        </w:tc>
        <w:tc>
          <w:tcPr>
            <w:tcW w:type="dxa" w:w="266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WORM_SECTOR_LOCK[0], VIOLATION_FLAG[7]</w:t>
            </w:r>
          </w:p>
        </w:tc>
        <w:tc>
          <w:tcPr>
            <w:tcW w:type="dxa" w:w="5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100% physical blocking under fault-injection testing</w:t>
            </w:r>
          </w:p>
        </w:tc>
      </w:tr>
      <w:tr>
        <w:tc>
          <w:tcPr>
            <w:tcW w:type="dxa" w:w="168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HBF ACL violations</w:t>
            </w:r>
          </w:p>
        </w:tc>
        <w:tc>
          <w:tcPr>
            <w:tcW w:type="dxa" w:w="266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ACL_PERM (all axes), unified audit log (§1.4/2.4)</w:t>
            </w:r>
          </w:p>
        </w:tc>
        <w:tc>
          <w:tcPr>
            <w:tcW w:type="dxa" w:w="5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Zero violations across 100 million operations of formal verification + fuzzing</w:t>
            </w:r>
          </w:p>
        </w:tc>
      </w:tr>
      <w:tr>
        <w:tc>
          <w:tcPr>
            <w:tcW w:type="dxa" w:w="168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 non-collision</w:t>
            </w:r>
          </w:p>
        </w:tc>
        <w:tc>
          <w:tcPr>
            <w:tcW w:type="dxa" w:w="266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DEMUX_NONCOLLISION_CHK</w:t>
            </w:r>
          </w:p>
        </w:tc>
        <w:tc>
          <w:tcPr>
            <w:tcW w:type="dxa" w:w="5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Mathematical proof + measured verification at power-on self-test</w:t>
            </w:r>
          </w:p>
        </w:tc>
      </w:tr>
      <w:tr>
        <w:tc>
          <w:tcPr>
            <w:tcW w:type="dxa" w:w="168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 completeness</w:t>
            </w:r>
          </w:p>
        </w:tc>
        <w:tc>
          <w:tcPr>
            <w:tcW w:type="dxa" w:w="266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SEU_CHANNEL_COMPLETE, SEU_MISSING_FLAG</w:t>
            </w:r>
          </w:p>
        </w:tc>
        <w:tc>
          <w:tcPr>
            <w:tcW w:type="dxa" w:w="5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0% missing (excluding optional channels), simultaneous injection on 8/16 channels</w:t>
            </w:r>
          </w:p>
        </w:tc>
      </w:tr>
      <w:tr>
        <w:tc>
          <w:tcPr>
            <w:tcW w:type="dxa" w:w="168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independence</w:t>
            </w:r>
          </w:p>
        </w:tc>
        <w:tc>
          <w:tcPr>
            <w:tcW w:type="dxa" w:w="266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POWER_HEALTH_REG, SAFETY_STATE_REG (Section 5)</w:t>
            </w:r>
          </w:p>
        </w:tc>
        <w:tc>
          <w:tcPr>
            <w:tcW w:type="dxa" w:w="5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Self-sustained ≥30 seconds under power-cutoff scenario; worst-case fault-to-open &lt;30ms</w:t>
            </w:r>
          </w:p>
        </w:tc>
      </w:tr>
      <w:tr>
        <w:tc>
          <w:tcPr>
            <w:tcW w:type="dxa" w:w="168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CH11 relay contact verification</w:t>
            </w:r>
          </w:p>
        </w:tc>
        <w:tc>
          <w:tcPr>
            <w:tcW w:type="dxa" w:w="266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NC_CONTACT_MISMATCH (§5.1.1)</w:t>
            </w:r>
          </w:p>
        </w:tc>
        <w:tc>
          <w:tcPr>
            <w:tcW w:type="dxa" w:w="5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Force-guided NC/NO mismatch detected within one diagnostic cycle (&lt;10ms)</w:t>
            </w:r>
          </w:p>
        </w:tc>
      </w:tr>
      <w:tr>
        <w:tc>
          <w:tcPr>
            <w:tcW w:type="dxa" w:w="168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Audit traceability</w:t>
            </w:r>
          </w:p>
        </w:tc>
        <w:tc>
          <w:tcPr>
            <w:tcW w:type="dxa" w:w="266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EPOCH_ID + TIMESTAMP_NS + REQUESTOR_ID (§1.4/2.4)</w:t>
            </w:r>
          </w:p>
        </w:tc>
        <w:tc>
          <w:tcPr>
            <w:tcW w:type="dxa" w:w="5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Unambiguous time-ordered alignment and source attribution across the entire operating period</w:t>
            </w:r>
          </w:p>
        </w:tc>
      </w:tr>
      <w:tr>
        <w:tc>
          <w:tcPr>
            <w:tcW w:type="dxa" w:w="168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Audit-buffer overflow handling</w:t>
            </w:r>
          </w:p>
        </w:tc>
        <w:tc>
          <w:tcPr>
            <w:tcW w:type="dxa" w:w="2667"/>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AUDIT_LOG_STATUS (§1.5)</w:t>
            </w:r>
          </w:p>
        </w:tc>
        <w:tc>
          <w:tcPr>
            <w:tcW w:type="dxa" w:w="5006"/>
            <w:tcBorders>
              <w:top w:val="single" w:color="000000" w:sz="4"/>
              <w:left w:val="single" w:color="000000" w:sz="4"/>
              <w:bottom w:val="single" w:color="000000" w:sz="4"/>
              <w:right w:val="single" w:color="000000" w:sz="4"/>
            </w:tcBorders>
            <w:tcMar>
              <w:top w:type="dxa" w:w="80"/>
              <w:left w:type="dxa" w:w="100"/>
              <w:bottom w:type="dxa" w:w="80"/>
              <w:right w:type="dxa" w:w="100"/>
            </w:tcMar>
          </w:tcPr>
          <w:p>
            <w:pPr>
              <w:jc w:val="left"/>
            </w:pPr>
            <w:r>
              <w:rPr>
                <w:sz w:val="20"/>
                <w:szCs w:val="20"/>
              </w:rPr>
              <w:t xml:space="preserve">OVERFLOW_WARN fires without omission at 87.5% fill under sustained write-stress testing</w:t>
            </w:r>
          </w:p>
        </w:tc>
      </w:tr>
    </w:tbl>
    <w:p>
      <w:pPr>
        <w:spacing w:after="80"/>
      </w:pPr>
    </w:p>
    <w:p>
      <w:pPr>
        <w:spacing w:after="160" w:before="40"/>
        <w:jc w:val="center"/>
      </w:pPr>
      <w:r>
        <w:rPr>
          <w:i/>
          <w:iCs/>
          <w:color w:val="595959"/>
          <w:sz w:val="18"/>
          <w:szCs w:val="18"/>
        </w:rPr>
        <w:t xml:space="preserve">Table 7-1. Register-to-verification cross-reference</w:t>
      </w:r>
    </w:p>
    <w:p>
      <w:pPr>
        <w:pStyle w:val="Heading1"/>
        <w:spacing w:after="120" w:before="260"/>
      </w:pPr>
      <w:r>
        <w:t xml:space="preserve">8. Conclusion</w:t>
      </w:r>
    </w:p>
    <w:p>
      <w:pPr>
        <w:spacing w:after="140"/>
      </w:pPr>
      <w:r>
        <w:t xml:space="preserve">This document takes the WORM and HBF ACL functionally described in Att2 §3.2 and §4.1 down to the register level: a 64-bit WORM_SECTOR_LOCK bitmap; a hardwired WORM_CTRL register; a 128-bit audit log with EPOCH_ID and REQUESTOR_ID that fully guarantees time-ordered and source traceability; an 8-bit ACL_PERM encoding that resolves Att2's 5-axis matrix; a Layer Lock register for M-Axis write coordination; register-level definitions of the DEMUX Engine, SEU Assembly Engine, and MUX Engine; pin-level, timing, and voltage specifications for every channel interface; a complete functional-safety design for CH11 (state machine, diagnostics, response-time budget, force-guided relay specification); a fixed-depth audit-buffer policy with explicit overflow handling; governance registers with specified access types (OTP/RW); concrete PHY assignments for CH13–CH16; and an E2E Center Governance Profile hook that connects per-incident human involvement to CH11's MANUAL_TRIGGER path without encoding policy content.</w:t>
      </w:r>
    </w:p>
    <w:p>
      <w:pPr>
        <w:spacing w:after="160" w:before="40"/>
        <w:jc w:val="center"/>
      </w:pPr>
      <w:r>
        <w:rPr>
          <w:i/>
          <w:iCs/>
          <w:color w:val="595959"/>
          <w:sz w:val="18"/>
          <w:szCs w:val="18"/>
        </w:rPr>
        <w:t xml:space="preserve">Next document in Att2 §11.1 order: WP#25 (SEU Synchronization Protocol Specification) — formalizes the SEU packet format and PTP synchronization profile at the wire level, building on the SEU Assembly Engine registers defined in §3.2 of this document.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2026-07-12T05:40:17.561Z</dcterms:created>
  <dcterms:modified xsi:type="dcterms:W3CDTF">2026-07-12T05:40:17.561Z</dcterms:modified>
</cp:coreProperties>
</file>

<file path=docProps/custom.xml><?xml version="1.0" encoding="utf-8"?>
<Properties xmlns="http://schemas.openxmlformats.org/officeDocument/2006/custom-properties" xmlns:vt="http://schemas.openxmlformats.org/officeDocument/2006/docPropsVTypes"/>
</file>