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WP#34 — CPO Package &amp; Optical Fusion Process Specification</w:t>
      </w:r>
    </w:p>
    <w:p>
      <w:pPr>
        <w:spacing w:after="160"/>
      </w:pPr>
      <w:r>
        <w:rPr>
          <w:b w:val="false"/>
          <w:bCs w:val="false"/>
          <w:i/>
          <w:iCs/>
          <w:sz w:val="22"/>
          <w:szCs w:val="22"/>
        </w:rPr>
        <w:t xml:space="preserve">Chip-Level MOCT–Matrix Bonding · MEMS Alignment Process · Optical Fusion Process · Supersedes Board-Edge Assumption in WP#31/WP#32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skeleton, section scopes and open items fixed; CPO chip-level bonding model confirmed per 창호, supersedes the board-edge QSFP-DD assumption implicit in WP#31 §7.2 / WP#32 Zone D; v0.3 added tier-specific ribbon reach/DWDM scaling; v0.4 added diagrams/front-panel/fusion-process detail/§6.1; v0.5 added §3.4.3 MAC and tier-dependent §3.4.1 termination; v0.6 added §3.4.3.5 slot-level auto-monitoring/control; v0.7 added durability/thermal/replaceability/WP#33 gap closure; v0.8 corrects OI-34-16 (MAC failure reuses existing MONITOR_CH/NPU pipeline, per 창호)</w:t>
            </w:r>
          </w:p>
        </w:tc>
        <w:tc>
          <w:tcPr>
            <w:tcW w:type="dxa" w:w="1600"/>
          </w:tcPr>
          <w:p>
            <w:r>
              <w:rPr>
                <w:b w:val="false"/>
                <w:bCs w:val="false"/>
                <w:sz w:val="20"/>
                <w:szCs w:val="20"/>
              </w:rPr>
              <w:t xml:space="preserve">v0.8 │ 2026</w:t>
            </w:r>
          </w:p>
        </w:tc>
        <w:tc>
          <w:tcPr>
            <w:tcW w:type="dxa" w:w="3200"/>
          </w:tcPr>
          <w:p>
            <w:r>
              <w:rPr>
                <w:b w:val="false"/>
                <w:bCs w:val="false"/>
                <w:sz w:val="20"/>
                <w:szCs w:val="20"/>
              </w:rPr>
              <w:t xml:space="preserve">PCB/package-level realization of WP#03's MOCT architecture as CPO (Co-Packaged Optics): ASIC-to-MOCT chip-level bonding, MEMS alignment process, optical fusion (splicing) process — registers the gaps closing WP#31 OI-31-11 and WP#32 OI-32-08</w:t>
            </w:r>
          </w:p>
        </w:tc>
        <w:tc>
          <w:tcPr>
            <w:tcW w:type="dxa" w:w="2160"/>
          </w:tcPr>
          <w:p>
            <w:r>
              <w:rPr>
                <w:b w:val="false"/>
                <w:bCs w:val="false"/>
                <w:sz w:val="20"/>
                <w:szCs w:val="20"/>
              </w:rPr>
              <w:t xml:space="preserve">Extends WP#03 §6 (Mechanical &amp; Optical Integration Design), §8 (Layered Matrix–Transceiver Physical Structure); WP#29 §4.6 Table 4-4 (hierarchical core scaling, R8 — tentative basis, see §2); registers against WP#31 OI-31-11, WP#32 OI-32-08</w:t>
            </w:r>
          </w:p>
        </w:tc>
      </w:tr>
    </w:tbl>
    <w:p>
      <w:pPr>
        <w:spacing w:after="160"/>
      </w:pPr>
      <w:r>
        <w:rPr>
          <w:b w:val="false"/>
          <w:bCs w:val="false"/>
          <w:sz w:val="22"/>
          <w:szCs w:val="22"/>
        </w:rPr>
        <w:t xml:space="preserve"/>
      </w:r>
    </w:p>
    <w:p>
      <w:pPr>
        <w:spacing w:after="160"/>
      </w:pPr>
      <w:r>
        <w:rPr>
          <w:b w:val="false"/>
          <w:b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(WP#30/31/32/33 pattern): section scopes and open items are fixed now; CPO package pin-map, MEMS alignment tolerances, and fusion-process parameters are filled in section by section in later sessions, grounded only in what WP#03/WP#29 actually specify. No dimension, tolerance, or process parameter is invented in this draft. This document also formally establishes that MOCT bonds directly to the semiconductor photonic matrix at chip level (CPO) rather than to a board-edge connector, per WP#03 §6.2/§8.3 and 창호's explicit confirmation this session — WP#31 §7.2 and WP#32 Zone D's board-edge QSFP-DD framing remains valid only as the bring-up/verification-stage interface already flagged at OI-31-11/OI-32-08, not as the eventual production interface.</w:t>
            </w:r>
          </w:p>
        </w:tc>
      </w:tr>
    </w:tbl>
    <w:p>
      <w:pPr>
        <w:pStyle w:val="Heading1"/>
        <w:spacing w:after="160" w:before="280"/>
      </w:pPr>
      <w:r>
        <w:rPr>
          <w:b/>
          <w:bCs/>
        </w:rPr>
        <w:t xml:space="preserve">1. Purpose and Scope</w:t>
      </w:r>
    </w:p>
    <w:p>
      <w:pPr>
        <w:spacing w:after="160"/>
      </w:pPr>
      <w:r>
        <w:rPr>
          <w:b w:val="false"/>
          <w:bCs w:val="false"/>
          <w:sz w:val="22"/>
          <w:szCs w:val="22"/>
        </w:rPr>
        <w:t xml:space="preserve">WP#34 translates WP#03's architecture-level MOCT definition into a physical package specification that an actual ASIC/FPGA can be fabricated and bonded with. Where WP#03 establishes the principle (fixed ribbon, MEMS alignment, no field connectors) and WP#29 §4.6 establishes the numerical face/layer/bundle scaling, WP#34 defines how those two are physically realized as a Co-Packaged Optics (CPO) structure: the MOCT transceiver and ribbon bonding directly onto the Matrix switch fabric's semiconductor package, rather than connecting to it via board-edge SerDes traces and a pluggable module.</w:t>
      </w:r>
    </w:p>
    <w:p>
      <w:pPr>
        <w:spacing w:after="160"/>
      </w:pPr>
      <w:r>
        <w:rPr>
          <w:b w:val="false"/>
          <w:bCs w:val="false"/>
          <w:sz w:val="22"/>
          <w:szCs w:val="22"/>
        </w:rPr>
        <w:t xml:space="preserve">In scope: CPO package architecture and core-to-matrix junction mapping (§3); MEMS alignment process (§4); optical fusion (splicing) process (§5); the relationship of this document to WP#31/WP#32's existing bring-up-stage QSFP-DD content (§6).</w:t>
      </w:r>
    </w:p>
    <w:p>
      <w:pPr>
        <w:spacing w:after="160"/>
      </w:pPr>
      <w:r>
        <w:rPr>
          <w:b w:val="false"/>
          <w:bCs w:val="false"/>
          <w:sz w:val="22"/>
          <w:szCs w:val="22"/>
        </w:rPr>
        <w:t xml:space="preserve">Out of scope: RTL/logic design (WP#30, unchanged); non-optical board-level PCB placement and routing (WP#32 Zones A/B/C/E, unchanged); BOM structure outside the 800G optical interface line item (WP#31, unchanged); FPGA/ASIC selection itself (WP#26/WP#30, unchanged).</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4160"/>
            <w:shd w:fill="D9D9D9" w:val="clear"/>
          </w:tcPr>
          <w:p>
            <w:r>
              <w:rPr>
                <w:b/>
                <w:bCs/>
                <w:sz w:val="20"/>
                <w:szCs w:val="20"/>
              </w:rPr>
              <w:t xml:space="preserve">Core Content</w:t>
            </w:r>
          </w:p>
        </w:tc>
        <w:tc>
          <w:tcPr>
            <w:tcW w:type="dxa" w:w="1600"/>
            <w:shd w:fill="D9D9D9" w:val="clear"/>
          </w:tcPr>
          <w:p>
            <w:r>
              <w:rPr>
                <w:b/>
                <w:bCs/>
                <w:sz w:val="20"/>
                <w:szCs w:val="20"/>
              </w:rPr>
              <w:t xml:space="preserve">Status</w:t>
            </w:r>
          </w:p>
        </w:tc>
      </w:tr>
      <w:tr>
        <w:tc>
          <w:tcPr>
            <w:tcW w:type="dxa" w:w="1200"/>
          </w:tcPr>
          <w:p>
            <w:r>
              <w:rPr>
                <w:b w:val="false"/>
                <w:bCs w:val="false"/>
                <w:sz w:val="20"/>
                <w:szCs w:val="20"/>
              </w:rPr>
              <w:t xml:space="preserve">WP #03</w:t>
            </w:r>
          </w:p>
        </w:tc>
        <w:tc>
          <w:tcPr>
            <w:tcW w:type="dxa" w:w="2400"/>
          </w:tcPr>
          <w:p>
            <w:r>
              <w:rPr>
                <w:b w:val="false"/>
                <w:bCs w:val="false"/>
                <w:sz w:val="20"/>
                <w:szCs w:val="20"/>
              </w:rPr>
              <w:t xml:space="preserve">MOCT Physical Spec</w:t>
            </w:r>
          </w:p>
        </w:tc>
        <w:tc>
          <w:tcPr>
            <w:tcW w:type="dxa" w:w="4160"/>
          </w:tcPr>
          <w:p>
            <w:r>
              <w:rPr>
                <w:b w:val="false"/>
                <w:bCs w:val="false"/>
                <w:sz w:val="20"/>
                <w:szCs w:val="20"/>
              </w:rPr>
              <w:t xml:space="preserve">Architecture-level MOCT definition: fixed ribbon, MEMS alignment, factory fusion, no field connectors</w:t>
            </w:r>
          </w:p>
        </w:tc>
        <w:tc>
          <w:tcPr>
            <w:tcW w:type="dxa" w:w="1600"/>
          </w:tcPr>
          <w:p>
            <w:r>
              <w:rPr>
                <w:b w:val="false"/>
                <w:bCs w:val="false"/>
                <w:sz w:val="20"/>
                <w:szCs w:val="20"/>
              </w:rPr>
              <w:t xml:space="preserve">v1.1 — unchanged, this document's basis</w:t>
            </w:r>
          </w:p>
        </w:tc>
      </w:tr>
      <w:tr>
        <w:tc>
          <w:tcPr>
            <w:tcW w:type="dxa" w:w="1200"/>
          </w:tcPr>
          <w:p>
            <w:r>
              <w:rPr>
                <w:b w:val="false"/>
                <w:bCs w:val="false"/>
                <w:sz w:val="20"/>
                <w:szCs w:val="20"/>
              </w:rPr>
              <w:t xml:space="preserve">WP #24</w:t>
            </w:r>
          </w:p>
        </w:tc>
        <w:tc>
          <w:tcPr>
            <w:tcW w:type="dxa" w:w="2400"/>
          </w:tcPr>
          <w:p>
            <w:r>
              <w:rPr>
                <w:b w:val="false"/>
                <w:bCs w:val="false"/>
                <w:sz w:val="20"/>
                <w:szCs w:val="20"/>
              </w:rPr>
              <w:t xml:space="preserve">Cognition Cube Physical Spec</w:t>
            </w:r>
          </w:p>
        </w:tc>
        <w:tc>
          <w:tcPr>
            <w:tcW w:type="dxa" w:w="4160"/>
          </w:tcPr>
          <w:p>
            <w:r>
              <w:rPr>
                <w:b w:val="false"/>
                <w:bCs w:val="false"/>
                <w:sz w:val="20"/>
                <w:szCs w:val="20"/>
              </w:rPr>
              <w:t xml:space="preserve">Register maps, electrical interfaces (§4); still states "O8 = 192 optical cores" (§5.2/§7.2) — not yet synced to WP#29 R8's 1,536 figure</w:t>
            </w:r>
          </w:p>
        </w:tc>
        <w:tc>
          <w:tcPr>
            <w:tcW w:type="dxa" w:w="1600"/>
          </w:tcPr>
          <w:p>
            <w:r>
              <w:rPr>
                <w:b w:val="false"/>
                <w:bCs w:val="false"/>
                <w:sz w:val="20"/>
                <w:szCs w:val="20"/>
              </w:rPr>
              <w:t xml:space="preserve">Unchanged — see OI-34-01</w:t>
            </w:r>
          </w:p>
        </w:tc>
      </w:tr>
      <w:tr>
        <w:tc>
          <w:tcPr>
            <w:tcW w:type="dxa" w:w="12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4160"/>
          </w:tcPr>
          <w:p>
            <w:r>
              <w:rPr>
                <w:b w:val="false"/>
                <w:bCs w:val="false"/>
                <w:sz w:val="20"/>
                <w:szCs w:val="20"/>
              </w:rPr>
              <w:t xml:space="preserve">O8/D12/I20 hierarchical core scaling (§4.6 Table 4-4, R8): 1,536/9,216/61,440 total cores</w:t>
            </w:r>
          </w:p>
        </w:tc>
        <w:tc>
          <w:tcPr>
            <w:tcW w:type="dxa" w:w="1600"/>
          </w:tcPr>
          <w:p>
            <w:r>
              <w:rPr>
                <w:b w:val="false"/>
                <w:bCs w:val="false"/>
                <w:sz w:val="20"/>
                <w:szCs w:val="20"/>
              </w:rPr>
              <w:t xml:space="preserve">v1.10 — unchanged, this document's numeric basis</w:t>
            </w:r>
          </w:p>
        </w:tc>
      </w:tr>
      <w:tr>
        <w:tc>
          <w:tcPr>
            <w:tcW w:type="dxa" w:w="12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4160"/>
          </w:tcPr>
          <w:p>
            <w:r>
              <w:rPr>
                <w:b w:val="false"/>
                <w:bCs w:val="false"/>
                <w:sz w:val="20"/>
                <w:szCs w:val="20"/>
              </w:rPr>
              <w:t xml:space="preserve">§7.2 describes a board-edge transceiver-to-FPGA SerDes connection; Table 4-1/8-1 item 10 use QSFP-DD, flagged bring-up-only at OI-31-11</w:t>
            </w:r>
          </w:p>
        </w:tc>
        <w:tc>
          <w:tcPr>
            <w:tcW w:type="dxa" w:w="1600"/>
          </w:tcPr>
          <w:p>
            <w:r>
              <w:rPr>
                <w:b w:val="false"/>
                <w:bCs w:val="false"/>
                <w:sz w:val="20"/>
                <w:szCs w:val="20"/>
              </w:rPr>
              <w:t xml:space="preserve">v1.2 — unchanged; see §6 of this document</w:t>
            </w:r>
          </w:p>
        </w:tc>
      </w:tr>
      <w:tr>
        <w:tc>
          <w:tcPr>
            <w:tcW w:type="dxa" w:w="1200"/>
          </w:tcPr>
          <w:p>
            <w:r>
              <w:rPr>
                <w:b w:val="false"/>
                <w:bCs w:val="false"/>
                <w:sz w:val="20"/>
                <w:szCs w:val="20"/>
              </w:rPr>
              <w:t xml:space="preserve">WP #32</w:t>
            </w:r>
          </w:p>
        </w:tc>
        <w:tc>
          <w:tcPr>
            <w:tcW w:type="dxa" w:w="2400"/>
          </w:tcPr>
          <w:p>
            <w:r>
              <w:rPr>
                <w:b w:val="false"/>
                <w:bCs w:val="false"/>
                <w:sz w:val="20"/>
                <w:szCs w:val="20"/>
              </w:rPr>
              <w:t xml:space="preserve">PCB Layout Design</w:t>
            </w:r>
          </w:p>
        </w:tc>
        <w:tc>
          <w:tcPr>
            <w:tcW w:type="dxa" w:w="4160"/>
          </w:tcPr>
          <w:p>
            <w:r>
              <w:rPr>
                <w:b w:val="false"/>
                <w:bCs w:val="false"/>
                <w:sz w:val="20"/>
                <w:szCs w:val="20"/>
              </w:rPr>
              <w:t xml:space="preserve">Zone D places QSFP-DD connectors as the 800G interface, flagged bring-up-only at OI-32-08</w:t>
            </w:r>
          </w:p>
        </w:tc>
        <w:tc>
          <w:tcPr>
            <w:tcW w:type="dxa" w:w="1600"/>
          </w:tcPr>
          <w:p>
            <w:r>
              <w:rPr>
                <w:b w:val="false"/>
                <w:bCs w:val="false"/>
                <w:sz w:val="20"/>
                <w:szCs w:val="20"/>
              </w:rPr>
              <w:t xml:space="preserve">v0.7 — unchanged; see §6 of this document</w:t>
            </w:r>
          </w:p>
        </w:tc>
      </w:tr>
      <w:tr>
        <w:tc>
          <w:tcPr>
            <w:tcW w:type="dxa" w:w="1200"/>
          </w:tcPr>
          <w:p>
            <w:r>
              <w:rPr>
                <w:b w:val="false"/>
                <w:bCs w:val="false"/>
                <w:sz w:val="20"/>
                <w:szCs w:val="20"/>
              </w:rPr>
              <w:t xml:space="preserve">WP #34 (this document)</w:t>
            </w:r>
          </w:p>
        </w:tc>
        <w:tc>
          <w:tcPr>
            <w:tcW w:type="dxa" w:w="2400"/>
          </w:tcPr>
          <w:p>
            <w:r>
              <w:rPr>
                <w:b w:val="false"/>
                <w:bCs w:val="false"/>
                <w:sz w:val="20"/>
                <w:szCs w:val="20"/>
              </w:rPr>
              <w:t xml:space="preserve">CPO Package &amp; Optical Fusion Process Spec</w:t>
            </w:r>
          </w:p>
        </w:tc>
        <w:tc>
          <w:tcPr>
            <w:tcW w:type="dxa" w:w="4160"/>
          </w:tcPr>
          <w:p>
            <w:r>
              <w:rPr>
                <w:b w:val="false"/>
                <w:bCs w:val="false"/>
                <w:sz w:val="20"/>
                <w:szCs w:val="20"/>
              </w:rPr>
              <w:t xml:space="preserve">Chip-level MOCT–Matrix bonding, MEMS alignment process, optical fusion process</w:t>
            </w:r>
          </w:p>
        </w:tc>
        <w:tc>
          <w:tcPr>
            <w:tcW w:type="dxa" w:w="1600"/>
          </w:tcPr>
          <w:p>
            <w:r>
              <w:rPr>
                <w:b w:val="false"/>
                <w:bCs w:val="false"/>
                <w:sz w:val="20"/>
                <w:szCs w:val="20"/>
              </w:rPr>
              <w:t xml:space="preserve">Skeleton — v0.8, 20 open items</w:t>
            </w:r>
          </w:p>
        </w:tc>
      </w:tr>
    </w:tbl>
    <w:p>
      <w:pPr>
        <w:spacing w:after="200"/>
      </w:pPr>
      <w:r>
        <w:rPr>
          <w:i/>
          <w:iCs/>
          <w:sz w:val="20"/>
          <w:szCs w:val="20"/>
        </w:rPr>
        <w:t xml:space="preserve">Table 2-1. Document Sequence — WP#34 skeleton</w:t>
      </w:r>
    </w:p>
    <w:p>
      <w:pPr>
        <w:pStyle w:val="Heading1"/>
        <w:spacing w:after="160" w:before="280"/>
      </w:pPr>
      <w:r>
        <w:rPr>
          <w:b/>
          <w:bCs/>
        </w:rPr>
        <w:t xml:space="preserve">3. CPO Package Definition</w:t>
      </w:r>
    </w:p>
    <w:p>
      <w:pPr>
        <w:pStyle w:val="Heading2"/>
        <w:spacing w:after="160" w:before="280"/>
      </w:pPr>
      <w:r>
        <w:rPr>
          <w:b/>
          <w:bCs/>
        </w:rPr>
        <w:t xml:space="preserve">3.1 Package Architecture Overview (restates WP#03 §6.2/§8.3)</w:t>
      </w:r>
    </w:p>
    <w:p>
      <w:pPr>
        <w:spacing w:after="160"/>
      </w:pPr>
      <w:r>
        <w:rPr>
          <w:b w:val="false"/>
          <w:bCs w:val="false"/>
          <w:sz w:val="22"/>
          <w:szCs w:val="22"/>
        </w:rPr>
        <w:t xml:space="preserve">Per WP#03 §6.2 and §8.3, the MOCT transceiver does not present a discrete, board-mounted module connected to the ASIC/FPGA by board-edge SerDes traces. Instead, the polymer waveguide layer, the ultra-fine mechanical contact layer, and the semiconductor/MEMS alignment layer form a single bonded stack directly on the Matrix switch fabric's own semiconductor package — a Co-Packaged Optics (CPO) structure. The MEMS Alignment Interface (MAI) aligns the transceiver's polymer waveguide array with the fixed multi-core ribbon at the point of manufacture; because the waveguide, transceiver output, and ribbon cores form one planar integrated structure, no separate round-to-ribbon or board-edge conversion step exists.</w:t>
      </w:r>
    </w:p>
    <w:p>
      <w:pPr>
        <w:spacing w:after="160"/>
      </w:pPr>
      <w:r>
        <w:rPr>
          <w:b w:val="false"/>
          <w:bCs w:val="false"/>
          <w:sz w:val="22"/>
          <w:szCs w:val="22"/>
        </w:rPr>
        <w:t xml:space="preserve">This confirms the model 창호 identified this session: MOCT bonds to the Matrix at chip/package level (Option A from the prior discussion), not via a board-edge connector (Option B). WP#31 §7.2's "optical transceiver converts the MOCT ribbon's optical signals to electrical SerDes lanes" language describes the bring-up-stage QSFP-DD path only, not the production CPO path this document defines.</w:t>
      </w:r>
    </w:p>
    <w:p>
      <w:pPr>
        <w:pStyle w:val="Heading2"/>
        <w:spacing w:after="160" w:before="280"/>
      </w:pPr>
      <w:r>
        <w:rPr>
          <w:b/>
          <w:bCs/>
        </w:rPr>
        <w:t xml:space="preserve">3.2 Core-to-Matrix Junction Mapping</w:t>
      </w:r>
    </w:p>
    <w:p>
      <w:pPr>
        <w:spacing w:after="160"/>
      </w:pPr>
      <w:r>
        <w:rPr>
          <w:b w:val="false"/>
          <w:bCs w:val="false"/>
          <w:sz w:val="22"/>
          <w:szCs w:val="22"/>
        </w:rPr>
        <w:t xml:space="preserve">Per 창호, MOCT's multi-layer/multi-bundle structure is numerically designed to match the Matrix's hierarchical core-scaling rule fixed at WP#29 §4.6 Table 4-4: O8 = 4 layers × 4 bundles (192 cores/face, 1,536 total across 8 faces); D12 = 8×8 (768 cores/face, 9,216 total across 12 faces); I20 = 16×16 (3,072 cores/face, 61,440 total across 20 faces). If factory-level MEMS alignment and optical fusion are achieved per §4–§5, the physical fit between MOCT and the Matrix at each tier is structurally guaranteed by this numeric correspondence — no additional adaptation layer is required between MOCT's face/layer/bundle structure and the Matrix's face/layer/bundle structure.</w:t>
      </w:r>
    </w:p>
    <w:p>
      <w:pPr>
        <w:spacing w:after="200"/>
      </w:pPr>
      <w:r>
        <w:rPr>
          <w:i/>
          <w:iCs/>
          <w:color w:val="888888"/>
          <w:sz w:val="22"/>
          <w:szCs w:val="22"/>
        </w:rPr>
        <w:t xml:space="preserve">[상세 미정 — 차후 세션에서 확정] The exact package-level pin/pad/ball grid, die-to-package interconnect method, and how the 192/768/3,072 cores/face map onto discrete package I/O are not yet drafted — see OI-34-02. This depends on WP#30 §7.2.1's foundry qualification requirements (Table 7-1b) being met, not on a specific named foundry — WP#30 OI-30-17 was reframed this session from "select a foundry" to "define what any qualifying foundry must satisfy" (per 창호), so this package footprint remains open until a qualifying vendor is actually engaged, not until one is chosen from a shortlist.</w:t>
      </w:r>
    </w:p>
    <w:p>
      <w:pPr>
        <w:spacing w:after="200"/>
      </w:pPr>
      <w:r>
        <w:rPr>
          <w:i/>
          <w:iCs/>
          <w:sz w:val="20"/>
          <w:szCs w:val="20"/>
        </w:rPr>
        <w:t xml:space="preserve">***Open — OI-34-01:*** This document uses WP#29 R8's 1,536-total-core figure for O8 (Table 4-4) as its basis. WP#24 §5.2/§7.2 still states "O8 = 192 optical cores" and has not been synced to WP#29 R8 — this inconsistency was logged in WP#29 itself (cross-document note, §11) as pending 창호's decision on propagation. Per 창호's tentative direction this session, WP#34 proceeds on the 1,536 figure; if 창호 later decides differently, this document's §3.2 and any package pin-count derived from it will need revision.</w:t>
      </w:r>
    </w:p>
    <w:p>
      <w:pPr>
        <w:pStyle w:val="Heading2"/>
        <w:spacing w:after="160" w:before="280"/>
      </w:pPr>
      <w:r>
        <w:rPr>
          <w:b/>
          <w:bCs/>
        </w:rPr>
        <w:t xml:space="preserve">3.3 Hierarchical Scaling: MOCT Ribbon Variants by Node Tier</w:t>
      </w:r>
    </w:p>
    <w:p>
      <w:pPr>
        <w:spacing w:after="160"/>
      </w:pPr>
      <w:r>
        <w:rPr>
          <w:b w:val="false"/>
          <w:bCs w:val="false"/>
          <w:i w:val="false"/>
          <w:iCs w:val="false"/>
          <w:sz w:val="22"/>
          <w:szCs w:val="22"/>
        </w:rPr>
        <w:t xml:space="preserve">Per 창호's confirmation this session: WP#29 §4.6 Table 4-4 fixes core count per tier, but physical realization must also scale by reach, not core count alone. Velsanet's optical physical layer is therefore a tier-specific family of factory-fused assemblies. Total bandwidth figures below are 800Gbps/core (WP#26 §7, physical transmission reference) × WP#29 Table 4-4's core counts — independently verified, not restated from an external source.</w:t>
      </w:r>
    </w:p>
    <w:tbl>
      <w:tblPr>
        <w:tblW w:type="dxa" w:w="60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D9D9D9" w:val="clear"/>
          </w:tcPr>
          <w:p>
            <w:r>
              <w:rPr>
                <w:b/>
                <w:bCs/>
                <w:sz w:val="18"/>
                <w:szCs w:val="18"/>
              </w:rPr>
              <w:t xml:space="preserve">Parameter</w:t>
            </w:r>
          </w:p>
        </w:tc>
        <w:tc>
          <w:tcPr>
            <w:tcW w:type="dxa" w:w="1550"/>
            <w:shd w:fill="D9D9D9" w:val="clear"/>
          </w:tcPr>
          <w:p>
            <w:r>
              <w:rPr>
                <w:b/>
                <w:bCs/>
                <w:sz w:val="18"/>
                <w:szCs w:val="18"/>
              </w:rPr>
              <w:t xml:space="preserve">O8</w:t>
            </w:r>
          </w:p>
        </w:tc>
        <w:tc>
          <w:tcPr>
            <w:tcW w:type="dxa" w:w="1550"/>
            <w:shd w:fill="D9D9D9" w:val="clear"/>
          </w:tcPr>
          <w:p>
            <w:r>
              <w:rPr>
                <w:b/>
                <w:bCs/>
                <w:sz w:val="18"/>
                <w:szCs w:val="18"/>
              </w:rPr>
              <w:t xml:space="preserve">D12</w:t>
            </w:r>
          </w:p>
        </w:tc>
        <w:tc>
          <w:tcPr>
            <w:tcW w:type="dxa" w:w="1550"/>
            <w:shd w:fill="D9D9D9" w:val="clear"/>
          </w:tcPr>
          <w:p>
            <w:r>
              <w:rPr>
                <w:b/>
                <w:bCs/>
                <w:sz w:val="18"/>
                <w:szCs w:val="18"/>
              </w:rPr>
              <w:t xml:space="preserve">I20</w:t>
            </w:r>
          </w:p>
        </w:tc>
      </w:tr>
      <w:tr>
        <w:tc>
          <w:tcPr>
            <w:tcW w:type="dxa" w:w="1400"/>
          </w:tcPr>
          <w:p>
            <w:r>
              <w:rPr>
                <w:b w:val="false"/>
                <w:bCs w:val="false"/>
                <w:sz w:val="18"/>
                <w:szCs w:val="18"/>
              </w:rPr>
              <w:t xml:space="preserve">Reach (qualitative — see OI-34-06)</w:t>
            </w:r>
          </w:p>
        </w:tc>
        <w:tc>
          <w:tcPr>
            <w:tcW w:type="dxa" w:w="1550"/>
          </w:tcPr>
          <w:p>
            <w:r>
              <w:rPr>
                <w:b w:val="false"/>
                <w:bCs w:val="false"/>
                <w:sz w:val="18"/>
                <w:szCs w:val="18"/>
              </w:rPr>
              <w:t xml:space="preserve">≤ 10 km</w:t>
            </w:r>
          </w:p>
        </w:tc>
        <w:tc>
          <w:tcPr>
            <w:tcW w:type="dxa" w:w="1550"/>
          </w:tcPr>
          <w:p>
            <w:r>
              <w:rPr>
                <w:b w:val="false"/>
                <w:bCs w:val="false"/>
                <w:sz w:val="18"/>
                <w:szCs w:val="18"/>
              </w:rPr>
              <w:t xml:space="preserve">tens to hundreds of km</w:t>
            </w:r>
          </w:p>
        </w:tc>
        <w:tc>
          <w:tcPr>
            <w:tcW w:type="dxa" w:w="1550"/>
          </w:tcPr>
          <w:p>
            <w:r>
              <w:rPr>
                <w:b w:val="false"/>
                <w:bCs w:val="false"/>
                <w:sz w:val="18"/>
                <w:szCs w:val="18"/>
              </w:rPr>
              <w:t xml:space="preserve">hundreds to thousands of km</w:t>
            </w:r>
          </w:p>
        </w:tc>
      </w:tr>
      <w:tr>
        <w:tc>
          <w:tcPr>
            <w:tcW w:type="dxa" w:w="1400"/>
          </w:tcPr>
          <w:p>
            <w:r>
              <w:rPr>
                <w:b w:val="false"/>
                <w:bCs w:val="false"/>
                <w:sz w:val="18"/>
                <w:szCs w:val="18"/>
              </w:rPr>
              <w:t xml:space="preserve">Faces</w:t>
            </w:r>
          </w:p>
        </w:tc>
        <w:tc>
          <w:tcPr>
            <w:tcW w:type="dxa" w:w="1550"/>
          </w:tcPr>
          <w:p>
            <w:r>
              <w:rPr>
                <w:b w:val="false"/>
                <w:bCs w:val="false"/>
                <w:sz w:val="18"/>
                <w:szCs w:val="18"/>
              </w:rPr>
              <w:t xml:space="preserve">8</w:t>
            </w:r>
          </w:p>
        </w:tc>
        <w:tc>
          <w:tcPr>
            <w:tcW w:type="dxa" w:w="1550"/>
          </w:tcPr>
          <w:p>
            <w:r>
              <w:rPr>
                <w:b w:val="false"/>
                <w:bCs w:val="false"/>
                <w:sz w:val="18"/>
                <w:szCs w:val="18"/>
              </w:rPr>
              <w:t xml:space="preserve">12</w:t>
            </w:r>
          </w:p>
        </w:tc>
        <w:tc>
          <w:tcPr>
            <w:tcW w:type="dxa" w:w="1550"/>
          </w:tcPr>
          <w:p>
            <w:r>
              <w:rPr>
                <w:b w:val="false"/>
                <w:bCs w:val="false"/>
                <w:sz w:val="18"/>
                <w:szCs w:val="18"/>
              </w:rPr>
              <w:t xml:space="preserve">20</w:t>
            </w:r>
          </w:p>
        </w:tc>
      </w:tr>
      <w:tr>
        <w:tc>
          <w:tcPr>
            <w:tcW w:type="dxa" w:w="1400"/>
          </w:tcPr>
          <w:p>
            <w:r>
              <w:rPr>
                <w:b w:val="false"/>
                <w:bCs w:val="false"/>
                <w:sz w:val="18"/>
                <w:szCs w:val="18"/>
              </w:rPr>
              <w:t xml:space="preserve">Cores/face</w:t>
            </w:r>
          </w:p>
        </w:tc>
        <w:tc>
          <w:tcPr>
            <w:tcW w:type="dxa" w:w="1550"/>
          </w:tcPr>
          <w:p>
            <w:r>
              <w:rPr>
                <w:b w:val="false"/>
                <w:bCs w:val="false"/>
                <w:sz w:val="18"/>
                <w:szCs w:val="18"/>
              </w:rPr>
              <w:t xml:space="preserve">192</w:t>
            </w:r>
          </w:p>
        </w:tc>
        <w:tc>
          <w:tcPr>
            <w:tcW w:type="dxa" w:w="1550"/>
          </w:tcPr>
          <w:p>
            <w:r>
              <w:rPr>
                <w:b w:val="false"/>
                <w:bCs w:val="false"/>
                <w:sz w:val="18"/>
                <w:szCs w:val="18"/>
              </w:rPr>
              <w:t xml:space="preserve">768</w:t>
            </w:r>
          </w:p>
        </w:tc>
        <w:tc>
          <w:tcPr>
            <w:tcW w:type="dxa" w:w="1550"/>
          </w:tcPr>
          <w:p>
            <w:r>
              <w:rPr>
                <w:b w:val="false"/>
                <w:bCs w:val="false"/>
                <w:sz w:val="18"/>
                <w:szCs w:val="18"/>
              </w:rPr>
              <w:t xml:space="preserve">3,072</w:t>
            </w:r>
          </w:p>
        </w:tc>
      </w:tr>
      <w:tr>
        <w:tc>
          <w:tcPr>
            <w:tcW w:type="dxa" w:w="1400"/>
          </w:tcPr>
          <w:p>
            <w:r>
              <w:rPr>
                <w:b w:val="false"/>
                <w:bCs w:val="false"/>
                <w:sz w:val="18"/>
                <w:szCs w:val="18"/>
              </w:rPr>
              <w:t xml:space="preserve">Total optical cores</w:t>
            </w:r>
          </w:p>
        </w:tc>
        <w:tc>
          <w:tcPr>
            <w:tcW w:type="dxa" w:w="1550"/>
          </w:tcPr>
          <w:p>
            <w:r>
              <w:rPr>
                <w:b w:val="false"/>
                <w:bCs w:val="false"/>
                <w:sz w:val="18"/>
                <w:szCs w:val="18"/>
              </w:rPr>
              <w:t xml:space="preserve">1,536</w:t>
            </w:r>
          </w:p>
        </w:tc>
        <w:tc>
          <w:tcPr>
            <w:tcW w:type="dxa" w:w="1550"/>
          </w:tcPr>
          <w:p>
            <w:r>
              <w:rPr>
                <w:b w:val="false"/>
                <w:bCs w:val="false"/>
                <w:sz w:val="18"/>
                <w:szCs w:val="18"/>
              </w:rPr>
              <w:t xml:space="preserve">9,216</w:t>
            </w:r>
          </w:p>
        </w:tc>
        <w:tc>
          <w:tcPr>
            <w:tcW w:type="dxa" w:w="1550"/>
          </w:tcPr>
          <w:p>
            <w:r>
              <w:rPr>
                <w:b w:val="false"/>
                <w:bCs w:val="false"/>
                <w:sz w:val="18"/>
                <w:szCs w:val="18"/>
              </w:rPr>
              <w:t xml:space="preserve">61,440</w:t>
            </w:r>
          </w:p>
        </w:tc>
      </w:tr>
      <w:tr>
        <w:tc>
          <w:tcPr>
            <w:tcW w:type="dxa" w:w="1400"/>
          </w:tcPr>
          <w:p>
            <w:r>
              <w:rPr>
                <w:b w:val="false"/>
                <w:bCs w:val="false"/>
                <w:sz w:val="18"/>
                <w:szCs w:val="18"/>
              </w:rPr>
              <w:t xml:space="preserve">Total bandwidth (800Gbps/core × cores)</w:t>
            </w:r>
          </w:p>
        </w:tc>
        <w:tc>
          <w:tcPr>
            <w:tcW w:type="dxa" w:w="1550"/>
          </w:tcPr>
          <w:p>
            <w:r>
              <w:rPr>
                <w:b w:val="false"/>
                <w:bCs w:val="false"/>
                <w:sz w:val="18"/>
                <w:szCs w:val="18"/>
              </w:rPr>
              <w:t xml:space="preserve">1.2288 Pbps (≈1.2 Pbps)</w:t>
            </w:r>
          </w:p>
        </w:tc>
        <w:tc>
          <w:tcPr>
            <w:tcW w:type="dxa" w:w="1550"/>
          </w:tcPr>
          <w:p>
            <w:r>
              <w:rPr>
                <w:b w:val="false"/>
                <w:bCs w:val="false"/>
                <w:sz w:val="18"/>
                <w:szCs w:val="18"/>
              </w:rPr>
              <w:t xml:space="preserve">7.3728 Pbps (≈7.4 Pbps)</w:t>
            </w:r>
          </w:p>
        </w:tc>
        <w:tc>
          <w:tcPr>
            <w:tcW w:type="dxa" w:w="1550"/>
          </w:tcPr>
          <w:p>
            <w:r>
              <w:rPr>
                <w:b w:val="false"/>
                <w:bCs w:val="false"/>
                <w:sz w:val="18"/>
                <w:szCs w:val="18"/>
              </w:rPr>
              <w:t xml:space="preserve">49.152 Pbps (≈49.2 Pbps)</w:t>
            </w:r>
          </w:p>
        </w:tc>
      </w:tr>
      <w:tr>
        <w:tc>
          <w:tcPr>
            <w:tcW w:type="dxa" w:w="1400"/>
          </w:tcPr>
          <w:p>
            <w:r>
              <w:rPr>
                <w:b w:val="false"/>
                <w:bCs w:val="false"/>
                <w:sz w:val="18"/>
                <w:szCs w:val="18"/>
              </w:rPr>
              <w:t xml:space="preserve">Ribbon composition</w:t>
            </w:r>
          </w:p>
        </w:tc>
        <w:tc>
          <w:tcPr>
            <w:tcW w:type="dxa" w:w="1550"/>
          </w:tcPr>
          <w:p>
            <w:r>
              <w:rPr>
                <w:b w:val="false"/>
                <w:bCs w:val="false"/>
                <w:sz w:val="18"/>
                <w:szCs w:val="18"/>
              </w:rPr>
              <w:t xml:space="preserve">Pure MOCT ribbon</w:t>
            </w:r>
          </w:p>
        </w:tc>
        <w:tc>
          <w:tcPr>
            <w:tcW w:type="dxa" w:w="1550"/>
          </w:tcPr>
          <w:p>
            <w:r>
              <w:rPr>
                <w:b w:val="false"/>
                <w:bCs w:val="false"/>
                <w:sz w:val="18"/>
                <w:szCs w:val="18"/>
              </w:rPr>
              <w:t xml:space="preserve">MOCT + DWDM + amplifier (fused)</w:t>
            </w:r>
          </w:p>
        </w:tc>
        <w:tc>
          <w:tcPr>
            <w:tcW w:type="dxa" w:w="1550"/>
          </w:tcPr>
          <w:p>
            <w:r>
              <w:rPr>
                <w:b w:val="false"/>
                <w:bCs w:val="false"/>
                <w:sz w:val="18"/>
                <w:szCs w:val="18"/>
              </w:rPr>
              <w:t xml:space="preserve">MOCT + DWDM + high-power amplifier + dispersion compensation (fused)</w:t>
            </w:r>
          </w:p>
        </w:tc>
      </w:tr>
      <w:tr>
        <w:tc>
          <w:tcPr>
            <w:tcW w:type="dxa" w:w="1400"/>
          </w:tcPr>
          <w:p>
            <w:r>
              <w:rPr>
                <w:b w:val="false"/>
                <w:bCs w:val="false"/>
                <w:sz w:val="18"/>
                <w:szCs w:val="18"/>
              </w:rPr>
              <w:t xml:space="preserve">DWDM required</w:t>
            </w:r>
          </w:p>
        </w:tc>
        <w:tc>
          <w:tcPr>
            <w:tcW w:type="dxa" w:w="1550"/>
          </w:tcPr>
          <w:p>
            <w:r>
              <w:rPr>
                <w:b w:val="false"/>
                <w:bCs w:val="false"/>
                <w:sz w:val="18"/>
                <w:szCs w:val="18"/>
              </w:rPr>
              <w:t xml:space="preserve">Not required</w:t>
            </w:r>
          </w:p>
        </w:tc>
        <w:tc>
          <w:tcPr>
            <w:tcW w:type="dxa" w:w="1550"/>
          </w:tcPr>
          <w:p>
            <w:r>
              <w:rPr>
                <w:b w:val="false"/>
                <w:bCs w:val="false"/>
                <w:sz w:val="18"/>
                <w:szCs w:val="18"/>
              </w:rPr>
              <w:t xml:space="preserve">Required</w:t>
            </w:r>
          </w:p>
        </w:tc>
        <w:tc>
          <w:tcPr>
            <w:tcW w:type="dxa" w:w="1550"/>
          </w:tcPr>
          <w:p>
            <w:r>
              <w:rPr>
                <w:b w:val="false"/>
                <w:bCs w:val="false"/>
                <w:sz w:val="18"/>
                <w:szCs w:val="18"/>
              </w:rPr>
              <w:t xml:space="preserve">Required (ultra-high-density)</w:t>
            </w:r>
          </w:p>
        </w:tc>
      </w:tr>
      <w:tr>
        <w:tc>
          <w:tcPr>
            <w:tcW w:type="dxa" w:w="1400"/>
          </w:tcPr>
          <w:p>
            <w:r>
              <w:rPr>
                <w:b w:val="false"/>
                <w:bCs w:val="false"/>
                <w:sz w:val="18"/>
                <w:szCs w:val="18"/>
              </w:rPr>
              <w:t xml:space="preserve">Amplifier</w:t>
            </w:r>
          </w:p>
        </w:tc>
        <w:tc>
          <w:tcPr>
            <w:tcW w:type="dxa" w:w="1550"/>
          </w:tcPr>
          <w:p>
            <w:r>
              <w:rPr>
                <w:b w:val="false"/>
                <w:bCs w:val="false"/>
                <w:sz w:val="18"/>
                <w:szCs w:val="18"/>
              </w:rPr>
              <w:t xml:space="preserve">None</w:t>
            </w:r>
          </w:p>
        </w:tc>
        <w:tc>
          <w:tcPr>
            <w:tcW w:type="dxa" w:w="1550"/>
          </w:tcPr>
          <w:p>
            <w:r>
              <w:rPr>
                <w:b w:val="false"/>
                <w:bCs w:val="false"/>
                <w:sz w:val="18"/>
                <w:szCs w:val="18"/>
              </w:rPr>
              <w:t xml:space="preserve">EDFA/SOA (fused)</w:t>
            </w:r>
          </w:p>
        </w:tc>
        <w:tc>
          <w:tcPr>
            <w:tcW w:type="dxa" w:w="1550"/>
          </w:tcPr>
          <w:p>
            <w:r>
              <w:rPr>
                <w:b w:val="false"/>
                <w:bCs w:val="false"/>
                <w:sz w:val="18"/>
                <w:szCs w:val="18"/>
              </w:rPr>
              <w:t xml:space="preserve">High-power EDFA + dispersion compensation</w:t>
            </w:r>
          </w:p>
        </w:tc>
      </w:tr>
      <w:tr>
        <w:tc>
          <w:tcPr>
            <w:tcW w:type="dxa" w:w="1400"/>
          </w:tcPr>
          <w:p>
            <w:r>
              <w:rPr>
                <w:b w:val="false"/>
                <w:bCs w:val="false"/>
                <w:sz w:val="18"/>
                <w:szCs w:val="18"/>
              </w:rPr>
              <w:t xml:space="preserve">Manufacturing method</w:t>
            </w:r>
          </w:p>
        </w:tc>
        <w:tc>
          <w:tcPr>
            <w:tcW w:type="dxa" w:w="1550"/>
          </w:tcPr>
          <w:p>
            <w:r>
              <w:rPr>
                <w:b w:val="false"/>
                <w:bCs w:val="false"/>
                <w:sz w:val="18"/>
                <w:szCs w:val="18"/>
              </w:rPr>
              <w:t xml:space="preserve">Direct CPO bonding</w:t>
            </w:r>
          </w:p>
        </w:tc>
        <w:tc>
          <w:tcPr>
            <w:tcW w:type="dxa" w:w="1550"/>
          </w:tcPr>
          <w:p>
            <w:r>
              <w:rPr>
                <w:b w:val="false"/>
                <w:bCs w:val="false"/>
                <w:sz w:val="18"/>
                <w:szCs w:val="18"/>
              </w:rPr>
              <w:t xml:space="preserve">CPO + DWDM/amplifier ribbon fusion</w:t>
            </w:r>
          </w:p>
        </w:tc>
        <w:tc>
          <w:tcPr>
            <w:tcW w:type="dxa" w:w="1550"/>
          </w:tcPr>
          <w:p>
            <w:r>
              <w:rPr>
                <w:b w:val="false"/>
                <w:bCs w:val="false"/>
                <w:sz w:val="18"/>
                <w:szCs w:val="18"/>
              </w:rPr>
              <w:t xml:space="preserve">CPO + DWDM/amplifier/compensation ribbon fusion</w:t>
            </w:r>
          </w:p>
        </w:tc>
      </w:tr>
    </w:tbl>
    <w:p>
      <w:pPr>
        <w:spacing w:after="200"/>
      </w:pPr>
      <w:r>
        <w:rPr>
          <w:i/>
          <w:iCs/>
          <w:sz w:val="20"/>
          <w:szCs w:val="20"/>
        </w:rPr>
        <w:t xml:space="preserve">Table 3-3a. Tier-Specific MOCT Ribbon Variants and Bandwidth Scale — bandwidth figures verified against WP#29 Table 4-4 × WP#26 §7; reach figures qualitative pending OI-34-06</w:t>
      </w:r>
    </w:p>
    <w:p>
      <w:pPr>
        <w:spacing w:after="160"/>
      </w:pPr>
      <w:r>
        <w:rPr>
          <w:b w:val="false"/>
          <w:bCs w:val="false"/>
          <w:i w:val="false"/>
          <w:iCs w:val="false"/>
          <w:sz w:val="22"/>
          <w:szCs w:val="22"/>
        </w:rPr>
        <w:t xml:space="preserve">O8 nodes, operating within the ≤10km reach, receive the pure MOCT ribbon — no DWDM, no amplifier, no dispersion compensation — consistent with WP#03's original passive-medium definition and keeping O8 cost/complexity minimal as the edge/access tier. D12 and I20 receive active-component "smart ribbon" variants, scaling in both core count and optical complexity with reach and aggregate capacity. This is a departure from WP#03 §9.6's characterization of MOCT as uniformly passive — see OI-34-09.</w:t>
      </w:r>
    </w:p>
    <w:p>
      <w:pPr>
        <w:spacing w:after="160"/>
      </w:pPr>
      <w:r>
        <w:rPr>
          <w:b w:val="false"/>
          <w:bCs w:val="false"/>
          <w:i w:val="false"/>
          <w:iCs w:val="false"/>
          <w:sz w:val="22"/>
          <w:szCs w:val="22"/>
        </w:rPr>
        <w:t xml:space="preserve">Visualized below: each tier's ribbon composition, from bare CPO bonding (O8) through progressively more integrated active-component smart ribbons (D12, I20).</w:t>
      </w:r>
    </w:p>
    <w:p>
      <w:pPr>
        <w:spacing w:after="200"/>
      </w:pPr>
      <w:r>
        <w:rPr>
          <w:rFonts w:ascii="Courier New" w:hAnsi="Courier New" w:cs="Courier New"/>
          <w:sz w:val="16"/>
          <w:szCs w:val="16"/>
        </w:rPr>
        <w:t xml:space="preserve">[O8] 1.2 Pbps / &lt;=10km</w:t>
        <w:br/>
        <w:t xml:space="preserve">    +---------------------------------------+</w:t>
        <w:br/>
        <w:t xml:space="preserve">    |  ASIC (Matrix)                        |</w:t>
        <w:br/>
        <w:t xml:space="preserve">    |  `-- CPO Direct Bonding                |</w:t>
        <w:br/>
        <w:t xml:space="preserve">    |      `-- MOCT Pure Ribbon              |</w:t>
        <w:br/>
        <w:t xml:space="preserve">    |          (800G x 1,536 cores)          |</w:t>
        <w:br/>
        <w:t xml:space="preserve">    +---------------------------------------+</w:t>
        <w:br/>
        <w:t xml:space="preserve"/>
        <w:br/>
        <w:t xml:space="preserve">[D12] 7.4 Pbps / tens-to-hundreds of km</w:t>
        <w:br/>
        <w:t xml:space="preserve">    +------------------------------------------------------------+</w:t>
        <w:br/>
        <w:t xml:space="preserve">    |  ASIC (Matrix)                                              |</w:t>
        <w:br/>
        <w:t xml:space="preserve">    |  `-- CPO Direct Bonding                                     |</w:t>
        <w:br/>
        <w:t xml:space="preserve">    |      `-- MOCT Ribbon + [DWDM Mux/Demux] + [EDFA/SOA]        |</w:t>
        <w:br/>
        <w:t xml:space="preserve">    |          `-- Factory-Fused "Smart Ribbon"                   |</w:t>
        <w:br/>
        <w:t xml:space="preserve">    |              (800G x 9,216 cores -&gt; 7.4 Pbps)               |</w:t>
        <w:br/>
        <w:t xml:space="preserve">    +------------------------------------------------------------+</w:t>
        <w:br/>
        <w:t xml:space="preserve"/>
        <w:br/>
        <w:t xml:space="preserve">[I20] 49.2 Pbps / hundreds-to-thousands of km</w:t>
        <w:br/>
        <w:t xml:space="preserve">    +---------------------------------------------------------------------------+</w:t>
        <w:br/>
        <w:t xml:space="preserve">    |  ASIC (Matrix)                                                            |</w:t>
        <w:br/>
        <w:t xml:space="preserve">    |  `-- CPO Direct Bonding                                                   |</w:t>
        <w:br/>
        <w:t xml:space="preserve">    |      `-- MOCT Ribbon + [DWDM Mux/Demux] + [High-Power EDFA] + [DCF]       |</w:t>
        <w:br/>
        <w:t xml:space="preserve">    |          `-- Factory-Fused "Ultra Smart Ribbon"                           |</w:t>
        <w:br/>
        <w:t xml:space="preserve">    |              (800G x 61,440 cores -&gt; 49.2 Pbps)                          |</w:t>
        <w:br/>
        <w:t xml:space="preserve">    +---------------------------------------------------------------------------+</w:t>
      </w:r>
    </w:p>
    <w:p>
      <w:pPr>
        <w:spacing w:after="200"/>
      </w:pPr>
      <w:r>
        <w:rPr>
          <w:i/>
          <w:iCs/>
          <w:sz w:val="20"/>
          <w:szCs w:val="20"/>
        </w:rPr>
        <w:t xml:space="preserve">Figure 3-3b. Tier-Specific Ribbon Composition — schematic, not to scale; restates Table 3-3a</w:t>
      </w:r>
    </w:p>
    <w:p>
      <w:pPr>
        <w:pStyle w:val="Heading2"/>
        <w:spacing w:after="160" w:before="280"/>
      </w:pPr>
      <w:r>
        <w:rPr>
          <w:b/>
          <w:bCs/>
        </w:rPr>
        <w:t xml:space="preserve">3.4 MOCT-Compliant DWDM Interface Definition</w:t>
      </w:r>
    </w:p>
    <w:p>
      <w:pPr>
        <w:spacing w:after="160"/>
      </w:pPr>
      <w:r>
        <w:rPr>
          <w:b w:val="false"/>
          <w:bCs w:val="false"/>
          <w:i w:val="false"/>
          <w:iCs w:val="false"/>
          <w:sz w:val="22"/>
          <w:szCs w:val="22"/>
        </w:rPr>
        <w:t xml:space="preserve">Per 창호's direction: DWDM equipment for D12/I20 must not be connected to the MOCT ribbon through a conventional field connector (LC/SC) — its optical I/O must itself be redesigned to accept the MOCT ribbon by direct factory fusion, consistent with the no-field-connector principle applied everywhere else in the series (WP#03 §4.1–4.2).</w:t>
      </w:r>
    </w:p>
    <w:p>
      <w:pPr>
        <w:pStyle w:val="Heading2"/>
        <w:spacing w:after="160" w:before="280"/>
      </w:pPr>
      <w:r>
        <w:rPr>
          <w:b/>
          <w:bCs/>
        </w:rPr>
        <w:t xml:space="preserve">3.4.1 Termination Specification</w:t>
      </w:r>
    </w:p>
    <w:p>
      <w:pPr>
        <w:spacing w:after="160"/>
      </w:pPr>
      <w:r>
        <w:rPr>
          <w:b w:val="false"/>
          <w:bCs w:val="false"/>
          <w:i w:val="false"/>
          <w:iCs w:val="false"/>
          <w:sz w:val="22"/>
          <w:szCs w:val="22"/>
        </w:rPr>
        <w:t xml:space="preserve">The DWDM equipment's optical input/output termination method is tier-dependent, per 창호's confirmation this session:</w:t>
      </w:r>
    </w:p>
    <w:p>
      <w:pPr>
        <w:spacing w:after="160"/>
        <w:ind w:left="360"/>
      </w:pPr>
      <w:r>
        <w:rPr>
          <w:b w:val="false"/>
          <w:bCs w:val="false"/>
          <w:sz w:val="22"/>
          <w:szCs w:val="22"/>
        </w:rPr>
        <w:t xml:space="preserve">• O8 tier: terminates directly in a factory-fused MOCT ribbon connection — one ribbon per face (8 faces). This is consistent with WP#03's original passive-medium, no-field-connector principle and keeps O8 cost/complexity minimal.</w:t>
      </w:r>
    </w:p>
    <w:p>
      <w:pPr>
        <w:spacing w:after="160"/>
        <w:ind w:left="360"/>
      </w:pPr>
      <w:r>
        <w:rPr>
          <w:b w:val="false"/>
          <w:bCs w:val="false"/>
          <w:sz w:val="22"/>
          <w:szCs w:val="22"/>
        </w:rPr>
        <w:t xml:space="preserve">• D12 and I20 tiers: terminate via the MAC (MOCT Alignment Coupler) defined in §3.4.3 — a factory-calibrated, field-insertable alignment and locking mechanism. This enables DWDM equipment replacement, upgrade, and maintenance without factory-level rework, which is required for regional/national-scale nodes where equipment lifecycle management is a practical concern.</w:t>
      </w:r>
    </w:p>
    <w:p>
      <w:pPr>
        <w:spacing w:after="160"/>
      </w:pPr>
      <w:r>
        <w:rPr>
          <w:b w:val="false"/>
          <w:bCs w:val="false"/>
          <w:i w:val="false"/>
          <w:iCs w:val="false"/>
          <w:sz w:val="22"/>
          <w:szCs w:val="22"/>
        </w:rPr>
        <w:t xml:space="preserve">The MAC is not a conventional field connector (e.g., MPO/LC) — it is a precision mechanical alignment fixture that maintains insertion loss within ≤0.1–0.2dB, approaching fusion-splice performance while allowing deliberate detachment when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18"/>
                <w:szCs w:val="18"/>
              </w:rPr>
              <w:t xml:space="preserve">Aspect</w:t>
            </w:r>
          </w:p>
        </w:tc>
        <w:tc>
          <w:tcPr>
            <w:tcW w:type="dxa" w:w="3780"/>
            <w:shd w:fill="D9D9D9" w:val="clear"/>
          </w:tcPr>
          <w:p>
            <w:r>
              <w:rPr>
                <w:b/>
                <w:bCs/>
                <w:sz w:val="18"/>
                <w:szCs w:val="18"/>
              </w:rPr>
              <w:t xml:space="preserve">Conventional DWDM</w:t>
            </w:r>
          </w:p>
        </w:tc>
        <w:tc>
          <w:tcPr>
            <w:tcW w:type="dxa" w:w="3780"/>
            <w:shd w:fill="D9D9D9" w:val="clear"/>
          </w:tcPr>
          <w:p>
            <w:r>
              <w:rPr>
                <w:b/>
                <w:bCs/>
                <w:sz w:val="18"/>
                <w:szCs w:val="18"/>
              </w:rPr>
              <w:t xml:space="preserve">MOCT-Compliant DWDM</w:t>
            </w:r>
          </w:p>
        </w:tc>
      </w:tr>
      <w:tr>
        <w:tc>
          <w:tcPr>
            <w:tcW w:type="dxa" w:w="1800"/>
          </w:tcPr>
          <w:p>
            <w:r>
              <w:rPr>
                <w:b w:val="false"/>
                <w:bCs w:val="false"/>
                <w:sz w:val="18"/>
                <w:szCs w:val="18"/>
              </w:rPr>
              <w:t xml:space="preserve">Front panel</w:t>
            </w:r>
          </w:p>
        </w:tc>
        <w:tc>
          <w:tcPr>
            <w:tcW w:type="dxa" w:w="3780"/>
          </w:tcPr>
          <w:p>
            <w:r>
              <w:rPr>
                <w:b w:val="false"/>
                <w:bCs w:val="false"/>
                <w:sz w:val="18"/>
                <w:szCs w:val="18"/>
              </w:rPr>
              <w:t xml:space="preserve">LC/SC connector array (tens of ports)</w:t>
            </w:r>
          </w:p>
        </w:tc>
        <w:tc>
          <w:tcPr>
            <w:tcW w:type="dxa" w:w="3780"/>
          </w:tcPr>
          <w:p>
            <w:r>
              <w:rPr>
                <w:b w:val="false"/>
                <w:bCs w:val="false"/>
                <w:sz w:val="18"/>
                <w:szCs w:val="18"/>
              </w:rPr>
              <w:t xml:space="preserve">MOCT ribbon terminations (12–20 ribbons)</w:t>
            </w:r>
          </w:p>
        </w:tc>
      </w:tr>
      <w:tr>
        <w:tc>
          <w:tcPr>
            <w:tcW w:type="dxa" w:w="1800"/>
          </w:tcPr>
          <w:p>
            <w:r>
              <w:rPr>
                <w:b w:val="false"/>
                <w:bCs w:val="false"/>
                <w:sz w:val="18"/>
                <w:szCs w:val="18"/>
              </w:rPr>
              <w:t xml:space="preserve">Connectors</w:t>
            </w:r>
          </w:p>
        </w:tc>
        <w:tc>
          <w:tcPr>
            <w:tcW w:type="dxa" w:w="3780"/>
          </w:tcPr>
          <w:p>
            <w:r>
              <w:rPr>
                <w:b w:val="false"/>
                <w:bCs w:val="false"/>
                <w:sz w:val="18"/>
                <w:szCs w:val="18"/>
              </w:rPr>
              <w:t xml:space="preserve">Field-pluggable</w:t>
            </w:r>
          </w:p>
        </w:tc>
        <w:tc>
          <w:tcPr>
            <w:tcW w:type="dxa" w:w="3780"/>
          </w:tcPr>
          <w:p>
            <w:r>
              <w:rPr>
                <w:b w:val="false"/>
                <w:bCs w:val="false"/>
                <w:sz w:val="18"/>
                <w:szCs w:val="18"/>
              </w:rPr>
              <w:t xml:space="preserve">None (factory-fused)</w:t>
            </w:r>
          </w:p>
        </w:tc>
      </w:tr>
      <w:tr>
        <w:tc>
          <w:tcPr>
            <w:tcW w:type="dxa" w:w="1800"/>
          </w:tcPr>
          <w:p>
            <w:r>
              <w:rPr>
                <w:b w:val="false"/>
                <w:bCs w:val="false"/>
                <w:sz w:val="18"/>
                <w:szCs w:val="18"/>
              </w:rPr>
              <w:t xml:space="preserve">Alignment</w:t>
            </w:r>
          </w:p>
        </w:tc>
        <w:tc>
          <w:tcPr>
            <w:tcW w:type="dxa" w:w="3780"/>
          </w:tcPr>
          <w:p>
            <w:r>
              <w:rPr>
                <w:b w:val="false"/>
                <w:bCs w:val="false"/>
                <w:sz w:val="18"/>
                <w:szCs w:val="18"/>
              </w:rPr>
              <w:t xml:space="preserve">Manual plug</w:t>
            </w:r>
          </w:p>
        </w:tc>
        <w:tc>
          <w:tcPr>
            <w:tcW w:type="dxa" w:w="3780"/>
          </w:tcPr>
          <w:p>
            <w:r>
              <w:rPr>
                <w:b w:val="false"/>
                <w:bCs w:val="false"/>
                <w:sz w:val="18"/>
                <w:szCs w:val="18"/>
              </w:rPr>
              <w:t xml:space="preserve">Integrated MEMS stage</w:t>
            </w:r>
          </w:p>
        </w:tc>
      </w:tr>
      <w:tr>
        <w:tc>
          <w:tcPr>
            <w:tcW w:type="dxa" w:w="1800"/>
          </w:tcPr>
          <w:p>
            <w:r>
              <w:rPr>
                <w:b w:val="false"/>
                <w:bCs w:val="false"/>
                <w:sz w:val="18"/>
                <w:szCs w:val="18"/>
              </w:rPr>
              <w:t xml:space="preserve">Maintenance</w:t>
            </w:r>
          </w:p>
        </w:tc>
        <w:tc>
          <w:tcPr>
            <w:tcW w:type="dxa" w:w="3780"/>
          </w:tcPr>
          <w:p>
            <w:r>
              <w:rPr>
                <w:b w:val="false"/>
                <w:bCs w:val="false"/>
                <w:sz w:val="18"/>
                <w:szCs w:val="18"/>
              </w:rPr>
              <w:t xml:space="preserve">Connector cleaning/replacement</w:t>
            </w:r>
          </w:p>
        </w:tc>
        <w:tc>
          <w:tcPr>
            <w:tcW w:type="dxa" w:w="3780"/>
          </w:tcPr>
          <w:p>
            <w:r>
              <w:rPr>
                <w:b w:val="false"/>
                <w:bCs w:val="false"/>
                <w:sz w:val="18"/>
                <w:szCs w:val="18"/>
              </w:rPr>
              <w:t xml:space="preserve">Ribbon not field-replaceable (factory-level only)</w:t>
            </w:r>
          </w:p>
        </w:tc>
      </w:tr>
    </w:tbl>
    <w:p>
      <w:pPr>
        <w:spacing w:after="200"/>
      </w:pPr>
      <w:r>
        <w:rPr>
          <w:i/>
          <w:iCs/>
          <w:sz w:val="20"/>
          <w:szCs w:val="20"/>
        </w:rPr>
        <w:t xml:space="preserve">Table 3-4b. Front-Panel Physical Difference — Conventional vs. MOCT-Compliant DWDM</w:t>
      </w:r>
    </w:p>
    <w:p>
      <w:pPr>
        <w:pStyle w:val="Heading2"/>
        <w:spacing w:after="160" w:before="280"/>
      </w:pPr>
      <w:r>
        <w:rPr>
          <w:b/>
          <w:bCs/>
        </w:rPr>
        <w:t xml:space="preserve">3.4.2 MEMS Alignment Structure within DWDM Equipment</w:t>
      </w:r>
    </w:p>
    <w:p>
      <w:pPr>
        <w:spacing w:after="160"/>
      </w:pPr>
      <w:r>
        <w:rPr>
          <w:b w:val="false"/>
          <w:bCs w:val="false"/>
          <w:i w:val="false"/>
          <w:iCs w:val="false"/>
          <w:sz w:val="22"/>
          <w:szCs w:val="22"/>
        </w:rPr>
        <w:t xml:space="preserve">The same MEMS Alignment Interface (MAI) that aligns MOCT's polymer waveguide array to the ribbon (WP#03 §8.3) applies inside the DWDM equipment itself: the DWDM mux/demux optics must be factory-aligned to the incoming MOCT ribbon cores using the identical static MEMS alignment principle, not a separately engineered alignment mechanism. This is restated in §4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D9D9D9" w:val="clear"/>
          </w:tcPr>
          <w:p>
            <w:r>
              <w:rPr>
                <w:b/>
                <w:bCs/>
                <w:sz w:val="18"/>
                <w:szCs w:val="18"/>
              </w:rPr>
              <w:t xml:space="preserve">Parameter</w:t>
            </w:r>
          </w:p>
        </w:tc>
        <w:tc>
          <w:tcPr>
            <w:tcW w:type="dxa" w:w="2350"/>
            <w:shd w:fill="D9D9D9" w:val="clear"/>
          </w:tcPr>
          <w:p>
            <w:r>
              <w:rPr>
                <w:b/>
                <w:bCs/>
                <w:sz w:val="18"/>
                <w:szCs w:val="18"/>
              </w:rPr>
              <w:t xml:space="preserve">Conventional DWDM</w:t>
            </w:r>
          </w:p>
        </w:tc>
        <w:tc>
          <w:tcPr>
            <w:tcW w:type="dxa" w:w="2500"/>
            <w:shd w:fill="D9D9D9" w:val="clear"/>
          </w:tcPr>
          <w:p>
            <w:r>
              <w:rPr>
                <w:b/>
                <w:bCs/>
                <w:sz w:val="18"/>
                <w:szCs w:val="18"/>
              </w:rPr>
              <w:t xml:space="preserve">MOCT-Compliant DWDM (D12)</w:t>
            </w:r>
          </w:p>
        </w:tc>
        <w:tc>
          <w:tcPr>
            <w:tcW w:type="dxa" w:w="2510"/>
            <w:shd w:fill="D9D9D9" w:val="clear"/>
          </w:tcPr>
          <w:p>
            <w:r>
              <w:rPr>
                <w:b/>
                <w:bCs/>
                <w:sz w:val="18"/>
                <w:szCs w:val="18"/>
              </w:rPr>
              <w:t xml:space="preserve">MOCT-Compliant DWDM (I20)</w:t>
            </w:r>
          </w:p>
        </w:tc>
      </w:tr>
      <w:tr>
        <w:tc>
          <w:tcPr>
            <w:tcW w:type="dxa" w:w="2000"/>
          </w:tcPr>
          <w:p>
            <w:r>
              <w:rPr>
                <w:b w:val="false"/>
                <w:bCs w:val="false"/>
                <w:sz w:val="18"/>
                <w:szCs w:val="18"/>
              </w:rPr>
              <w:t xml:space="preserve">Throughput</w:t>
            </w:r>
          </w:p>
        </w:tc>
        <w:tc>
          <w:tcPr>
            <w:tcW w:type="dxa" w:w="2350"/>
          </w:tcPr>
          <w:p>
            <w:r>
              <w:rPr>
                <w:b w:val="false"/>
                <w:bCs w:val="false"/>
                <w:sz w:val="18"/>
                <w:szCs w:val="18"/>
              </w:rPr>
              <w:t xml:space="preserve">≈128 Tbps (approximate industry reference — see OI-34-07)</w:t>
            </w:r>
          </w:p>
        </w:tc>
        <w:tc>
          <w:tcPr>
            <w:tcW w:type="dxa" w:w="2500"/>
          </w:tcPr>
          <w:p>
            <w:r>
              <w:rPr>
                <w:b w:val="false"/>
                <w:bCs w:val="false"/>
                <w:sz w:val="18"/>
                <w:szCs w:val="18"/>
              </w:rPr>
              <w:t xml:space="preserve">7.4 Pbps</w:t>
            </w:r>
          </w:p>
        </w:tc>
        <w:tc>
          <w:tcPr>
            <w:tcW w:type="dxa" w:w="2510"/>
          </w:tcPr>
          <w:p>
            <w:r>
              <w:rPr>
                <w:b w:val="false"/>
                <w:bCs w:val="false"/>
                <w:sz w:val="18"/>
                <w:szCs w:val="18"/>
              </w:rPr>
              <w:t xml:space="preserve">49.2 Pbps</w:t>
            </w:r>
          </w:p>
        </w:tc>
      </w:tr>
      <w:tr>
        <w:tc>
          <w:tcPr>
            <w:tcW w:type="dxa" w:w="2000"/>
          </w:tcPr>
          <w:p>
            <w:r>
              <w:rPr>
                <w:b w:val="false"/>
                <w:bCs w:val="false"/>
                <w:sz w:val="18"/>
                <w:szCs w:val="18"/>
              </w:rPr>
              <w:t xml:space="preserve">Optical I/O</w:t>
            </w:r>
          </w:p>
        </w:tc>
        <w:tc>
          <w:tcPr>
            <w:tcW w:type="dxa" w:w="2350"/>
          </w:tcPr>
          <w:p>
            <w:r>
              <w:rPr>
                <w:b w:val="false"/>
                <w:bCs w:val="false"/>
                <w:sz w:val="18"/>
                <w:szCs w:val="18"/>
              </w:rPr>
              <w:t xml:space="preserve">LC/SC connectors</w:t>
            </w:r>
          </w:p>
        </w:tc>
        <w:tc>
          <w:tcPr>
            <w:tcW w:type="dxa" w:w="2500"/>
          </w:tcPr>
          <w:p>
            <w:r>
              <w:rPr>
                <w:b w:val="false"/>
                <w:bCs w:val="false"/>
                <w:sz w:val="18"/>
                <w:szCs w:val="18"/>
              </w:rPr>
              <w:t xml:space="preserve">MOCT ribbon, direct fusion (12 faces)</w:t>
            </w:r>
          </w:p>
        </w:tc>
        <w:tc>
          <w:tcPr>
            <w:tcW w:type="dxa" w:w="2510"/>
          </w:tcPr>
          <w:p>
            <w:r>
              <w:rPr>
                <w:b w:val="false"/>
                <w:bCs w:val="false"/>
                <w:sz w:val="18"/>
                <w:szCs w:val="18"/>
              </w:rPr>
              <w:t xml:space="preserve">MOCT ribbon, direct fusion (20 faces)</w:t>
            </w:r>
          </w:p>
        </w:tc>
      </w:tr>
      <w:tr>
        <w:tc>
          <w:tcPr>
            <w:tcW w:type="dxa" w:w="2000"/>
          </w:tcPr>
          <w:p>
            <w:r>
              <w:rPr>
                <w:b w:val="false"/>
                <w:bCs w:val="false"/>
                <w:sz w:val="18"/>
                <w:szCs w:val="18"/>
              </w:rPr>
              <w:t xml:space="preserve">Alignment method</w:t>
            </w:r>
          </w:p>
        </w:tc>
        <w:tc>
          <w:tcPr>
            <w:tcW w:type="dxa" w:w="2350"/>
          </w:tcPr>
          <w:p>
            <w:r>
              <w:rPr>
                <w:b w:val="false"/>
                <w:bCs w:val="false"/>
                <w:sz w:val="18"/>
                <w:szCs w:val="18"/>
              </w:rPr>
              <w:t xml:space="preserve">Manual, field</w:t>
            </w:r>
          </w:p>
        </w:tc>
        <w:tc>
          <w:tcPr>
            <w:tcW w:type="dxa" w:w="2500"/>
          </w:tcPr>
          <w:p>
            <w:r>
              <w:rPr>
                <w:b w:val="false"/>
                <w:bCs w:val="false"/>
                <w:sz w:val="18"/>
                <w:szCs w:val="18"/>
              </w:rPr>
              <w:t xml:space="preserve">Factory MEMS alignment (MAI)</w:t>
            </w:r>
          </w:p>
        </w:tc>
        <w:tc>
          <w:tcPr>
            <w:tcW w:type="dxa" w:w="2510"/>
          </w:tcPr>
          <w:p>
            <w:r>
              <w:rPr>
                <w:b w:val="false"/>
                <w:bCs w:val="false"/>
                <w:sz w:val="18"/>
                <w:szCs w:val="18"/>
              </w:rPr>
              <w:t xml:space="preserve">Factory MEMS alignment (MAI)</w:t>
            </w:r>
          </w:p>
        </w:tc>
      </w:tr>
      <w:tr>
        <w:tc>
          <w:tcPr>
            <w:tcW w:type="dxa" w:w="2000"/>
          </w:tcPr>
          <w:p>
            <w:r>
              <w:rPr>
                <w:b w:val="false"/>
                <w:bCs w:val="false"/>
                <w:sz w:val="18"/>
                <w:szCs w:val="18"/>
              </w:rPr>
              <w:t xml:space="preserve">Core-to-wavelength mapping</w:t>
            </w:r>
          </w:p>
        </w:tc>
        <w:tc>
          <w:tcPr>
            <w:tcW w:type="dxa" w:w="2350"/>
          </w:tcPr>
          <w:p>
            <w:r>
              <w:rPr>
                <w:b w:val="false"/>
                <w:bCs w:val="false"/>
                <w:sz w:val="18"/>
                <w:szCs w:val="18"/>
              </w:rPr>
              <w:t xml:space="preserve">None</w:t>
            </w:r>
          </w:p>
        </w:tc>
        <w:tc>
          <w:tcPr>
            <w:tcW w:type="dxa" w:w="2500"/>
          </w:tcPr>
          <w:p>
            <w:r>
              <w:rPr>
                <w:b w:val="false"/>
                <w:bCs w:val="false"/>
                <w:sz w:val="18"/>
                <w:szCs w:val="18"/>
              </w:rPr>
              <w:t xml:space="preserve">9,216 cores → DWDM wavelength mapping</w:t>
            </w:r>
          </w:p>
        </w:tc>
        <w:tc>
          <w:tcPr>
            <w:tcW w:type="dxa" w:w="2510"/>
          </w:tcPr>
          <w:p>
            <w:r>
              <w:rPr>
                <w:b w:val="false"/>
                <w:bCs w:val="false"/>
                <w:sz w:val="18"/>
                <w:szCs w:val="18"/>
              </w:rPr>
              <w:t xml:space="preserve">61,440 cores → DWDM wavelength mapping</w:t>
            </w:r>
          </w:p>
        </w:tc>
      </w:tr>
      <w:tr>
        <w:tc>
          <w:tcPr>
            <w:tcW w:type="dxa" w:w="2000"/>
          </w:tcPr>
          <w:p>
            <w:r>
              <w:rPr>
                <w:b w:val="false"/>
                <w:bCs w:val="false"/>
                <w:sz w:val="18"/>
                <w:szCs w:val="18"/>
              </w:rPr>
              <w:t xml:space="preserve">Amplifier</w:t>
            </w:r>
          </w:p>
        </w:tc>
        <w:tc>
          <w:tcPr>
            <w:tcW w:type="dxa" w:w="2350"/>
          </w:tcPr>
          <w:p>
            <w:r>
              <w:rPr>
                <w:b w:val="false"/>
                <w:bCs w:val="false"/>
                <w:sz w:val="18"/>
                <w:szCs w:val="18"/>
              </w:rPr>
              <w:t xml:space="preserve">Separate module</w:t>
            </w:r>
          </w:p>
        </w:tc>
        <w:tc>
          <w:tcPr>
            <w:tcW w:type="dxa" w:w="2500"/>
          </w:tcPr>
          <w:p>
            <w:r>
              <w:rPr>
                <w:b w:val="false"/>
                <w:bCs w:val="false"/>
                <w:sz w:val="18"/>
                <w:szCs w:val="18"/>
              </w:rPr>
              <w:t xml:space="preserve">Ribbon-fused</w:t>
            </w:r>
          </w:p>
        </w:tc>
        <w:tc>
          <w:tcPr>
            <w:tcW w:type="dxa" w:w="2510"/>
          </w:tcPr>
          <w:p>
            <w:r>
              <w:rPr>
                <w:b w:val="false"/>
                <w:bCs w:val="false"/>
                <w:sz w:val="18"/>
                <w:szCs w:val="18"/>
              </w:rPr>
              <w:t xml:space="preserve">Ribbon-fused</w:t>
            </w:r>
          </w:p>
        </w:tc>
      </w:tr>
      <w:tr>
        <w:tc>
          <w:tcPr>
            <w:tcW w:type="dxa" w:w="2000"/>
          </w:tcPr>
          <w:p>
            <w:r>
              <w:rPr>
                <w:b w:val="false"/>
                <w:bCs w:val="false"/>
                <w:sz w:val="18"/>
                <w:szCs w:val="18"/>
              </w:rPr>
              <w:t xml:space="preserve">Dispersion compensation</w:t>
            </w:r>
          </w:p>
        </w:tc>
        <w:tc>
          <w:tcPr>
            <w:tcW w:type="dxa" w:w="2350"/>
          </w:tcPr>
          <w:p>
            <w:r>
              <w:rPr>
                <w:b w:val="false"/>
                <w:bCs w:val="false"/>
                <w:sz w:val="18"/>
                <w:szCs w:val="18"/>
              </w:rPr>
              <w:t xml:space="preserve">Separate equipment</w:t>
            </w:r>
          </w:p>
        </w:tc>
        <w:tc>
          <w:tcPr>
            <w:tcW w:type="dxa" w:w="2500"/>
          </w:tcPr>
          <w:p>
            <w:r>
              <w:rPr>
                <w:b w:val="false"/>
                <w:bCs w:val="false"/>
                <w:sz w:val="18"/>
                <w:szCs w:val="18"/>
              </w:rPr>
              <w:t xml:space="preserve">Optional</w:t>
            </w:r>
          </w:p>
        </w:tc>
        <w:tc>
          <w:tcPr>
            <w:tcW w:type="dxa" w:w="2510"/>
          </w:tcPr>
          <w:p>
            <w:r>
              <w:rPr>
                <w:b w:val="false"/>
                <w:bCs w:val="false"/>
                <w:sz w:val="18"/>
                <w:szCs w:val="18"/>
              </w:rPr>
              <w:t xml:space="preserve">Ribbon-fused</w:t>
            </w:r>
          </w:p>
        </w:tc>
      </w:tr>
      <w:tr>
        <w:tc>
          <w:tcPr>
            <w:tcW w:type="dxa" w:w="2000"/>
          </w:tcPr>
          <w:p>
            <w:r>
              <w:rPr>
                <w:b w:val="false"/>
                <w:bCs w:val="false"/>
                <w:sz w:val="18"/>
                <w:szCs w:val="18"/>
              </w:rPr>
              <w:t xml:space="preserve">Control interface</w:t>
            </w:r>
          </w:p>
        </w:tc>
        <w:tc>
          <w:tcPr>
            <w:tcW w:type="dxa" w:w="2350"/>
          </w:tcPr>
          <w:p>
            <w:r>
              <w:rPr>
                <w:b w:val="false"/>
                <w:bCs w:val="false"/>
                <w:sz w:val="18"/>
                <w:szCs w:val="18"/>
              </w:rPr>
              <w:t xml:space="preserve">SNMP/NetConf</w:t>
            </w:r>
          </w:p>
        </w:tc>
        <w:tc>
          <w:tcPr>
            <w:tcW w:type="dxa" w:w="2500"/>
          </w:tcPr>
          <w:p>
            <w:r>
              <w:rPr>
                <w:b w:val="false"/>
                <w:bCs w:val="false"/>
                <w:sz w:val="18"/>
                <w:szCs w:val="18"/>
              </w:rPr>
              <w:t xml:space="preserve">Channel 1 + NPU integration</w:t>
            </w:r>
          </w:p>
        </w:tc>
        <w:tc>
          <w:tcPr>
            <w:tcW w:type="dxa" w:w="2510"/>
          </w:tcPr>
          <w:p>
            <w:r>
              <w:rPr>
                <w:b w:val="false"/>
                <w:bCs w:val="false"/>
                <w:sz w:val="18"/>
                <w:szCs w:val="18"/>
              </w:rPr>
              <w:t xml:space="preserve">Channel 1 + NPU integration</w:t>
            </w:r>
          </w:p>
        </w:tc>
      </w:tr>
    </w:tbl>
    <w:p>
      <w:pPr>
        <w:spacing w:after="200"/>
      </w:pPr>
      <w:r>
        <w:rPr>
          <w:i/>
          <w:iCs/>
          <w:sz w:val="20"/>
          <w:szCs w:val="20"/>
        </w:rPr>
        <w:t xml:space="preserve">Table 3-4a. MOCT-Compliant DWDM Equipment Specification (D12/I20) — throughput column for D12/I20 verified against Table 3-3a; conventional-DWDM baseline and derived scale multiples are approximate, see OI-34-07</w:t>
      </w:r>
    </w:p>
    <w:p>
      <w:pPr>
        <w:spacing w:after="200"/>
      </w:pPr>
      <w:r>
        <w:rPr>
          <w:i/>
          <w:iCs/>
          <w:sz w:val="20"/>
          <w:szCs w:val="20"/>
        </w:rPr>
        <w:t xml:space="preserve">***Open — OI-34-10:*** Core-to-wavelength mapping (9,216→wavelengths for D12, 61,440→wavelengths for I20) is stated as a requirement but not yet defined — depends on DWDM channel plan (channel count, spacing, C/L-band split), which is itself part of OI-34-08.</w:t>
      </w:r>
    </w:p>
    <w:p>
      <w:pPr>
        <w:pStyle w:val="Heading2"/>
        <w:spacing w:after="160" w:before="280"/>
      </w:pPr>
      <w:r>
        <w:rPr>
          <w:b/>
          <w:bCs/>
        </w:rPr>
        <w:t xml:space="preserve">3.4.3 MOCT-DWDM Alignment Coupler (MAC)</w:t>
      </w:r>
    </w:p>
    <w:p>
      <w:pPr>
        <w:spacing w:after="160"/>
      </w:pPr>
      <w:r>
        <w:rPr>
          <w:b w:val="false"/>
          <w:bCs w:val="false"/>
          <w:i w:val="false"/>
          <w:iCs w:val="false"/>
          <w:sz w:val="22"/>
          <w:szCs w:val="22"/>
        </w:rPr>
        <w:t xml:space="preserve">The MOCT-to-DWDM connection for D12/I20 must satisfy three conditions simultaneously: (1) not factory fusion — DWDM equipment must remain replaceable/upgradeable; (2) not a conventional optical connector (e.g., MPO) — insertion loss must stay near fusion-level; (3) must not violate Velsanet's no-field-connector principle. The MOCT Alignment Coupler (MAC) is defined to satisfy all three.</w:t>
      </w:r>
    </w:p>
    <w:p>
      <w:pPr>
        <w:spacing w:after="120" w:before="200"/>
      </w:pPr>
      <w:r>
        <w:rPr>
          <w:b/>
          <w:bCs/>
          <w:sz w:val="22"/>
          <w:szCs w:val="22"/>
        </w:rPr>
        <w:t xml:space="preserve">3.4.3.1 Alignment Method</w:t>
      </w:r>
    </w:p>
    <w:p>
      <w:pPr>
        <w:spacing w:after="160"/>
      </w:pPr>
      <w:r>
        <w:rPr>
          <w:b w:val="false"/>
          <w:bCs w:val="false"/>
          <w:i w:val="false"/>
          <w:iCs w:val="false"/>
          <w:sz w:val="22"/>
          <w:szCs w:val="22"/>
        </w:rPr>
        <w:t xml:space="preserve">The MAC aligns MOCT ribbon cores to DWDM-internal waveguides using one or more of the following mechanical alignment means:</w:t>
      </w:r>
    </w:p>
    <w:p>
      <w:pPr>
        <w:spacing w:after="120"/>
        <w:ind w:left="360"/>
      </w:pPr>
      <w:r>
        <w:rPr>
          <w:b w:val="false"/>
          <w:bCs w:val="false"/>
          <w:sz w:val="22"/>
          <w:szCs w:val="22"/>
        </w:rPr>
        <w:t xml:space="preserve">• V-groove alignment: ribbon fibers seat into V-shaped grooves for passive alignment</w:t>
      </w:r>
    </w:p>
    <w:p>
      <w:pPr>
        <w:spacing w:after="120"/>
        <w:ind w:left="360"/>
      </w:pPr>
      <w:r>
        <w:rPr>
          <w:b w:val="false"/>
          <w:bCs w:val="false"/>
          <w:sz w:val="22"/>
          <w:szCs w:val="22"/>
        </w:rPr>
        <w:t xml:space="preserve">• Pin-hole alignment: mechanical keying between ribbon and DWDM equipment</w:t>
      </w:r>
    </w:p>
    <w:p>
      <w:pPr>
        <w:spacing w:after="120"/>
        <w:ind w:left="360"/>
      </w:pPr>
      <w:r>
        <w:rPr>
          <w:b w:val="false"/>
          <w:bCs w:val="false"/>
          <w:sz w:val="22"/>
          <w:szCs w:val="22"/>
        </w:rPr>
        <w:t xml:space="preserve">• MEMS stage: ultra-precision MEMS actuation for active/passive alignment (optional)</w:t>
      </w:r>
    </w:p>
    <w:p>
      <w:pPr>
        <w:spacing w:after="120" w:before="200"/>
      </w:pPr>
      <w:r>
        <w:rPr>
          <w:b/>
          <w:bCs/>
          <w:sz w:val="22"/>
          <w:szCs w:val="22"/>
        </w:rPr>
        <w:t xml:space="preserve">3.4.3.2 Locking Method</w:t>
      </w:r>
    </w:p>
    <w:p>
      <w:pPr>
        <w:spacing w:after="160"/>
      </w:pPr>
      <w:r>
        <w:rPr>
          <w:b w:val="false"/>
          <w:bCs w:val="false"/>
          <w:i w:val="false"/>
          <w:iCs w:val="false"/>
          <w:sz w:val="22"/>
          <w:szCs w:val="22"/>
        </w:rPr>
        <w:t xml:space="preserve">Once aligned, the MAC performs physical locking by one or more of:</w:t>
      </w:r>
    </w:p>
    <w:p>
      <w:pPr>
        <w:spacing w:after="120"/>
        <w:ind w:left="360"/>
      </w:pPr>
      <w:r>
        <w:rPr>
          <w:b w:val="false"/>
          <w:bCs w:val="false"/>
          <w:sz w:val="22"/>
          <w:szCs w:val="22"/>
        </w:rPr>
        <w:t xml:space="preserve">• Clamp: mechanical fastening that maintains alignment state</w:t>
      </w:r>
    </w:p>
    <w:p>
      <w:pPr>
        <w:spacing w:after="120"/>
        <w:ind w:left="360"/>
      </w:pPr>
      <w:r>
        <w:rPr>
          <w:b w:val="false"/>
          <w:bCs w:val="false"/>
          <w:sz w:val="22"/>
          <w:szCs w:val="22"/>
        </w:rPr>
        <w:t xml:space="preserve">• Screw fastening: not permanent, but robust</w:t>
      </w:r>
    </w:p>
    <w:p>
      <w:pPr>
        <w:spacing w:after="120"/>
        <w:ind w:left="360"/>
      </w:pPr>
      <w:r>
        <w:rPr>
          <w:b w:val="false"/>
          <w:bCs w:val="false"/>
          <w:sz w:val="22"/>
          <w:szCs w:val="22"/>
        </w:rPr>
        <w:t xml:space="preserve">• Magnetic latch: facilitates detachment</w:t>
      </w:r>
    </w:p>
    <w:p>
      <w:pPr>
        <w:spacing w:after="120" w:before="200"/>
      </w:pPr>
      <w:r>
        <w:rPr>
          <w:b/>
          <w:bCs/>
          <w:sz w:val="22"/>
          <w:szCs w:val="22"/>
        </w:rPr>
        <w:t xml:space="preserve">3.4.3.3 Insertion Loss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shd w:fill="D9D9D9" w:val="clear"/>
          </w:tcPr>
          <w:p>
            <w:r>
              <w:rPr>
                <w:b/>
                <w:bCs/>
                <w:sz w:val="18"/>
                <w:szCs w:val="18"/>
              </w:rPr>
              <w:t xml:space="preserve">Connection Method</w:t>
            </w:r>
          </w:p>
        </w:tc>
        <w:tc>
          <w:tcPr>
            <w:tcW w:type="dxa" w:w="2880"/>
            <w:shd w:fill="D9D9D9" w:val="clear"/>
          </w:tcPr>
          <w:p>
            <w:r>
              <w:rPr>
                <w:b/>
                <w:bCs/>
                <w:sz w:val="18"/>
                <w:szCs w:val="18"/>
              </w:rPr>
              <w:t xml:space="preserve">Insertion Loss (Target)</w:t>
            </w:r>
          </w:p>
        </w:tc>
        <w:tc>
          <w:tcPr>
            <w:tcW w:type="dxa" w:w="2880"/>
            <w:shd w:fill="D9D9D9" w:val="clear"/>
          </w:tcPr>
          <w:p>
            <w:r>
              <w:rPr>
                <w:b/>
                <w:bCs/>
                <w:sz w:val="18"/>
                <w:szCs w:val="18"/>
              </w:rPr>
              <w:t xml:space="preserve">Note</w:t>
            </w:r>
          </w:p>
        </w:tc>
      </w:tr>
      <w:tr>
        <w:tc>
          <w:tcPr>
            <w:tcW w:type="dxa" w:w="3600"/>
          </w:tcPr>
          <w:p>
            <w:r>
              <w:rPr>
                <w:b w:val="false"/>
                <w:bCs w:val="false"/>
                <w:sz w:val="18"/>
                <w:szCs w:val="18"/>
              </w:rPr>
              <w:t xml:space="preserve">Fusion</w:t>
            </w:r>
          </w:p>
        </w:tc>
        <w:tc>
          <w:tcPr>
            <w:tcW w:type="dxa" w:w="2880"/>
          </w:tcPr>
          <w:p>
            <w:r>
              <w:rPr>
                <w:b w:val="false"/>
                <w:bCs w:val="false"/>
                <w:sz w:val="18"/>
                <w:szCs w:val="18"/>
              </w:rPr>
              <w:t xml:space="preserve">≤ 0.05 dB</w:t>
            </w:r>
          </w:p>
        </w:tc>
        <w:tc>
          <w:tcPr>
            <w:tcW w:type="dxa" w:w="2880"/>
          </w:tcPr>
          <w:p>
            <w:r>
              <w:rPr>
                <w:b w:val="false"/>
                <w:bCs w:val="false"/>
                <w:sz w:val="18"/>
                <w:szCs w:val="18"/>
              </w:rPr>
              <w:t xml:space="preserve">Permanent connection, highest reliability</w:t>
            </w:r>
          </w:p>
        </w:tc>
      </w:tr>
      <w:tr>
        <w:tc>
          <w:tcPr>
            <w:tcW w:type="dxa" w:w="3600"/>
          </w:tcPr>
          <w:p>
            <w:r>
              <w:rPr>
                <w:b w:val="false"/>
                <w:bCs w:val="false"/>
                <w:sz w:val="18"/>
                <w:szCs w:val="18"/>
              </w:rPr>
              <w:t xml:space="preserve">MAC</w:t>
            </w:r>
          </w:p>
        </w:tc>
        <w:tc>
          <w:tcPr>
            <w:tcW w:type="dxa" w:w="2880"/>
          </w:tcPr>
          <w:p>
            <w:r>
              <w:rPr>
                <w:b w:val="false"/>
                <w:bCs w:val="false"/>
                <w:sz w:val="18"/>
                <w:szCs w:val="18"/>
              </w:rPr>
              <w:t xml:space="preserve">≤ 0.1–0.2 dB</w:t>
            </w:r>
          </w:p>
        </w:tc>
        <w:tc>
          <w:tcPr>
            <w:tcW w:type="dxa" w:w="2880"/>
          </w:tcPr>
          <w:p>
            <w:r>
              <w:rPr>
                <w:b w:val="false"/>
                <w:bCs w:val="false"/>
                <w:sz w:val="18"/>
                <w:szCs w:val="18"/>
              </w:rPr>
              <w:t xml:space="preserve">Alignment-and-lock method, detachable</w:t>
            </w:r>
          </w:p>
        </w:tc>
      </w:tr>
      <w:tr>
        <w:tc>
          <w:tcPr>
            <w:tcW w:type="dxa" w:w="3600"/>
          </w:tcPr>
          <w:p>
            <w:r>
              <w:rPr>
                <w:b w:val="false"/>
                <w:bCs w:val="false"/>
                <w:sz w:val="18"/>
                <w:szCs w:val="18"/>
              </w:rPr>
              <w:t xml:space="preserve">Conventional optical connector (MPO)</w:t>
            </w:r>
          </w:p>
        </w:tc>
        <w:tc>
          <w:tcPr>
            <w:tcW w:type="dxa" w:w="2880"/>
          </w:tcPr>
          <w:p>
            <w:r>
              <w:rPr>
                <w:b w:val="false"/>
                <w:bCs w:val="false"/>
                <w:sz w:val="18"/>
                <w:szCs w:val="18"/>
              </w:rPr>
              <w:t xml:space="preserve">≤ 0.5 dB</w:t>
            </w:r>
          </w:p>
        </w:tc>
        <w:tc>
          <w:tcPr>
            <w:tcW w:type="dxa" w:w="2880"/>
          </w:tcPr>
          <w:p>
            <w:r>
              <w:rPr>
                <w:b w:val="false"/>
                <w:bCs w:val="false"/>
                <w:sz w:val="18"/>
                <w:szCs w:val="18"/>
              </w:rPr>
              <w:t xml:space="preserve">Field-detachable, higher insertion loss</w:t>
            </w:r>
          </w:p>
        </w:tc>
      </w:tr>
    </w:tbl>
    <w:p>
      <w:pPr>
        <w:spacing w:after="200"/>
      </w:pPr>
      <w:r>
        <w:rPr>
          <w:i/>
          <w:iCs/>
          <w:sz w:val="20"/>
          <w:szCs w:val="20"/>
        </w:rPr>
        <w:t xml:space="preserve">Table 3-4c. Insertion Loss Targets by Connection Method — targets stated, not yet verified; see OI-34-13</w:t>
      </w:r>
    </w:p>
    <w:p>
      <w:pPr>
        <w:spacing w:after="160"/>
      </w:pPr>
      <w:r>
        <w:rPr>
          <w:b w:val="false"/>
          <w:bCs w:val="false"/>
          <w:i w:val="false"/>
          <w:iCs w:val="false"/>
          <w:sz w:val="22"/>
          <w:szCs w:val="22"/>
        </w:rPr>
        <w:t xml:space="preserve">The MAC targets insertion loss approaching fusion-splice performance while retaining deliberate detachability.</w:t>
      </w:r>
    </w:p>
    <w:p>
      <w:pPr>
        <w:spacing w:after="120" w:before="200"/>
      </w:pPr>
      <w:r>
        <w:rPr>
          <w:b/>
          <w:bCs/>
          <w:sz w:val="22"/>
          <w:szCs w:val="22"/>
        </w:rPr>
        <w:t xml:space="preserve">MAC Durability (Lifecycle)</w:t>
      </w:r>
    </w:p>
    <w:p>
      <w:pPr>
        <w:spacing w:after="160"/>
      </w:pPr>
      <w:r>
        <w:rPr>
          <w:b w:val="false"/>
          <w:bCs w:val="false"/>
          <w:i w:val="false"/>
          <w:iCs w:val="false"/>
          <w:sz w:val="22"/>
          <w:szCs w:val="22"/>
        </w:rPr>
        <w:t xml:space="preserve">MAC durability — insertion/removal cycle count, insertion-loss drift over repeated cycles, and replacement interval — is a vendor manufacturing-capability question, appropriately handled as a requirement in Table 6-1a rather than specified in this document.</w:t>
      </w:r>
    </w:p>
    <w:p>
      <w:pPr>
        <w:spacing w:after="200"/>
      </w:pPr>
      <w:r>
        <w:rPr>
          <w:i/>
          <w:iCs/>
          <w:sz w:val="20"/>
          <w:szCs w:val="20"/>
        </w:rPr>
        <w:t xml:space="preserve">***Open — OI-34-17:*** MAC durability target (rated insertion/removal cycles, insertion-loss drift limit over that lifetime, and expected replacement interval) is not set. Velsanet must set the target; the DWDM vendor must demonstrate it can be met (Table 6-1a, extended).</w:t>
      </w:r>
    </w:p>
    <w:p>
      <w:pPr>
        <w:spacing w:after="120" w:before="200"/>
      </w:pPr>
      <w:r>
        <w:rPr>
          <w:b/>
          <w:bCs/>
          <w:sz w:val="22"/>
          <w:szCs w:val="22"/>
        </w:rPr>
        <w:t xml:space="preserve">3.4.3.4 MAC Operating Principle</w:t>
      </w:r>
    </w:p>
    <w:p>
      <w:pPr>
        <w:spacing w:after="160"/>
      </w:pPr>
      <w:r>
        <w:rPr>
          <w:b w:val="false"/>
          <w:bCs w:val="false"/>
          <w:i w:val="false"/>
          <w:iCs w:val="false"/>
          <w:sz w:val="22"/>
          <w:szCs w:val="22"/>
        </w:rPr>
        <w:t xml:space="preserve">The MAC operates in three stages:</w:t>
      </w:r>
    </w:p>
    <w:p>
      <w:pPr>
        <w:spacing w:after="120"/>
        <w:ind w:left="360"/>
      </w:pPr>
      <w:r>
        <w:rPr>
          <w:b w:val="false"/>
          <w:bCs w:val="false"/>
          <w:sz w:val="22"/>
          <w:szCs w:val="22"/>
        </w:rPr>
        <w:t xml:space="preserve">• 1. Factory calibration: X/Y/Z alignment between the MOCT ribbon and DWDM-internal waveguide is performed at the factory; the alignment state is mechanically fixed/recorded within the MAC.</w:t>
      </w:r>
    </w:p>
    <w:p>
      <w:pPr>
        <w:spacing w:after="120"/>
        <w:ind w:left="360"/>
      </w:pPr>
      <w:r>
        <w:rPr>
          <w:b w:val="false"/>
          <w:bCs w:val="false"/>
          <w:sz w:val="22"/>
          <w:szCs w:val="22"/>
        </w:rPr>
        <w:t xml:space="preserve">• 2. Field insertion: a field technician pushes the MOCT ribbon into the MAC's insertion port; the factory-calibrated alignment guide directs the ribbon to the correct position.</w:t>
      </w:r>
    </w:p>
    <w:p>
      <w:pPr>
        <w:spacing w:after="120"/>
        <w:ind w:left="360"/>
      </w:pPr>
      <w:r>
        <w:rPr>
          <w:b w:val="false"/>
          <w:bCs w:val="false"/>
          <w:sz w:val="22"/>
          <w:szCs w:val="22"/>
        </w:rPr>
        <w:t xml:space="preserve">• 3. Field locking: once fully inserted, the ribbon is physically locked via clamp/screw/latch — connection is complete by "push and lock" alone, with no electrical or optical adjustment required.</w:t>
      </w:r>
    </w:p>
    <w:p>
      <w:pPr>
        <w:spacing w:after="120" w:before="200"/>
      </w:pPr>
      <w:r>
        <w:rPr>
          <w:b/>
          <w:bCs/>
          <w:sz w:val="22"/>
          <w:szCs w:val="22"/>
        </w:rPr>
        <w:t xml:space="preserve">Thermal Expansion Matching</w:t>
      </w:r>
    </w:p>
    <w:p>
      <w:pPr>
        <w:spacing w:after="160"/>
      </w:pPr>
      <w:r>
        <w:rPr>
          <w:b w:val="false"/>
          <w:bCs w:val="false"/>
          <w:i w:val="false"/>
          <w:iCs w:val="false"/>
          <w:sz w:val="22"/>
          <w:szCs w:val="22"/>
        </w:rPr>
        <w:t xml:space="preserve">Because factory calibration (step 1) is performed at a fixed reference temperature but field operation spans a wider range, differential thermal expansion between the MAC body, the MOCT ribbon, and the DWDM-internal waveguide can shift the calibrated alignment. Material CTE (coefficient of thermal expansion) matching, the rated operating temperature range, and any active temperature compensation are therefore part of the MAC design, not a detail that can be deferred to field adjustment (which the design explicitly excludes).</w:t>
      </w:r>
    </w:p>
    <w:p>
      <w:pPr>
        <w:spacing w:after="200"/>
      </w:pPr>
      <w:r>
        <w:rPr>
          <w:i/>
          <w:iCs/>
          <w:sz w:val="20"/>
          <w:szCs w:val="20"/>
        </w:rPr>
        <w:t xml:space="preserve">***Open — OI-34-18:*** Material CTE matching strategy, rated operating temperature range, and whether temperature compensation is passive (matched materials) or active (compensating mechanism) are undefined. This is primarily a vendor material-selection and mechanical-design question (Table 6-1a candidate addition), but Velsanet must specify the required operating temperature range as an input.</w:t>
      </w:r>
    </w:p>
    <w:p>
      <w:pPr>
        <w:spacing w:after="200"/>
      </w:pPr>
      <w:r>
        <w:rPr>
          <w:i/>
          <w:iCs/>
          <w:color w:val="888888"/>
          <w:sz w:val="22"/>
          <w:szCs w:val="22"/>
        </w:rPr>
        <w:t xml:space="preserve">[상세 미정 — 차후 세션에서 확정] MAC mechanical specifications (dimensions, tolerances, materials) and the insertion loss targets above are not yet verified against an actual design — see OI-34-13. Long-term reliability (temperature cycling, vibration, repeated insertion/removal) is also undefined — see OI-34-14.</w:t>
      </w:r>
    </w:p>
    <w:p>
      <w:pPr>
        <w:pStyle w:val="Heading2"/>
        <w:spacing w:after="160" w:before="280"/>
      </w:pPr>
      <w:r>
        <w:rPr>
          <w:b/>
          <w:bCs/>
        </w:rPr>
        <w:t xml:space="preserve">3.4.3.5 Slot-Level Auto-Monitoring and Control</w:t>
      </w:r>
    </w:p>
    <w:p>
      <w:pPr>
        <w:spacing w:after="160"/>
      </w:pPr>
      <w:r>
        <w:rPr>
          <w:b w:val="false"/>
          <w:bCs w:val="false"/>
          <w:i w:val="false"/>
          <w:iCs w:val="false"/>
          <w:sz w:val="22"/>
          <w:szCs w:val="22"/>
        </w:rPr>
        <w:t xml:space="preserve">The D12/I20-tier MAC must include the following automated alignment monitoring and control functions:</w:t>
      </w:r>
    </w:p>
    <w:p>
      <w:pPr>
        <w:spacing w:after="120" w:before="200"/>
      </w:pPr>
      <w:r>
        <w:rPr>
          <w:b/>
          <w:bCs/>
          <w:sz w:val="22"/>
          <w:szCs w:val="22"/>
        </w:rPr>
        <w:t xml:space="preserve">(1) Auto-Monitoring</w:t>
      </w:r>
    </w:p>
    <w:p>
      <w:pPr>
        <w:spacing w:after="120"/>
        <w:ind w:left="360"/>
      </w:pPr>
      <w:r>
        <w:rPr>
          <w:b w:val="false"/>
          <w:bCs w:val="false"/>
          <w:sz w:val="22"/>
          <w:szCs w:val="22"/>
        </w:rPr>
        <w:t xml:space="preserve">• Measures each slot (face)'s optical core alignment state in real time or periodically</w:t>
      </w:r>
    </w:p>
    <w:p>
      <w:pPr>
        <w:spacing w:after="120"/>
        <w:ind w:left="360"/>
      </w:pPr>
      <w:r>
        <w:rPr>
          <w:b w:val="false"/>
          <w:bCs w:val="false"/>
          <w:sz w:val="22"/>
          <w:szCs w:val="22"/>
        </w:rPr>
        <w:t xml:space="preserve">• Measured items: insertion loss, optical power, alignment error (X/Y/Z axes)</w:t>
      </w:r>
    </w:p>
    <w:p>
      <w:pPr>
        <w:spacing w:after="120"/>
        <w:ind w:left="360"/>
      </w:pPr>
      <w:r>
        <w:rPr>
          <w:b w:val="false"/>
          <w:bCs w:val="false"/>
          <w:sz w:val="22"/>
          <w:szCs w:val="22"/>
        </w:rPr>
        <w:t xml:space="preserve">• Measurement method: optical feedback (power monitor, interferometry) or mechanical sensors</w:t>
      </w:r>
    </w:p>
    <w:p>
      <w:pPr>
        <w:spacing w:after="120" w:before="200"/>
      </w:pPr>
      <w:r>
        <w:rPr>
          <w:b/>
          <w:bCs/>
          <w:sz w:val="22"/>
          <w:szCs w:val="22"/>
        </w:rPr>
        <w:t xml:space="preserve">(2) Auto-Control</w:t>
      </w:r>
    </w:p>
    <w:p>
      <w:pPr>
        <w:spacing w:after="120"/>
        <w:ind w:left="360"/>
      </w:pPr>
      <w:r>
        <w:rPr>
          <w:b w:val="false"/>
          <w:bCs w:val="false"/>
          <w:sz w:val="22"/>
          <w:szCs w:val="22"/>
        </w:rPr>
        <w:t xml:space="preserve">• Actively corrects alignment state based on measurement results</w:t>
      </w:r>
    </w:p>
    <w:p>
      <w:pPr>
        <w:spacing w:after="120"/>
        <w:ind w:left="360"/>
      </w:pPr>
      <w:r>
        <w:rPr>
          <w:b w:val="false"/>
          <w:bCs w:val="false"/>
          <w:sz w:val="22"/>
          <w:szCs w:val="22"/>
        </w:rPr>
        <w:t xml:space="preserve">• Fine X/Y/Z adjustment via MEMS actuators or mechanical adjustment mechanisms</w:t>
      </w:r>
    </w:p>
    <w:p>
      <w:pPr>
        <w:spacing w:after="120"/>
        <w:ind w:left="360"/>
      </w:pPr>
      <w:r>
        <w:rPr>
          <w:b w:val="false"/>
          <w:bCs w:val="false"/>
          <w:sz w:val="22"/>
          <w:szCs w:val="22"/>
        </w:rPr>
        <w:t xml:space="preserve">• Closed-loop control maintains alignment state continuously</w:t>
      </w:r>
    </w:p>
    <w:p>
      <w:pPr>
        <w:spacing w:after="120" w:before="200"/>
      </w:pPr>
      <w:r>
        <w:rPr>
          <w:b/>
          <w:bCs/>
          <w:sz w:val="22"/>
          <w:szCs w:val="22"/>
        </w:rPr>
        <w:t xml:space="preserve">(3) Slot-Level Independence</w:t>
      </w:r>
    </w:p>
    <w:p>
      <w:pPr>
        <w:spacing w:after="120"/>
        <w:ind w:left="360"/>
      </w:pPr>
      <w:r>
        <w:rPr>
          <w:b w:val="false"/>
          <w:bCs w:val="false"/>
          <w:sz w:val="22"/>
          <w:szCs w:val="22"/>
        </w:rPr>
        <w:t xml:space="preserve">• Independent measurement and control channel per slot (face)</w:t>
      </w:r>
    </w:p>
    <w:p>
      <w:pPr>
        <w:spacing w:after="120"/>
        <w:ind w:left="360"/>
      </w:pPr>
      <w:r>
        <w:rPr>
          <w:b w:val="false"/>
          <w:bCs w:val="false"/>
          <w:sz w:val="22"/>
          <w:szCs w:val="22"/>
        </w:rPr>
        <w:t xml:space="preserve">• D12: 12 slots; I20: 20 slots, each independently controllable</w:t>
      </w:r>
    </w:p>
    <w:p>
      <w:pPr>
        <w:spacing w:after="120" w:before="200"/>
      </w:pPr>
      <w:r>
        <w:rPr>
          <w:b/>
          <w:bCs/>
          <w:sz w:val="22"/>
          <w:szCs w:val="22"/>
        </w:rPr>
        <w:t xml:space="preserve">(4) Relationship to WP#03 §8.3</w:t>
      </w:r>
    </w:p>
    <w:p>
      <w:pPr>
        <w:spacing w:after="160"/>
      </w:pPr>
      <w:r>
        <w:rPr>
          <w:b w:val="false"/>
          <w:bCs w:val="false"/>
          <w:i w:val="false"/>
          <w:iCs w:val="false"/>
          <w:sz w:val="22"/>
          <w:szCs w:val="22"/>
        </w:rPr>
        <w:t xml:space="preserve">WP#03 §8.3 establishes static MEMS (no active control) as the general principle. D12/I20's auto-control here is a tier-based exception to that principle — extending the same exception already registered at OI-34-09 (§3.3's active-component smart ribbon), rather than introducing a new, separately-flagged conflict. O8 retains static MEMS per WP#03's original definition; only D12/I20 apply auto-control.</w:t>
      </w:r>
    </w:p>
    <w:p>
      <w:pPr>
        <w:spacing w:after="200"/>
      </w:pPr>
      <w:r>
        <w:rPr>
          <w:i/>
          <w:iCs/>
          <w:sz w:val="20"/>
          <w:szCs w:val="20"/>
        </w:rPr>
        <w:t xml:space="preserve">***Open — OI-34-15:*** Slot-level auto-monitoring and control mechanism is not yet defined — sensor type (optical feedback vs. mechanical), control algorithm, actuator response time/range, and closed-loop stability are all unresolved. This is a further specific instance of the WP#03 §8.3/§9.6 static-passive-medium exception already tracked at OI-34-09; that item's eventual WP#03 amendment should cover both §9.6 (passive medium) and §8.3 (static MEMS) for D12/I20.</w:t>
      </w:r>
    </w:p>
    <w:p>
      <w:pPr>
        <w:spacing w:after="120" w:before="200"/>
      </w:pPr>
      <w:r>
        <w:rPr>
          <w:b/>
          <w:bCs/>
          <w:sz w:val="22"/>
          <w:szCs w:val="22"/>
        </w:rPr>
        <w:t xml:space="preserve">(5) Control-Failure Behavior</w:t>
      </w:r>
    </w:p>
    <w:p>
      <w:pPr>
        <w:spacing w:after="160"/>
      </w:pPr>
      <w:r>
        <w:rPr>
          <w:b w:val="false"/>
          <w:bCs w:val="false"/>
          <w:i w:val="false"/>
          <w:iCs w:val="false"/>
          <w:sz w:val="22"/>
          <w:szCs w:val="22"/>
        </w:rPr>
        <w:t xml:space="preserve">Per 창호's correction this session: this does not require a new escalation architecture. WP#29 §10.7.11/§10.7.2 and WP#30 §3.1 already define the mechanism — MONITOR_CH detects a link-status condition (LOS/BER) and reports it to the NPU, which executes a pre-defined, deterministic response (alternate-path activation or Master-Standby handover, WP#30 Table 3-3) without NPU judgment being invented case-by-case. A MAC auto-control failure is simply a new fault source that should surface through this existing pipeline, not a reason to design a separate one.</w:t>
      </w:r>
    </w:p>
    <w:p>
      <w:pPr>
        <w:spacing w:after="200"/>
      </w:pPr>
      <w:r>
        <w:rPr>
          <w:i/>
          <w:iCs/>
          <w:sz w:val="20"/>
          <w:szCs w:val="20"/>
        </w:rPr>
        <w:t xml:space="preserve">***Open — OI-34-16:*** How a MAC auto-control failure maps onto MONITOR_CH's existing MONITOR_EVENT_REG (WP#30 Table 3-2b) is undefined — whether it reuses the existing LOS or BER_THRESHOLD bits, or requires a new bit/ACTION value (Table 3-3 currently has no MAC-specific case). This is a narrow register-mapping question, not a new architecture item — the detection-to-response pipeline itself (MONITOR_CH → NPU → alternate-path/handover) already exists and is reused as-is.</w:t>
      </w:r>
    </w:p>
    <w:p>
      <w:pPr>
        <w:pStyle w:val="Heading2"/>
        <w:spacing w:after="160" w:before="280"/>
      </w:pPr>
      <w:r>
        <w:rPr>
          <w:b/>
          <w:bCs/>
        </w:rPr>
        <w:t xml:space="preserve">3.5 Tier Summary: Ribbon Composition and DWDM Integration</w:t>
      </w:r>
    </w:p>
    <w:p>
      <w:pPr>
        <w:spacing w:after="160"/>
      </w:pPr>
      <w:r>
        <w:rPr>
          <w:b w:val="false"/>
          <w:bCs w:val="false"/>
          <w:i w:val="false"/>
          <w:iCs w:val="false"/>
          <w:sz w:val="22"/>
          <w:szCs w:val="22"/>
        </w:rPr>
        <w:t xml:space="preserve">O8 — 1.2 Pbps / 1,536 cores / ≤10km reach: pure MOCT ribbon via direct CPO bonding; no DWDM required.</w:t>
      </w:r>
    </w:p>
    <w:p>
      <w:pPr>
        <w:spacing w:after="160"/>
      </w:pPr>
      <w:r>
        <w:rPr>
          <w:b w:val="false"/>
          <w:bCs w:val="false"/>
          <w:i w:val="false"/>
          <w:iCs w:val="false"/>
          <w:sz w:val="22"/>
          <w:szCs w:val="22"/>
        </w:rPr>
        <w:t xml:space="preserve">D12 — 7.4 Pbps / 9,216 cores / tens-to-hundreds-of-km reach: MOCT + DWDM + EDFA fused into a single smart-ribbon assembly; per 창호, this implies DWDM equipment must be newly designed at roughly 58× a conventional ≈128Tbps unit's throughput (approximate, see OI-34-07).</w:t>
      </w:r>
    </w:p>
    <w:p>
      <w:pPr>
        <w:spacing w:after="160"/>
      </w:pPr>
      <w:r>
        <w:rPr>
          <w:b w:val="false"/>
          <w:bCs w:val="false"/>
          <w:i w:val="false"/>
          <w:iCs w:val="false"/>
          <w:sz w:val="22"/>
          <w:szCs w:val="22"/>
        </w:rPr>
        <w:t xml:space="preserve">I20 — 49.2 Pbps / 61,440 cores / hundreds-to-thousands-of-km reach: MOCT + DWDM + high-power EDFA + dispersion compensation fused into a single smart-ribbon assembly; per 창호, this implies DWDM equipment must be redesigned at roughly 384× a conventional ≈128Tbps unit's throughput (approximate, see OI-34-07), i.e. an ultra-high-density redesign, not an incremental scale-up of an existing product.</w:t>
      </w:r>
    </w:p>
    <w:p>
      <w:pPr>
        <w:pStyle w:val="Heading1"/>
        <w:spacing w:after="160" w:before="280"/>
      </w:pPr>
      <w:r>
        <w:rPr>
          <w:b/>
          <w:bCs/>
        </w:rPr>
        <w:t xml:space="preserve">4. MEMS Alignment Process</w:t>
      </w:r>
    </w:p>
    <w:p>
      <w:pPr>
        <w:spacing w:after="160"/>
      </w:pPr>
      <w:r>
        <w:rPr>
          <w:b w:val="false"/>
          <w:bCs w:val="false"/>
          <w:sz w:val="22"/>
          <w:szCs w:val="22"/>
        </w:rPr>
        <w:t xml:space="preserve">Per 창호's stated principle this session: if factory-level MEMS alignment and optical fusion are secured, the physical fit between MOCT and the multi-layer multi-plane Matrix is structurally already guaranteed by the numeric correspondence in §3.2 — the alignment process itself is therefore the load-bearing manufacturing step this document must define precisely.</w:t>
      </w:r>
    </w:p>
    <w:p>
      <w:pPr>
        <w:pStyle w:val="Heading2"/>
        <w:spacing w:after="160" w:before="280"/>
      </w:pPr>
      <w:r>
        <w:rPr>
          <w:b/>
          <w:bCs/>
        </w:rPr>
        <w:t xml:space="preserve">4.1 Static MEMS Alignment Elements (per WP#03 §8.3)</w:t>
      </w:r>
    </w:p>
    <w:p>
      <w:pPr>
        <w:spacing w:after="160"/>
      </w:pPr>
      <w:r>
        <w:rPr>
          <w:b w:val="false"/>
          <w:bCs w:val="false"/>
          <w:sz w:val="22"/>
          <w:szCs w:val="22"/>
        </w:rPr>
        <w:t xml:space="preserve">WP#03 §8.3 establishes that the semiconductor-based photonic matrix combines with MEMS alignment structures using lithographic precision, high-density optical contact arrays, and static (non-actuated) MEMS elements that guarantee — rather than actively maintain — accurate core-to-matrix junctions once bonded.</w:t>
      </w:r>
    </w:p>
    <w:p>
      <w:pPr>
        <w:spacing w:after="200"/>
      </w:pPr>
      <w:r>
        <w:rPr>
          <w:i/>
          <w:iCs/>
          <w:color w:val="888888"/>
          <w:sz w:val="22"/>
          <w:szCs w:val="22"/>
        </w:rPr>
        <w:t xml:space="preserve">[상세 미정 — 차후 세션에서 확정] Specific alignment tolerance budget (µm-level positional accuracy target), MEMS actuator/anchor part class or process (e.g. which lithography node, which bonding technique), and the verification/test method used to confirm alignment at manufacture are not yet drafted — see OI-34-03.</w:t>
      </w:r>
    </w:p>
    <w:p>
      <w:pPr>
        <w:pStyle w:val="Heading2"/>
        <w:spacing w:after="160" w:before="280"/>
      </w:pPr>
      <w:r>
        <w:rPr>
          <w:b/>
          <w:bCs/>
        </w:rPr>
        <w:t xml:space="preserve">4.2 MEMS Alignment in DWDM Equipment (D12/I20 — New per §3.4.2)</w:t>
      </w:r>
    </w:p>
    <w:p>
      <w:pPr>
        <w:spacing w:after="160"/>
      </w:pPr>
      <w:r>
        <w:rPr>
          <w:b w:val="false"/>
          <w:bCs w:val="false"/>
          <w:i w:val="false"/>
          <w:iCs w:val="false"/>
          <w:sz w:val="22"/>
          <w:szCs w:val="22"/>
        </w:rPr>
        <w:t xml:space="preserve">The static MEMS alignment principle of §4.1 applies identically inside D12/I20's DWDM equipment: the DWDM mux/demux optics are factory-aligned to the incoming MOCT ribbon cores using the same MAI mechanism, not a separately engineered alignment process. This is stated as a requirement, not yet as a manufacturing procedure — see OI-34-03, which now also covers this DWDM-internal alignment case.</w:t>
      </w:r>
    </w:p>
    <w:p>
      <w:pPr>
        <w:spacing w:after="200"/>
      </w:pPr>
      <w:r>
        <w:rPr>
          <w:rFonts w:ascii="Courier New" w:hAnsi="Courier New" w:cs="Courier New"/>
          <w:sz w:val="16"/>
          <w:szCs w:val="16"/>
        </w:rPr>
        <w:t xml:space="preserve">[DWDM Equipment Internal Optical Path]</w:t>
        <w:br/>
        <w:t xml:space="preserve"/>
        <w:br/>
        <w:t xml:space="preserve">MOCT Ribbon (12/20 faces)</w:t>
        <w:br/>
        <w:t xml:space="preserve">    |</w:t>
        <w:br/>
        <w:t xml:space="preserve">    v</w:t>
        <w:br/>
        <w:t xml:space="preserve">[MAI MEMS Alignment Stage]   &lt;- aligns ribbon cores to DWDM-internal waveguides</w:t>
        <w:br/>
        <w:t xml:space="preserve">    |</w:t>
        <w:br/>
        <w:t xml:space="preserve">    v</w:t>
        <w:br/>
        <w:t xml:space="preserve">[DWDM Mux/Demux]             &lt;- wavelength separation/combination</w:t>
        <w:br/>
        <w:t xml:space="preserve">    |</w:t>
        <w:br/>
        <w:t xml:space="preserve">    v</w:t>
        <w:br/>
        <w:t xml:space="preserve">[Amplifier (EDFA/SOA)]       &lt;- signal amplification</w:t>
        <w:br/>
        <w:t xml:space="preserve">    |</w:t>
        <w:br/>
        <w:t xml:space="preserve">    v</w:t>
        <w:br/>
        <w:t xml:space="preserve">[External Optical Network]</w:t>
      </w:r>
    </w:p>
    <w:p>
      <w:pPr>
        <w:spacing w:after="200"/>
      </w:pPr>
      <w:r>
        <w:rPr>
          <w:i/>
          <w:iCs/>
          <w:sz w:val="20"/>
          <w:szCs w:val="20"/>
        </w:rPr>
        <w:t xml:space="preserve">Figure 4-2a. DWDM-Internal Optical Path and MEMS Alignment Point (D12/I20)</w:t>
      </w:r>
    </w:p>
    <w:p>
      <w:pPr>
        <w:spacing w:after="160"/>
      </w:pPr>
      <w:r>
        <w:rPr>
          <w:b w:val="false"/>
          <w:bCs w:val="false"/>
          <w:i w:val="false"/>
          <w:iCs w:val="false"/>
          <w:sz w:val="22"/>
          <w:szCs w:val="22"/>
        </w:rPr>
        <w:t xml:space="preserve">Why MEMS alignment is required at this point:</w:t>
      </w:r>
    </w:p>
    <w:p>
      <w:pPr>
        <w:spacing w:after="160"/>
      </w:pPr>
      <w:r>
        <w:rPr>
          <w:b w:val="false"/>
          <w:bCs w:val="false"/>
          <w:i w:val="false"/>
          <w:iCs w:val="false"/>
          <w:sz w:val="22"/>
          <w:szCs w:val="22"/>
        </w:rPr>
        <w:t xml:space="preserve">— Each of the MOCT ribbon's cores (hundreds to thousands) must align to the DWDM-internal waveguide at sub-micron precision.</w:t>
      </w:r>
    </w:p>
    <w:p>
      <w:pPr>
        <w:spacing w:after="160"/>
      </w:pPr>
      <w:r>
        <w:rPr>
          <w:b w:val="false"/>
          <w:bCs w:val="false"/>
          <w:i w:val="false"/>
          <w:iCs w:val="false"/>
          <w:sz w:val="22"/>
          <w:szCs w:val="22"/>
        </w:rPr>
        <w:t xml:space="preserve">— Misalignment increases insertion loss, which can collapse the overall link budget.</w:t>
      </w:r>
    </w:p>
    <w:p>
      <w:pPr>
        <w:spacing w:after="160"/>
      </w:pPr>
      <w:r>
        <w:rPr>
          <w:b w:val="false"/>
          <w:bCs w:val="false"/>
          <w:i w:val="false"/>
          <w:iCs w:val="false"/>
          <w:sz w:val="22"/>
          <w:szCs w:val="22"/>
        </w:rPr>
        <w:t xml:space="preserve">— Once aligned at the factory, the junction is permanently fixed — no field re-alignment, consistent with WP#03's static-MEMS principle (§8.3).</w:t>
      </w:r>
    </w:p>
    <w:p>
      <w:pPr>
        <w:pStyle w:val="Heading1"/>
        <w:spacing w:after="160" w:before="280"/>
      </w:pPr>
      <w:r>
        <w:rPr>
          <w:b/>
          <w:bCs/>
        </w:rPr>
        <w:t xml:space="preserve">5. Optical Fusion (Splicing) Process</w:t>
      </w:r>
    </w:p>
    <w:p>
      <w:pPr>
        <w:pStyle w:val="Heading2"/>
        <w:spacing w:after="160" w:before="280"/>
      </w:pPr>
      <w:r>
        <w:rPr>
          <w:b/>
          <w:bCs/>
        </w:rPr>
        <w:t xml:space="preserve">5.1 Factory Fusion Principle (per WP#03 §4.2/§9.4)</w:t>
      </w:r>
    </w:p>
    <w:p>
      <w:pPr>
        <w:spacing w:after="160"/>
      </w:pPr>
      <w:r>
        <w:rPr>
          <w:b w:val="false"/>
          <w:bCs w:val="false"/>
          <w:sz w:val="22"/>
          <w:szCs w:val="22"/>
        </w:rPr>
        <w:t xml:space="preserve">WP#03 establishes that MOCT's fibers are pre-attached and fused at the factory as an inseparable extension of the transceiver (5m+ length), eliminating connector mating cycles, insertion-loss variation, and field-installation error by construction. This section is the process-level counterpart: it must define how that factory fusion is actually performed.</w:t>
      </w:r>
    </w:p>
    <w:p>
      <w:pPr>
        <w:spacing w:after="200"/>
      </w:pPr>
      <w:r>
        <w:rPr>
          <w:i/>
          <w:iCs/>
          <w:color w:val="888888"/>
          <w:sz w:val="22"/>
          <w:szCs w:val="22"/>
        </w:rPr>
        <w:t xml:space="preserve">[상세 미정 — 차후 세션에서 확정] The specific fusion process (e.g. laser welding, thermal fusion splicing, or adhesive-free direct bonding), process temperature/time parameters, and post-fusion yield/inspection criteria are not yet drafted — see OI-34-04.</w:t>
      </w:r>
    </w:p>
    <w:p>
      <w:pPr>
        <w:pStyle w:val="Heading2"/>
        <w:spacing w:after="160" w:before="280"/>
      </w:pPr>
      <w:r>
        <w:rPr>
          <w:b/>
          <w:bCs/>
        </w:rPr>
        <w:t xml:space="preserve">5.2 Smart-Ribbon Fusion Process — D12 (DWDM + EDFA)</w:t>
      </w:r>
    </w:p>
    <w:p>
      <w:pPr>
        <w:spacing w:after="160"/>
      </w:pPr>
      <w:r>
        <w:rPr>
          <w:b w:val="false"/>
          <w:bCs w:val="false"/>
          <w:i w:val="false"/>
          <w:iCs w:val="false"/>
          <w:sz w:val="22"/>
          <w:szCs w:val="22"/>
        </w:rPr>
        <w:t xml:space="preserve">For D12, the factory fusion process of §5.1 extends to cover the DWDM mux/demux and EDFA/SOA amplifier stage: these are fused into the ribbon assembly at manufacture as a single subassembly, per §3.3's "smart ribbon" principle and WP#03 §4.2/§9.4's no-field-installation mandate.</w:t>
      </w:r>
    </w:p>
    <w:p>
      <w:pPr>
        <w:spacing w:after="200"/>
      </w:pPr>
      <w:r>
        <w:rPr>
          <w:i/>
          <w:iCs/>
          <w:color w:val="888888"/>
          <w:sz w:val="22"/>
          <w:szCs w:val="22"/>
        </w:rPr>
        <w:t xml:space="preserve">[상세 미정 — 차후 세션에서 확정] The specific process for fusing an active gain-medium component (EDFA/SOA) into the same factory assembly as the passive MOCT fiber — as opposed to the purely passive fusion of §5.1 — is not yet drafted, including whether it uses the same fusion technique or requires a distinct process step. See OI-34-04 (extended).</w:t>
      </w:r>
    </w:p>
    <w:p>
      <w:pPr>
        <w:pStyle w:val="Heading2"/>
        <w:spacing w:after="160" w:before="280"/>
      </w:pPr>
      <w:r>
        <w:rPr>
          <w:b/>
          <w:bCs/>
        </w:rPr>
        <w:t xml:space="preserve">5.3 Smart-Ribbon Fusion Process — I20 (DWDM + High-Power EDFA + Dispersion Compensation)</w:t>
      </w:r>
    </w:p>
    <w:p>
      <w:pPr>
        <w:spacing w:after="160"/>
      </w:pPr>
      <w:r>
        <w:rPr>
          <w:b w:val="false"/>
          <w:bCs w:val="false"/>
          <w:i w:val="false"/>
          <w:iCs w:val="false"/>
          <w:sz w:val="22"/>
          <w:szCs w:val="22"/>
        </w:rPr>
        <w:t xml:space="preserve">For I20, the same fusion principle extends further to include high-power EDFA and dispersion compensation (DCF or electronic) in the same factory-fused assembly.</w:t>
      </w:r>
    </w:p>
    <w:p>
      <w:pPr>
        <w:spacing w:after="200"/>
      </w:pPr>
      <w:r>
        <w:rPr>
          <w:i/>
          <w:iCs/>
          <w:color w:val="888888"/>
          <w:sz w:val="22"/>
          <w:szCs w:val="22"/>
        </w:rPr>
        <w:t xml:space="preserve">[상세 미정 — 차후 세션에서 확정] The specific fusion process for a three-component active assembly (DWDM + high-power amplifier + dispersion compensation, all fused with the passive MOCT ribbon) is not yet drafted. Whether DCF (a physical fiber-based component) can be factory-fused using the same technique as amplifier integration, or requires a distinct process, is unresolved. See OI-34-04 (extended).</w:t>
      </w:r>
    </w:p>
    <w:p>
      <w:pPr>
        <w:pStyle w:val="Heading2"/>
        <w:spacing w:after="160" w:before="280"/>
      </w:pPr>
      <w:r>
        <w:rPr>
          <w:b/>
          <w:bCs/>
        </w:rPr>
        <w:t xml:space="preserve">5.4 Tier-Specific Fusion Process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18"/>
                <w:szCs w:val="18"/>
              </w:rPr>
              <w:t xml:space="preserve">Process Step</w:t>
            </w:r>
          </w:p>
        </w:tc>
        <w:tc>
          <w:tcPr>
            <w:tcW w:type="dxa" w:w="2400"/>
            <w:shd w:fill="D9D9D9" w:val="clear"/>
          </w:tcPr>
          <w:p>
            <w:r>
              <w:rPr>
                <w:b/>
                <w:bCs/>
                <w:sz w:val="18"/>
                <w:szCs w:val="18"/>
              </w:rPr>
              <w:t xml:space="preserve">O8 (Pure Ribbon)</w:t>
            </w:r>
          </w:p>
        </w:tc>
        <w:tc>
          <w:tcPr>
            <w:tcW w:type="dxa" w:w="2680"/>
            <w:shd w:fill="D9D9D9" w:val="clear"/>
          </w:tcPr>
          <w:p>
            <w:r>
              <w:rPr>
                <w:b/>
                <w:bCs/>
                <w:sz w:val="18"/>
                <w:szCs w:val="18"/>
              </w:rPr>
              <w:t xml:space="preserve">D12 (Smart Ribbon)</w:t>
            </w:r>
          </w:p>
        </w:tc>
        <w:tc>
          <w:tcPr>
            <w:tcW w:type="dxa" w:w="2680"/>
            <w:shd w:fill="D9D9D9" w:val="clear"/>
          </w:tcPr>
          <w:p>
            <w:r>
              <w:rPr>
                <w:b/>
                <w:bCs/>
                <w:sz w:val="18"/>
                <w:szCs w:val="18"/>
              </w:rPr>
              <w:t xml:space="preserve">I20 (Ultra Smart Ribbon)</w:t>
            </w:r>
          </w:p>
        </w:tc>
      </w:tr>
      <w:tr>
        <w:tc>
          <w:tcPr>
            <w:tcW w:type="dxa" w:w="1600"/>
          </w:tcPr>
          <w:p>
            <w:r>
              <w:rPr>
                <w:b w:val="false"/>
                <w:bCs w:val="false"/>
                <w:sz w:val="18"/>
                <w:szCs w:val="18"/>
              </w:rPr>
              <w:t xml:space="preserve">Fusion targets</w:t>
            </w:r>
          </w:p>
        </w:tc>
        <w:tc>
          <w:tcPr>
            <w:tcW w:type="dxa" w:w="2400"/>
          </w:tcPr>
          <w:p>
            <w:r>
              <w:rPr>
                <w:b w:val="false"/>
                <w:bCs w:val="false"/>
                <w:sz w:val="18"/>
                <w:szCs w:val="18"/>
              </w:rPr>
              <w:t xml:space="preserve">Fiber + PIC</w:t>
            </w:r>
          </w:p>
        </w:tc>
        <w:tc>
          <w:tcPr>
            <w:tcW w:type="dxa" w:w="2680"/>
          </w:tcPr>
          <w:p>
            <w:r>
              <w:rPr>
                <w:b w:val="false"/>
                <w:bCs w:val="false"/>
                <w:sz w:val="18"/>
                <w:szCs w:val="18"/>
              </w:rPr>
              <w:t xml:space="preserve">Fiber + PIC + DWDM + EDFA</w:t>
            </w:r>
          </w:p>
        </w:tc>
        <w:tc>
          <w:tcPr>
            <w:tcW w:type="dxa" w:w="2680"/>
          </w:tcPr>
          <w:p>
            <w:r>
              <w:rPr>
                <w:b w:val="false"/>
                <w:bCs w:val="false"/>
                <w:sz w:val="18"/>
                <w:szCs w:val="18"/>
              </w:rPr>
              <w:t xml:space="preserve">Fiber + PIC + DWDM + high-power EDFA + DCF</w:t>
            </w:r>
          </w:p>
        </w:tc>
      </w:tr>
      <w:tr>
        <w:tc>
          <w:tcPr>
            <w:tcW w:type="dxa" w:w="1600"/>
          </w:tcPr>
          <w:p>
            <w:r>
              <w:rPr>
                <w:b w:val="false"/>
                <w:bCs w:val="false"/>
                <w:sz w:val="18"/>
                <w:szCs w:val="18"/>
              </w:rPr>
              <w:t xml:space="preserve">Number of fusion passes</w:t>
            </w:r>
          </w:p>
        </w:tc>
        <w:tc>
          <w:tcPr>
            <w:tcW w:type="dxa" w:w="2400"/>
          </w:tcPr>
          <w:p>
            <w:r>
              <w:rPr>
                <w:b w:val="false"/>
                <w:bCs w:val="false"/>
                <w:sz w:val="18"/>
                <w:szCs w:val="18"/>
              </w:rPr>
              <w:t xml:space="preserve">1 (see OI-34-12)</w:t>
            </w:r>
          </w:p>
        </w:tc>
        <w:tc>
          <w:tcPr>
            <w:tcW w:type="dxa" w:w="2680"/>
          </w:tcPr>
          <w:p>
            <w:r>
              <w:rPr>
                <w:b w:val="false"/>
                <w:bCs w:val="false"/>
                <w:sz w:val="18"/>
                <w:szCs w:val="18"/>
              </w:rPr>
              <w:t xml:space="preserve">2–3, sequential (see OI-34-12)</w:t>
            </w:r>
          </w:p>
        </w:tc>
        <w:tc>
          <w:tcPr>
            <w:tcW w:type="dxa" w:w="2680"/>
          </w:tcPr>
          <w:p>
            <w:r>
              <w:rPr>
                <w:b w:val="false"/>
                <w:bCs w:val="false"/>
                <w:sz w:val="18"/>
                <w:szCs w:val="18"/>
              </w:rPr>
              <w:t xml:space="preserve">3–4, sequential (see OI-34-12)</w:t>
            </w:r>
          </w:p>
        </w:tc>
      </w:tr>
      <w:tr>
        <w:tc>
          <w:tcPr>
            <w:tcW w:type="dxa" w:w="1600"/>
          </w:tcPr>
          <w:p>
            <w:r>
              <w:rPr>
                <w:b w:val="false"/>
                <w:bCs w:val="false"/>
                <w:sz w:val="18"/>
                <w:szCs w:val="18"/>
              </w:rPr>
              <w:t xml:space="preserve">Alignment targets</w:t>
            </w:r>
          </w:p>
        </w:tc>
        <w:tc>
          <w:tcPr>
            <w:tcW w:type="dxa" w:w="2400"/>
          </w:tcPr>
          <w:p>
            <w:r>
              <w:rPr>
                <w:b w:val="false"/>
                <w:bCs w:val="false"/>
                <w:sz w:val="18"/>
                <w:szCs w:val="18"/>
              </w:rPr>
              <w:t xml:space="preserve">Core–waveguide</w:t>
            </w:r>
          </w:p>
        </w:tc>
        <w:tc>
          <w:tcPr>
            <w:tcW w:type="dxa" w:w="2680"/>
          </w:tcPr>
          <w:p>
            <w:r>
              <w:rPr>
                <w:b w:val="false"/>
                <w:bCs w:val="false"/>
                <w:sz w:val="18"/>
                <w:szCs w:val="18"/>
              </w:rPr>
              <w:t xml:space="preserve">Core–waveguide + DWDM–core + amplifier–waveguide</w:t>
            </w:r>
          </w:p>
        </w:tc>
        <w:tc>
          <w:tcPr>
            <w:tcW w:type="dxa" w:w="2680"/>
          </w:tcPr>
          <w:p>
            <w:r>
              <w:rPr>
                <w:b w:val="false"/>
                <w:bCs w:val="false"/>
                <w:sz w:val="18"/>
                <w:szCs w:val="18"/>
              </w:rPr>
              <w:t xml:space="preserve">Core–waveguide + DWDM–core + amplifier–waveguide + DCF–waveguide</w:t>
            </w:r>
          </w:p>
        </w:tc>
      </w:tr>
      <w:tr>
        <w:tc>
          <w:tcPr>
            <w:tcW w:type="dxa" w:w="1600"/>
          </w:tcPr>
          <w:p>
            <w:r>
              <w:rPr>
                <w:b w:val="false"/>
                <w:bCs w:val="false"/>
                <w:sz w:val="18"/>
                <w:szCs w:val="18"/>
              </w:rPr>
              <w:t xml:space="preserve">Test items</w:t>
            </w:r>
          </w:p>
        </w:tc>
        <w:tc>
          <w:tcPr>
            <w:tcW w:type="dxa" w:w="2400"/>
          </w:tcPr>
          <w:p>
            <w:r>
              <w:rPr>
                <w:b w:val="false"/>
                <w:bCs w:val="false"/>
                <w:sz w:val="18"/>
                <w:szCs w:val="18"/>
              </w:rPr>
              <w:t xml:space="preserve">Insertion loss</w:t>
            </w:r>
          </w:p>
        </w:tc>
        <w:tc>
          <w:tcPr>
            <w:tcW w:type="dxa" w:w="2680"/>
          </w:tcPr>
          <w:p>
            <w:r>
              <w:rPr>
                <w:b w:val="false"/>
                <w:bCs w:val="false"/>
                <w:sz w:val="18"/>
                <w:szCs w:val="18"/>
              </w:rPr>
              <w:t xml:space="preserve">Insertion loss + wavelength response + gain</w:t>
            </w:r>
          </w:p>
        </w:tc>
        <w:tc>
          <w:tcPr>
            <w:tcW w:type="dxa" w:w="2680"/>
          </w:tcPr>
          <w:p>
            <w:r>
              <w:rPr>
                <w:b w:val="false"/>
                <w:bCs w:val="false"/>
                <w:sz w:val="18"/>
                <w:szCs w:val="18"/>
              </w:rPr>
              <w:t xml:space="preserve">Insertion loss + wavelength response + gain + dispersion compensation amount</w:t>
            </w:r>
          </w:p>
        </w:tc>
      </w:tr>
    </w:tbl>
    <w:p>
      <w:pPr>
        <w:spacing w:after="200"/>
      </w:pPr>
      <w:r>
        <w:rPr>
          <w:i/>
          <w:iCs/>
          <w:sz w:val="20"/>
          <w:szCs w:val="20"/>
        </w:rPr>
        <w:t xml:space="preserve">Table 5-1. Tier-Specific Fusion Process Comparison — process steps and targets are descriptive; exact pass counts are placeholders pending OI-34-12</w:t>
      </w:r>
    </w:p>
    <w:p>
      <w:pPr>
        <w:spacing w:after="200"/>
      </w:pPr>
      <w:r>
        <w:rPr>
          <w:i/>
          <w:iCs/>
          <w:sz w:val="20"/>
          <w:szCs w:val="20"/>
        </w:rPr>
        <w:t xml:space="preserve">***Open — OI-34-12:*** The specific number of sequential fusion passes (1 for O8; 2–3 for D12; 3–4 for I20) is a placeholder reflecting component count, not a confirmed process specification — actual pass count depends on whether multiple active components can be co-fused in a single step or require separate steps, which is unresolved (related to OI-34-04's open question on active-component fusion technique).</w:t>
      </w:r>
    </w:p>
    <w:p>
      <w:pPr>
        <w:pStyle w:val="Heading1"/>
        <w:spacing w:after="160" w:before="280"/>
      </w:pPr>
      <w:r>
        <w:rPr>
          <w:b/>
          <w:bCs/>
        </w:rPr>
        <w:t xml:space="preserve">6. Relationship to WP#31/WP#32 (Supersession Note)</w:t>
      </w:r>
    </w:p>
    <w:p>
      <w:pPr>
        <w:spacing w:after="160"/>
      </w:pPr>
      <w:r>
        <w:rPr>
          <w:b w:val="false"/>
          <w:bCs w:val="false"/>
          <w:sz w:val="22"/>
          <w:szCs w:val="22"/>
        </w:rPr>
        <w:t xml:space="preserve">This document does not invalidate WP#31's Table 4-1/Table 8-1 item 10 or WP#32's Zone D — their QSFP-DD content remains correct as the bring-up/verification-stage interface for FPGA dev-board testing, per OI-31-11/OI-32-08. What this document supersedes is the implicit assumption, in WP#31 §7.2's "transceiver-to-FPGA" language and WP#32 Zone D's board-edge placement, that a board-edge connector is also the eventual production interface. Per §3.1, it is not — the production interface is chip-level CPO bonding.</w:t>
      </w:r>
    </w:p>
    <w:p>
      <w:pPr>
        <w:spacing w:after="200"/>
      </w:pPr>
      <w:r>
        <w:rPr>
          <w:i/>
          <w:iCs/>
          <w:sz w:val="20"/>
          <w:szCs w:val="20"/>
        </w:rPr>
        <w:t xml:space="preserve">***Open — OI-34-05:*** WP#31 §7.2 and WP#32 Zone D should eventually be revised to reference this document's CPO package instead of describing a board-edge connector as the production path, once §3–§5 of this document mature past skeleton stage. Per the addition-only revision principle, that revision is not made here — this item only registers the need.</w:t>
      </w:r>
    </w:p>
    <w:p>
      <w:pPr>
        <w:pStyle w:val="Heading2"/>
        <w:spacing w:after="160" w:before="280"/>
      </w:pPr>
      <w:r>
        <w:rPr>
          <w:b/>
          <w:bCs/>
        </w:rPr>
        <w:t xml:space="preserve">6.1 MOCT-Compliant DWDM Vendor Qualification Requirements (Vendor-Agnostic)</w:t>
      </w:r>
    </w:p>
    <w:p>
      <w:pPr>
        <w:spacing w:after="160"/>
      </w:pPr>
      <w:r>
        <w:rPr>
          <w:b w:val="false"/>
          <w:bCs w:val="false"/>
          <w:i w:val="false"/>
          <w:iCs w:val="false"/>
          <w:sz w:val="22"/>
          <w:szCs w:val="22"/>
        </w:rPr>
        <w:t xml:space="preserve">Following the same philosophy as WP#30 §7.2.1: rather than naming a DWDM vendor, this section fixes what any vendor must be able to do to supply MOCT-compliant DWDM equipment. Whichever vendor meets every row below qualifies; none is pre-selected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D9D9" w:val="clear"/>
          </w:tcPr>
          <w:p>
            <w:r>
              <w:rPr>
                <w:b/>
                <w:bCs/>
                <w:sz w:val="18"/>
                <w:szCs w:val="18"/>
              </w:rPr>
              <w:t xml:space="preserve">Requirement</w:t>
            </w:r>
          </w:p>
        </w:tc>
        <w:tc>
          <w:tcPr>
            <w:tcW w:type="dxa" w:w="6760"/>
            <w:shd w:fill="D9D9D9" w:val="clear"/>
          </w:tcPr>
          <w:p>
            <w:r>
              <w:rPr>
                <w:b/>
                <w:bCs/>
                <w:sz w:val="18"/>
                <w:szCs w:val="18"/>
              </w:rPr>
              <w:t xml:space="preserve">Description</w:t>
            </w:r>
          </w:p>
        </w:tc>
      </w:tr>
      <w:tr>
        <w:tc>
          <w:tcPr>
            <w:tcW w:type="dxa" w:w="2600"/>
          </w:tcPr>
          <w:p>
            <w:r>
              <w:rPr>
                <w:b w:val="false"/>
                <w:bCs w:val="false"/>
                <w:sz w:val="18"/>
                <w:szCs w:val="18"/>
              </w:rPr>
              <w:t xml:space="preserve">Direct ribbon fusion</w:t>
            </w:r>
          </w:p>
        </w:tc>
        <w:tc>
          <w:tcPr>
            <w:tcW w:type="dxa" w:w="6760"/>
          </w:tcPr>
          <w:p>
            <w:r>
              <w:rPr>
                <w:b w:val="false"/>
                <w:bCs w:val="false"/>
                <w:sz w:val="18"/>
                <w:szCs w:val="18"/>
              </w:rPr>
              <w:t xml:space="preserve">Capability to design an optical I/O port that factory-fuses directly to a MOCT ribbon, not LC/SC connectors</w:t>
            </w:r>
          </w:p>
        </w:tc>
      </w:tr>
      <w:tr>
        <w:tc>
          <w:tcPr>
            <w:tcW w:type="dxa" w:w="2600"/>
          </w:tcPr>
          <w:p>
            <w:r>
              <w:rPr>
                <w:b w:val="false"/>
                <w:bCs w:val="false"/>
                <w:sz w:val="18"/>
                <w:szCs w:val="18"/>
              </w:rPr>
              <w:t xml:space="preserve">Integrated MEMS alignment</w:t>
            </w:r>
          </w:p>
        </w:tc>
        <w:tc>
          <w:tcPr>
            <w:tcW w:type="dxa" w:w="6760"/>
          </w:tcPr>
          <w:p>
            <w:r>
              <w:rPr>
                <w:b w:val="false"/>
                <w:bCs w:val="false"/>
                <w:sz w:val="18"/>
                <w:szCs w:val="18"/>
              </w:rPr>
              <w:t xml:space="preserve">Manufacturing capability to integrate the same MEMS alignment structure as MAI inside the DWDM unit</w:t>
            </w:r>
          </w:p>
        </w:tc>
      </w:tr>
      <w:tr>
        <w:tc>
          <w:tcPr>
            <w:tcW w:type="dxa" w:w="2600"/>
          </w:tcPr>
          <w:p>
            <w:r>
              <w:rPr>
                <w:b w:val="false"/>
                <w:bCs w:val="false"/>
                <w:sz w:val="18"/>
                <w:szCs w:val="18"/>
              </w:rPr>
              <w:t xml:space="preserve">Silicon photonics PDK</w:t>
            </w:r>
          </w:p>
        </w:tc>
        <w:tc>
          <w:tcPr>
            <w:tcW w:type="dxa" w:w="6760"/>
          </w:tcPr>
          <w:p>
            <w:r>
              <w:rPr>
                <w:b w:val="false"/>
                <w:bCs w:val="false"/>
                <w:sz w:val="18"/>
                <w:szCs w:val="18"/>
              </w:rPr>
              <w:t xml:space="preserve">Capability to design/fabricate DWDM-internal waveguides using the same SiPho PDK class as MOCT (WP#30 Table 7-1b)</w:t>
            </w:r>
          </w:p>
        </w:tc>
      </w:tr>
      <w:tr>
        <w:tc>
          <w:tcPr>
            <w:tcW w:type="dxa" w:w="2600"/>
          </w:tcPr>
          <w:p>
            <w:r>
              <w:rPr>
                <w:b w:val="false"/>
                <w:bCs w:val="false"/>
                <w:sz w:val="18"/>
                <w:szCs w:val="18"/>
              </w:rPr>
              <w:t xml:space="preserve">Tier-scale support</w:t>
            </w:r>
          </w:p>
        </w:tc>
        <w:tc>
          <w:tcPr>
            <w:tcW w:type="dxa" w:w="6760"/>
          </w:tcPr>
          <w:p>
            <w:r>
              <w:rPr>
                <w:b w:val="false"/>
                <w:bCs w:val="false"/>
                <w:sz w:val="18"/>
                <w:szCs w:val="18"/>
              </w:rPr>
              <w:t xml:space="preserve">Scalability to support both D12 (9,216 cores) and I20 (61,440 cores) configurations</w:t>
            </w:r>
          </w:p>
        </w:tc>
      </w:tr>
      <w:tr>
        <w:tc>
          <w:tcPr>
            <w:tcW w:type="dxa" w:w="2600"/>
          </w:tcPr>
          <w:p>
            <w:r>
              <w:rPr>
                <w:b w:val="false"/>
                <w:bCs w:val="false"/>
                <w:sz w:val="18"/>
                <w:szCs w:val="18"/>
              </w:rPr>
              <w:t xml:space="preserve">Channel 1 integration</w:t>
            </w:r>
          </w:p>
        </w:tc>
        <w:tc>
          <w:tcPr>
            <w:tcW w:type="dxa" w:w="6760"/>
          </w:tcPr>
          <w:p>
            <w:r>
              <w:rPr>
                <w:b w:val="false"/>
                <w:bCs w:val="false"/>
                <w:sz w:val="18"/>
                <w:szCs w:val="18"/>
              </w:rPr>
              <w:t xml:space="preserve">Software/firmware capability to integrate DWDM control with Velsanet NPU's Channel 1 control path</w:t>
            </w:r>
          </w:p>
        </w:tc>
      </w:tr>
      <w:tr>
        <w:tc>
          <w:tcPr>
            <w:tcW w:type="dxa" w:w="2600"/>
          </w:tcPr>
          <w:p>
            <w:r>
              <w:rPr>
                <w:b w:val="false"/>
                <w:bCs w:val="false"/>
                <w:sz w:val="18"/>
                <w:szCs w:val="18"/>
              </w:rPr>
              <w:t xml:space="preserve">MAC design/manufacturing capability</w:t>
            </w:r>
          </w:p>
        </w:tc>
        <w:tc>
          <w:tcPr>
            <w:tcW w:type="dxa" w:w="6760"/>
          </w:tcPr>
          <w:p>
            <w:r>
              <w:rPr>
                <w:b w:val="false"/>
                <w:bCs w:val="false"/>
                <w:sz w:val="18"/>
                <w:szCs w:val="18"/>
              </w:rPr>
              <w:t xml:space="preserve">Capability to design and manufacture the MOCT-DWDM Alignment Coupler (§3.4.3) — V-groove/pin-hole/MEMS alignment, clamp/screw/magnetic-latch locking mechanisms</w:t>
            </w:r>
          </w:p>
        </w:tc>
      </w:tr>
      <w:tr>
        <w:tc>
          <w:tcPr>
            <w:tcW w:type="dxa" w:w="2600"/>
          </w:tcPr>
          <w:p>
            <w:r>
              <w:rPr>
                <w:b w:val="false"/>
                <w:bCs w:val="false"/>
                <w:sz w:val="18"/>
                <w:szCs w:val="18"/>
              </w:rPr>
              <w:t xml:space="preserve">Slot-level auto-monitoring and control</w:t>
            </w:r>
          </w:p>
        </w:tc>
        <w:tc>
          <w:tcPr>
            <w:tcW w:type="dxa" w:w="6760"/>
          </w:tcPr>
          <w:p>
            <w:r>
              <w:rPr>
                <w:b w:val="false"/>
                <w:bCs w:val="false"/>
                <w:sz w:val="18"/>
                <w:szCs w:val="18"/>
              </w:rPr>
              <w:t xml:space="preserve">Capability to design/manufacture a system that automatically measures each slot (face)'s alignment state and actively corrects it via MEMS actuators or equivalent (§3.4.3.5)</w:t>
            </w:r>
          </w:p>
        </w:tc>
      </w:tr>
      <w:tr>
        <w:tc>
          <w:tcPr>
            <w:tcW w:type="dxa" w:w="2600"/>
          </w:tcPr>
          <w:p>
            <w:r>
              <w:rPr>
                <w:b w:val="false"/>
                <w:bCs w:val="false"/>
                <w:sz w:val="18"/>
                <w:szCs w:val="18"/>
              </w:rPr>
              <w:t xml:space="preserve">MAC durability &amp; thermal stability</w:t>
            </w:r>
          </w:p>
        </w:tc>
        <w:tc>
          <w:tcPr>
            <w:tcW w:type="dxa" w:w="6760"/>
          </w:tcPr>
          <w:p>
            <w:r>
              <w:rPr>
                <w:b w:val="false"/>
                <w:bCs w:val="false"/>
                <w:sz w:val="18"/>
                <w:szCs w:val="18"/>
              </w:rPr>
              <w:t xml:space="preserve">Demonstrated insertion/removal cycle rating, insertion-loss drift limit over that lifetime, and CTE-matched or actively compensated thermal stability across the rated operating temperature range (OI-34-17, OI-34-18)</w:t>
            </w:r>
          </w:p>
        </w:tc>
      </w:tr>
      <w:tr>
        <w:tc>
          <w:tcPr>
            <w:tcW w:type="dxa" w:w="2600"/>
          </w:tcPr>
          <w:p>
            <w:r>
              <w:rPr>
                <w:b w:val="false"/>
                <w:bCs w:val="false"/>
                <w:sz w:val="18"/>
                <w:szCs w:val="18"/>
              </w:rPr>
              <w:t xml:space="preserve">MAC module replaceability</w:t>
            </w:r>
          </w:p>
        </w:tc>
        <w:tc>
          <w:tcPr>
            <w:tcW w:type="dxa" w:w="6760"/>
          </w:tcPr>
          <w:p>
            <w:r>
              <w:rPr>
                <w:b w:val="false"/>
                <w:bCs w:val="false"/>
                <w:sz w:val="18"/>
                <w:szCs w:val="18"/>
              </w:rPr>
              <w:t xml:space="preserve">Support for MAC-module-level replacement (as distinct from full DWDM chassis replacement) without requiring factory-level re-alignment, if Velsanet decides this is required (OI-34-19)</w:t>
            </w:r>
          </w:p>
        </w:tc>
      </w:tr>
    </w:tbl>
    <w:p>
      <w:pPr>
        <w:spacing w:after="200"/>
      </w:pPr>
      <w:r>
        <w:rPr>
          <w:i/>
          <w:iCs/>
          <w:sz w:val="20"/>
          <w:szCs w:val="20"/>
        </w:rPr>
        <w:t xml:space="preserve">Table 6-1a. MOCT-Compliant DWDM Vendor Qualification Requirements — vendor-agnostic, mirrors WP#30 Table 7-1b's approach</w:t>
      </w:r>
    </w:p>
    <w:p>
      <w:pPr>
        <w:spacing w:after="160"/>
      </w:pPr>
      <w:r>
        <w:rPr>
          <w:b w:val="false"/>
          <w:bCs w:val="false"/>
          <w:i w:val="false"/>
          <w:iCs w:val="false"/>
          <w:sz w:val="22"/>
          <w:szCs w:val="22"/>
        </w:rPr>
        <w:t xml:space="preserve">Whether the MAC itself should be a separately replaceable module (distinct from replacing the whole DWDM unit it terminates) is a Velsanet architecture decision, not a vendor capability question — it determines what "replaceable" means at this boundary, and whether MAC replacement requires re-running factory calibration (§3.4.3.4 step 1) or can rely on the coupler's own retained alignment.</w:t>
      </w:r>
    </w:p>
    <w:p>
      <w:pPr>
        <w:spacing w:after="200"/>
      </w:pPr>
      <w:r>
        <w:rPr>
          <w:i/>
          <w:iCs/>
          <w:sz w:val="20"/>
          <w:szCs w:val="20"/>
        </w:rPr>
        <w:t xml:space="preserve">***Open — OI-34-19:*** Whether the MAC is a separately replaceable module, and if so whether replacement requires factory-level re-calibration, is undecided. This is a Velsanet design decision (not vendor capability) — Table 6-1a's corresponding vendor requirement is contingent on this decision.</w:t>
      </w:r>
    </w:p>
    <w:p>
      <w:pPr>
        <w:spacing w:after="200"/>
      </w:pPr>
      <w:r>
        <w:rPr>
          <w:i/>
          <w:iCs/>
          <w:sz w:val="20"/>
          <w:szCs w:val="20"/>
        </w:rPr>
        <w:t xml:space="preserve">***Open — OI-34-11:*** No specific vendor — domestic or international, existing DWDM supplier or new entrant — has been identified as capable of developing MOCT-compliant DWDM equipment against Table 6-1a. This is a vendor-agnostic requirement list only, consistent with WP#30 OI-30-17's reframing; no shortlist exists.</w:t>
      </w:r>
    </w:p>
    <w:p>
      <w:pPr>
        <w:pStyle w:val="Heading2"/>
        <w:spacing w:after="160" w:before="280"/>
      </w:pPr>
      <w:r>
        <w:rPr>
          <w:b/>
          <w:bCs/>
        </w:rPr>
        <w:t xml:space="preserve">6.2 Relationship to WP#33 (Integration Test Plan)</w:t>
      </w:r>
    </w:p>
    <w:p>
      <w:pPr>
        <w:spacing w:after="160"/>
      </w:pPr>
      <w:r>
        <w:rPr>
          <w:b w:val="false"/>
          <w:bCs w:val="false"/>
          <w:i w:val="false"/>
          <w:iCs w:val="false"/>
          <w:sz w:val="22"/>
          <w:szCs w:val="22"/>
        </w:rPr>
        <w:t xml:space="preserve">WP#33's cross-document acceptance framework (Table 6-1) does not currently include a MAC-specific check row — WP#33 was completed (v1.1) before this document's §3.4.3 existed. Per the addition-only revision principle, WP#33 is not modified here; this section only registers that a future WP#33 revision should add MAC alignment/insertion-loss verification, auto-control fallback behavior (§3.4.3.5(5)), and MAC durability testing to its cross-document acceptance checks and/or multi-node fault recovery test scope.</w:t>
      </w:r>
    </w:p>
    <w:p>
      <w:pPr>
        <w:spacing w:after="200"/>
      </w:pPr>
      <w:r>
        <w:rPr>
          <w:i/>
          <w:iCs/>
          <w:sz w:val="20"/>
          <w:szCs w:val="20"/>
        </w:rPr>
        <w:t xml:space="preserve">***Open — OI-34-20:*** WP#33's Table 6-1 (Cross-Document Acceptance Checks) and §4 (Fault Recovery/Self-Healing Integration Test) do not yet cover MAC-specific scenarios: alignment verification at DWDM installation, auto-control fallback triggering (OI-34-16), and durability/lifecycle testing (OI-34-17). This is WP#33's scope to add, not WP#34's — registered here for cross-document tracking only.</w:t>
      </w:r>
    </w:p>
    <w:p>
      <w:pPr>
        <w:pStyle w:val="Heading1"/>
        <w:spacing w:after="160" w:before="280"/>
      </w:pPr>
      <w:r>
        <w:rPr>
          <w:b/>
          <w:bCs/>
        </w:rPr>
        <w:t xml:space="preserve">7.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OI-34-01</w:t>
            </w:r>
          </w:p>
        </w:tc>
        <w:tc>
          <w:tcPr>
            <w:tcW w:type="dxa" w:w="900"/>
          </w:tcPr>
          <w:p>
            <w:r>
              <w:rPr>
                <w:b w:val="false"/>
                <w:bCs w:val="false"/>
                <w:sz w:val="20"/>
                <w:szCs w:val="20"/>
              </w:rPr>
              <w:t xml:space="preserve">3.2</w:t>
            </w:r>
          </w:p>
        </w:tc>
        <w:tc>
          <w:tcPr>
            <w:tcW w:type="dxa" w:w="5860"/>
          </w:tcPr>
          <w:p>
            <w:r>
              <w:rPr>
                <w:b w:val="false"/>
                <w:bCs w:val="false"/>
                <w:sz w:val="20"/>
                <w:szCs w:val="20"/>
              </w:rPr>
              <w:t xml:space="preserve">O8 face core-count basis (192, WP#24/WP#20/WP#25/Compendium vs. 1,536, WP#29 R8) not resolved across the series; this document tentatively uses 1,536 per 창호's direction this session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OI-34-02</w:t>
            </w:r>
          </w:p>
        </w:tc>
        <w:tc>
          <w:tcPr>
            <w:tcW w:type="dxa" w:w="900"/>
          </w:tcPr>
          <w:p>
            <w:r>
              <w:rPr>
                <w:b w:val="false"/>
                <w:bCs w:val="false"/>
                <w:sz w:val="20"/>
                <w:szCs w:val="20"/>
              </w:rPr>
              <w:t xml:space="preserve">3.2</w:t>
            </w:r>
          </w:p>
        </w:tc>
        <w:tc>
          <w:tcPr>
            <w:tcW w:type="dxa" w:w="5860"/>
          </w:tcPr>
          <w:p>
            <w:r>
              <w:rPr>
                <w:b w:val="false"/>
                <w:bCs w:val="false"/>
                <w:sz w:val="20"/>
                <w:szCs w:val="20"/>
              </w:rPr>
              <w:t xml:space="preserve">CPO package pinout, ball/pad grid, and die-to-package interconnect method not yet defined — depends on a qualifying foundry being engaged against WP#30 §7.2.1's vendor-agnostic requirements (Table 7-1b), not on selecting among named candidates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OI-34-03</w:t>
            </w:r>
          </w:p>
        </w:tc>
        <w:tc>
          <w:tcPr>
            <w:tcW w:type="dxa" w:w="900"/>
          </w:tcPr>
          <w:p>
            <w:r>
              <w:rPr>
                <w:b w:val="false"/>
                <w:bCs w:val="false"/>
                <w:sz w:val="20"/>
                <w:szCs w:val="20"/>
              </w:rPr>
              <w:t xml:space="preserve">4.1–4.2</w:t>
            </w:r>
          </w:p>
        </w:tc>
        <w:tc>
          <w:tcPr>
            <w:tcW w:type="dxa" w:w="5860"/>
          </w:tcPr>
          <w:p>
            <w:r>
              <w:rPr>
                <w:b w:val="false"/>
                <w:bCs w:val="false"/>
                <w:sz w:val="20"/>
                <w:szCs w:val="20"/>
              </w:rPr>
              <w:t xml:space="preserve">MEMS alignment tolerance budget, actuator/anchor part class or bonding process, and alignment verification/test method not yet defined; extended this revision to also cover the DWDM-internal MEMS alignment case (§4.2, D12/I20)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OI-34-04</w:t>
            </w:r>
          </w:p>
        </w:tc>
        <w:tc>
          <w:tcPr>
            <w:tcW w:type="dxa" w:w="900"/>
          </w:tcPr>
          <w:p>
            <w:r>
              <w:rPr>
                <w:b w:val="false"/>
                <w:bCs w:val="false"/>
                <w:sz w:val="20"/>
                <w:szCs w:val="20"/>
              </w:rPr>
              <w:t xml:space="preserve">5.1–5.3</w:t>
            </w:r>
          </w:p>
        </w:tc>
        <w:tc>
          <w:tcPr>
            <w:tcW w:type="dxa" w:w="5860"/>
          </w:tcPr>
          <w:p>
            <w:r>
              <w:rPr>
                <w:b w:val="false"/>
                <w:bCs w:val="false"/>
                <w:sz w:val="20"/>
                <w:szCs w:val="20"/>
              </w:rPr>
              <w:t xml:space="preserve">Optical fusion process method, temperature/time parameters, and post-fusion yield/inspection criteria not yet defined for O8's pure-ribbon fusion (§5.1); extended this revision to cover D12's DWDM+EDFA smart-ribbon fusion (§5.2) and I20's DWDM+high-power-EDFA+dispersion-compensation smart-ribbon fusion (§5.3) — whether active-component fusion uses the same process as passive fiber fusion is itself unresolved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OI-34-05</w:t>
            </w:r>
          </w:p>
        </w:tc>
        <w:tc>
          <w:tcPr>
            <w:tcW w:type="dxa" w:w="900"/>
          </w:tcPr>
          <w:p>
            <w:r>
              <w:rPr>
                <w:b w:val="false"/>
                <w:bCs w:val="false"/>
                <w:sz w:val="20"/>
                <w:szCs w:val="20"/>
              </w:rPr>
              <w:t xml:space="preserve">6</w:t>
            </w:r>
          </w:p>
        </w:tc>
        <w:tc>
          <w:tcPr>
            <w:tcW w:type="dxa" w:w="5860"/>
          </w:tcPr>
          <w:p>
            <w:r>
              <w:rPr>
                <w:b w:val="false"/>
                <w:bCs w:val="false"/>
                <w:sz w:val="20"/>
                <w:szCs w:val="20"/>
              </w:rPr>
              <w:t xml:space="preserve">WP#31 §7.2 and WP#32 Zone D still describe a board-edge model as if it were the production interface; revision to reference this document is registered but not made here (addition-only principle)</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OI-34-06</w:t>
            </w:r>
          </w:p>
        </w:tc>
        <w:tc>
          <w:tcPr>
            <w:tcW w:type="dxa" w:w="900"/>
          </w:tcPr>
          <w:p>
            <w:r>
              <w:rPr>
                <w:b w:val="false"/>
                <w:bCs w:val="false"/>
                <w:sz w:val="20"/>
                <w:szCs w:val="20"/>
              </w:rPr>
              <w:t xml:space="preserve">3.3</w:t>
            </w:r>
          </w:p>
        </w:tc>
        <w:tc>
          <w:tcPr>
            <w:tcW w:type="dxa" w:w="5860"/>
          </w:tcPr>
          <w:p>
            <w:r>
              <w:rPr>
                <w:b w:val="false"/>
                <w:bCs w:val="false"/>
                <w:sz w:val="20"/>
                <w:szCs w:val="20"/>
              </w:rPr>
              <w:t xml:space="preserve">Reach targets (O8 ≤10km, D12 tens-hundreds of km, I20 hundreds-thousands of km) are qualitative, not numerically fixed. A formal optical link-budget analysis (fiber attenuation, splice loss, amplifier gain/noise figure) is needed before exact km thresholds can be set.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OI-34-07</w:t>
            </w:r>
          </w:p>
        </w:tc>
        <w:tc>
          <w:tcPr>
            <w:tcW w:type="dxa" w:w="900"/>
          </w:tcPr>
          <w:p>
            <w:r>
              <w:rPr>
                <w:b w:val="false"/>
                <w:bCs w:val="false"/>
                <w:sz w:val="20"/>
                <w:szCs w:val="20"/>
              </w:rPr>
              <w:t xml:space="preserve">3.4, 3.5</w:t>
            </w:r>
          </w:p>
        </w:tc>
        <w:tc>
          <w:tcPr>
            <w:tcW w:type="dxa" w:w="5860"/>
          </w:tcPr>
          <w:p>
            <w:r>
              <w:rPr>
                <w:b w:val="false"/>
                <w:bCs w:val="false"/>
                <w:sz w:val="20"/>
                <w:szCs w:val="20"/>
              </w:rPr>
              <w:t xml:space="preserve">The "≈128 Tbps" conventional-DWDM baseline (Table 3-4a) and the derived ≈58× (D12) / ≈384× (I20) redesign-scale figures (§3.5) are approximate industry reference values, not independently verified against a specific real DWDM product or citation. By contrast, the 1.2/7.4/49.2 Pbps totals themselves (Table 3-3a) are independently verified: 800Gbps/core (WP#26 §7) × WP#29 Table 4-4 core counts.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OI-34-08</w:t>
            </w:r>
          </w:p>
        </w:tc>
        <w:tc>
          <w:tcPr>
            <w:tcW w:type="dxa" w:w="900"/>
          </w:tcPr>
          <w:p>
            <w:r>
              <w:rPr>
                <w:b w:val="false"/>
                <w:bCs w:val="false"/>
                <w:sz w:val="20"/>
                <w:szCs w:val="20"/>
              </w:rPr>
              <w:t xml:space="preserve">3.3, 3.4</w:t>
            </w:r>
          </w:p>
        </w:tc>
        <w:tc>
          <w:tcPr>
            <w:tcW w:type="dxa" w:w="5860"/>
          </w:tcPr>
          <w:p>
            <w:r>
              <w:rPr>
                <w:b w:val="false"/>
                <w:bCs w:val="false"/>
                <w:sz w:val="20"/>
                <w:szCs w:val="20"/>
              </w:rPr>
              <w:t xml:space="preserve">Amplifier/dispersion-compensation technology choice (EDFA vs. SOA, C-band vs. L-band, DCF vs. electronic dispersion compensation) is not yet selected — §3.3/§3.4 name the options without deciding among them. DWDM channel plan (count, spacing) is also undefined, which OI-34-10 depends 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OI-34-09</w:t>
            </w:r>
          </w:p>
        </w:tc>
        <w:tc>
          <w:tcPr>
            <w:tcW w:type="dxa" w:w="900"/>
          </w:tcPr>
          <w:p>
            <w:r>
              <w:rPr>
                <w:b w:val="false"/>
                <w:bCs w:val="false"/>
                <w:sz w:val="20"/>
                <w:szCs w:val="20"/>
              </w:rPr>
              <w:t xml:space="preserve">3.3, 3.4.3.5</w:t>
            </w:r>
          </w:p>
        </w:tc>
        <w:tc>
          <w:tcPr>
            <w:tcW w:type="dxa" w:w="5860"/>
          </w:tcPr>
          <w:p>
            <w:r>
              <w:rPr>
                <w:b w:val="false"/>
                <w:bCs w:val="false"/>
                <w:sz w:val="20"/>
                <w:szCs w:val="20"/>
              </w:rPr>
              <w:t xml:space="preserve">WP#03 §9.6 characterizes MOCT as a uniformly passive, "solid-state" optical medium. §3.3's tier-based active-component "smart ribbon" for D12/I20 departs from that characterization. A tier-based exception (O8 = pure passive per WP#03's original definition; D12/I20 = active-component variant per this document) has not yet been amended into WP#03 itself. Registered here per the addition-only principle; WP#03 is not modified by this document.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OI-34-10</w:t>
            </w:r>
          </w:p>
        </w:tc>
        <w:tc>
          <w:tcPr>
            <w:tcW w:type="dxa" w:w="900"/>
          </w:tcPr>
          <w:p>
            <w:r>
              <w:rPr>
                <w:b w:val="false"/>
                <w:bCs w:val="false"/>
                <w:sz w:val="20"/>
                <w:szCs w:val="20"/>
              </w:rPr>
              <w:t xml:space="preserve">3.4.2</w:t>
            </w:r>
          </w:p>
        </w:tc>
        <w:tc>
          <w:tcPr>
            <w:tcW w:type="dxa" w:w="5860"/>
          </w:tcPr>
          <w:p>
            <w:r>
              <w:rPr>
                <w:b w:val="false"/>
                <w:bCs w:val="false"/>
                <w:sz w:val="20"/>
                <w:szCs w:val="20"/>
              </w:rPr>
              <w:t xml:space="preserve">Core-to-wavelength mapping (9,216 cores → DWDM wavelengths for D12; 61,440 cores → DWDM wavelengths for I20) is stated as a requirement but not yet defined — depends on the DWDM channel plan (OI-34-08).</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OI-34-11</w:t>
            </w:r>
          </w:p>
        </w:tc>
        <w:tc>
          <w:tcPr>
            <w:tcW w:type="dxa" w:w="900"/>
          </w:tcPr>
          <w:p>
            <w:r>
              <w:rPr>
                <w:b w:val="false"/>
                <w:bCs w:val="false"/>
                <w:sz w:val="20"/>
                <w:szCs w:val="20"/>
              </w:rPr>
              <w:t xml:space="preserve">6.1</w:t>
            </w:r>
          </w:p>
        </w:tc>
        <w:tc>
          <w:tcPr>
            <w:tcW w:type="dxa" w:w="5860"/>
          </w:tcPr>
          <w:p>
            <w:r>
              <w:rPr>
                <w:b w:val="false"/>
                <w:bCs w:val="false"/>
                <w:sz w:val="20"/>
                <w:szCs w:val="20"/>
              </w:rPr>
              <w:t xml:space="preserve">No specific vendor has been identified as capable of developing MOCT-compliant DWDM equipment against Table 6-1a's vendor-agnostic requirements; no shortlist exists, consistent with WP#30 OI-30-17's reframing.</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OI-34-12</w:t>
            </w:r>
          </w:p>
        </w:tc>
        <w:tc>
          <w:tcPr>
            <w:tcW w:type="dxa" w:w="900"/>
          </w:tcPr>
          <w:p>
            <w:r>
              <w:rPr>
                <w:b w:val="false"/>
                <w:bCs w:val="false"/>
                <w:sz w:val="20"/>
                <w:szCs w:val="20"/>
              </w:rPr>
              <w:t xml:space="preserve">5.4</w:t>
            </w:r>
          </w:p>
        </w:tc>
        <w:tc>
          <w:tcPr>
            <w:tcW w:type="dxa" w:w="5860"/>
          </w:tcPr>
          <w:p>
            <w:r>
              <w:rPr>
                <w:b w:val="false"/>
                <w:bCs w:val="false"/>
                <w:sz w:val="20"/>
                <w:szCs w:val="20"/>
              </w:rPr>
              <w:t xml:space="preserve">Number of sequential fusion passes for smart-ribbon manufacture (1 for O8; 2–3 for D12; 3–4 for I20, Table 5-1) is a placeholder reflecting component count, not a confirmed process specification.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OI-34-13</w:t>
            </w:r>
          </w:p>
        </w:tc>
        <w:tc>
          <w:tcPr>
            <w:tcW w:type="dxa" w:w="900"/>
          </w:tcPr>
          <w:p>
            <w:r>
              <w:rPr>
                <w:b w:val="false"/>
                <w:bCs w:val="false"/>
                <w:sz w:val="20"/>
                <w:szCs w:val="20"/>
              </w:rPr>
              <w:t xml:space="preserve">3.4.3.3</w:t>
            </w:r>
          </w:p>
        </w:tc>
        <w:tc>
          <w:tcPr>
            <w:tcW w:type="dxa" w:w="5860"/>
          </w:tcPr>
          <w:p>
            <w:r>
              <w:rPr>
                <w:b w:val="false"/>
                <w:bCs w:val="false"/>
                <w:sz w:val="20"/>
                <w:szCs w:val="20"/>
              </w:rPr>
              <w:t xml:space="preserve">MAC mechanical specifications (dimensions, tolerances, materials) and insertion loss target (≤0.1–0.2dB) are stated but not yet verified against an actual design.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OI-34-14</w:t>
            </w:r>
          </w:p>
        </w:tc>
        <w:tc>
          <w:tcPr>
            <w:tcW w:type="dxa" w:w="900"/>
          </w:tcPr>
          <w:p>
            <w:r>
              <w:rPr>
                <w:b w:val="false"/>
                <w:bCs w:val="false"/>
                <w:sz w:val="20"/>
                <w:szCs w:val="20"/>
              </w:rPr>
              <w:t xml:space="preserve">3.4.3.4</w:t>
            </w:r>
          </w:p>
        </w:tc>
        <w:tc>
          <w:tcPr>
            <w:tcW w:type="dxa" w:w="5860"/>
          </w:tcPr>
          <w:p>
            <w:r>
              <w:rPr>
                <w:b w:val="false"/>
                <w:bCs w:val="false"/>
                <w:sz w:val="20"/>
                <w:szCs w:val="20"/>
              </w:rPr>
              <w:t xml:space="preserve">MAC long-term reliability — alignment retention under temperature cycling, vibration, and repeated field insertion/removal — is undefined.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OI-34-15</w:t>
            </w:r>
          </w:p>
        </w:tc>
        <w:tc>
          <w:tcPr>
            <w:tcW w:type="dxa" w:w="900"/>
          </w:tcPr>
          <w:p>
            <w:r>
              <w:rPr>
                <w:b w:val="false"/>
                <w:bCs w:val="false"/>
                <w:sz w:val="20"/>
                <w:szCs w:val="20"/>
              </w:rPr>
              <w:t xml:space="preserve">3.4.3.5</w:t>
            </w:r>
          </w:p>
        </w:tc>
        <w:tc>
          <w:tcPr>
            <w:tcW w:type="dxa" w:w="5860"/>
          </w:tcPr>
          <w:p>
            <w:r>
              <w:rPr>
                <w:b w:val="false"/>
                <w:bCs w:val="false"/>
                <w:sz w:val="20"/>
                <w:szCs w:val="20"/>
              </w:rPr>
              <w:t xml:space="preserve">Slot-level auto-monitoring and control mechanism (sensor type, control algorithm, actuator response) is undefined; extends the WP#03 §8.3/§9.6 exception already tracked at OI-34-09 to also cover static-MEMS for D12/I20.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OI-34-16</w:t>
            </w:r>
          </w:p>
        </w:tc>
        <w:tc>
          <w:tcPr>
            <w:tcW w:type="dxa" w:w="900"/>
          </w:tcPr>
          <w:p>
            <w:r>
              <w:rPr>
                <w:b w:val="false"/>
                <w:bCs w:val="false"/>
                <w:sz w:val="20"/>
                <w:szCs w:val="20"/>
              </w:rPr>
              <w:t xml:space="preserve">3.4.3.5</w:t>
            </w:r>
          </w:p>
        </w:tc>
        <w:tc>
          <w:tcPr>
            <w:tcW w:type="dxa" w:w="5860"/>
          </w:tcPr>
          <w:p>
            <w:r>
              <w:rPr>
                <w:b w:val="false"/>
                <w:bCs w:val="false"/>
                <w:sz w:val="20"/>
                <w:szCs w:val="20"/>
              </w:rPr>
              <w:t xml:space="preserve">How a MAC auto-control failure maps onto MONITOR_CH's existing MONITOR_EVENT_REG (WP#30 Table 3-2b) is undefined — the detection-to-response pipeline (MONITOR_CH → NPU → alternate-path/handover, WP#29 §10.7.11, WP#30 §3.1) already exists and is reused as-is; only the fault-code mapping is open.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OI-34-17</w:t>
            </w:r>
          </w:p>
        </w:tc>
        <w:tc>
          <w:tcPr>
            <w:tcW w:type="dxa" w:w="900"/>
          </w:tcPr>
          <w:p>
            <w:r>
              <w:rPr>
                <w:b w:val="false"/>
                <w:bCs w:val="false"/>
                <w:sz w:val="20"/>
                <w:szCs w:val="20"/>
              </w:rPr>
              <w:t xml:space="preserve">3.4.3.3</w:t>
            </w:r>
          </w:p>
        </w:tc>
        <w:tc>
          <w:tcPr>
            <w:tcW w:type="dxa" w:w="5860"/>
          </w:tcPr>
          <w:p>
            <w:r>
              <w:rPr>
                <w:b w:val="false"/>
                <w:bCs w:val="false"/>
                <w:sz w:val="20"/>
                <w:szCs w:val="20"/>
              </w:rPr>
              <w:t xml:space="preserve">MAC durability target (rated insertion/removal cycles, insertion-loss drift limit, replacement interval) is not set — Velsanet must set the target; vendor must demonstrate it.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OI-34-18</w:t>
            </w:r>
          </w:p>
        </w:tc>
        <w:tc>
          <w:tcPr>
            <w:tcW w:type="dxa" w:w="900"/>
          </w:tcPr>
          <w:p>
            <w:r>
              <w:rPr>
                <w:b w:val="false"/>
                <w:bCs w:val="false"/>
                <w:sz w:val="20"/>
                <w:szCs w:val="20"/>
              </w:rPr>
              <w:t xml:space="preserve">3.4.3.4</w:t>
            </w:r>
          </w:p>
        </w:tc>
        <w:tc>
          <w:tcPr>
            <w:tcW w:type="dxa" w:w="5860"/>
          </w:tcPr>
          <w:p>
            <w:r>
              <w:rPr>
                <w:b w:val="false"/>
                <w:bCs w:val="false"/>
                <w:sz w:val="20"/>
                <w:szCs w:val="20"/>
              </w:rPr>
              <w:t xml:space="preserve">Material CTE matching strategy, rated operating temperature range, and passive vs. active temperature compensation for the MAC are undefined.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OI-34-19</w:t>
            </w:r>
          </w:p>
        </w:tc>
        <w:tc>
          <w:tcPr>
            <w:tcW w:type="dxa" w:w="900"/>
          </w:tcPr>
          <w:p>
            <w:r>
              <w:rPr>
                <w:b w:val="false"/>
                <w:bCs w:val="false"/>
                <w:sz w:val="20"/>
                <w:szCs w:val="20"/>
              </w:rPr>
              <w:t xml:space="preserve">6.1</w:t>
            </w:r>
          </w:p>
        </w:tc>
        <w:tc>
          <w:tcPr>
            <w:tcW w:type="dxa" w:w="5860"/>
          </w:tcPr>
          <w:p>
            <w:r>
              <w:rPr>
                <w:b w:val="false"/>
                <w:bCs w:val="false"/>
                <w:sz w:val="20"/>
                <w:szCs w:val="20"/>
              </w:rPr>
              <w:t xml:space="preserve">Whether the MAC is a separately replaceable module (vs. full DWDM-unit replacement), and whether replacement requires factory re-calibration, is undecided — a Velsanet design decision, not a vendor capability question.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OI-34-20</w:t>
            </w:r>
          </w:p>
        </w:tc>
        <w:tc>
          <w:tcPr>
            <w:tcW w:type="dxa" w:w="900"/>
          </w:tcPr>
          <w:p>
            <w:r>
              <w:rPr>
                <w:b w:val="false"/>
                <w:bCs w:val="false"/>
                <w:sz w:val="20"/>
                <w:szCs w:val="20"/>
              </w:rPr>
              <w:t xml:space="preserve">6.2</w:t>
            </w:r>
          </w:p>
        </w:tc>
        <w:tc>
          <w:tcPr>
            <w:tcW w:type="dxa" w:w="5860"/>
          </w:tcPr>
          <w:p>
            <w:r>
              <w:rPr>
                <w:b w:val="false"/>
                <w:bCs w:val="false"/>
                <w:sz w:val="20"/>
                <w:szCs w:val="20"/>
              </w:rPr>
              <w:t xml:space="preserve">WP#33's cross-document acceptance checks and fault-recovery test scope do not yet cover MAC-specific scenarios (alignment verification, auto-control fallback, durability testing) — WP#33's scope to add, not WP#34's; registered for cross-document tracking only.</w:t>
            </w:r>
          </w:p>
        </w:tc>
        <w:tc>
          <w:tcPr>
            <w:tcW w:type="dxa" w:w="1600"/>
          </w:tcPr>
          <w:p>
            <w:r>
              <w:rPr>
                <w:b w:val="false"/>
                <w:bCs w:val="false"/>
                <w:sz w:val="20"/>
                <w:szCs w:val="20"/>
              </w:rPr>
              <w:t xml:space="preserve">Open — new</w:t>
            </w:r>
          </w:p>
        </w:tc>
      </w:tr>
    </w:tbl>
    <w:p>
      <w:pPr>
        <w:spacing w:after="200"/>
      </w:pPr>
      <w:r>
        <w:rPr>
          <w:i/>
          <w:iCs/>
          <w:sz w:val="20"/>
          <w:szCs w:val="20"/>
        </w:rPr>
        <w:t xml:space="preserve">Table 7-1. WP#34 Open Items — v0.8 (20 open items; OI-34-16 corrected this revision — MAC failures reuse the existing MONITOR_CH/NPU pipeline rather than needing a new escalation path)</w:t>
      </w:r>
    </w:p>
    <w:p>
      <w:pPr>
        <w:pStyle w:val="Heading1"/>
        <w:spacing w:after="160" w:before="280"/>
      </w:pPr>
      <w:r>
        <w:rPr>
          <w:b/>
          <w:bCs/>
        </w:rPr>
        <w:t xml:space="preserve">8. Conclusion and Next Steps</w:t>
      </w:r>
    </w:p>
    <w:p>
      <w:pPr>
        <w:spacing w:after="160"/>
      </w:pPr>
      <w:r>
        <w:rPr>
          <w:b w:val="false"/>
          <w:bCs w:val="false"/>
          <w:sz w:val="22"/>
          <w:szCs w:val="22"/>
        </w:rPr>
        <w:t xml:space="preserve">WP#34 confirms, per 창호's explicit direction this session, that MOCT bonds to the Matrix switch fabric at chip/package level (CPO) rather than via a board-edge connector — resolving the architectural ambiguity flagged when WP#31 OI-31-11 and WP#32 OI-32-08 were first registered. This document fixes the numeric basis for that bonding (WP#29 §4.6's face/layer/bundle scaling, tentatively at the 1,536-core O8 figure pending OI-34-01) and scopes the three process-level definitions still required: CPO package pin/pad mapping (§3.2, OI-34-02), MEMS alignment process (§4, OI-34-03), and optical fusion process (§5, OI-34-04). No process parameter, tolerance, or pin count is invented in this draft — WP#34 is a skeleton, consistent with the WP#30/31/32/33 drafting pattern. This revision (v0.3) adds §3.3's tier-specific ribbon reach scaling (O8 pure ribbon; D12/I20 active-component "smart ribbon" with DWDM and amplification), §3.4's MOCT-compliant DWDM interface definition, and §5.2/§5.3's corresponding fusion-process extensions, all per 창호's direction this session. The 1.2/7.4/49.2 Pbps bandwidth totals underlying this scaling are independently verified against WP#29 Table 4-4 and WP#26's 800Gbps/core figure; the specific reach thresholds, DWDM technology choices, and conventional-DWDM baseline used for scale comparison are not — see OI-34-06 through OI-34-08. This revision also surfaces that WP#03 §9.6's passive-medium characterization now requires a tier-based exception, registered as OI-34-09 but not yet made in WP#03 itself. This revision (v0.4) adds visual diagrams for §3.3/§3.4's tier-specific ribbon composition and §4.2's DWDM-internal MEMS alignment path, a front-panel physical comparison (§3.4.1, Table 3-4b), a tier-specific fusion-process comparison (§5.4, Table 5-1 — process step counts flagged as placeholders, OI-34-12), and a new §6.1 defining vendor-agnostic MOCT-compliant DWDM supplier requirements, mirroring WP#30 §7.2.1's approach (no vendor identified, OI-34-11). This revision (v0.5) resolves last turn's O8/D12/I20 MOCT-ASIC bonding concern by scoping the alignment-based connection strictly to the MOCT-DWDM boundary (§3.4.3, MAC — MOCT Alignment Coupler), not to MOCT's chip-level CPO bonding itself, which remains factory-fused per §3.1/§3.2. §3.4.1 now states this tier-dependent termination explicitly: O8 stays factory-fused (no DWDM equipment exists at that tier); D12/I20 use the MAC, since regional/national DWDM equipment lifecycle management requires replaceability that pure fusion would prevent. Table 6-1a is extended with a MAC design/manufacturing requirement. This revision (v0.6) adds §3.4.3.5's slot-level auto-monitoring and control for D12/I20's MAC (closed-loop MEMS correction based on real-time insertion-loss/alignment-error measurement per slot) — an explicit extension of the WP#03 §8.3 (static MEMS) exception already tracked at OI-34-09, not a new unflagged conflict. Table 6-1a gains a corresponding auto-monitoring/control vendor requirement. This revision (v0.7) closes five identified gaps: MAC-failure fault-code mapping into the existing MONITOR_CH/NPU pipeline (§3.4.3.5(5), OI-34-16 — narrowed per 창호's correction: the detection-to-response mechanism already exists at WP#29 §10.7.11/WP#30 §3.1, no new escalation architecture needed); MAC durability/lifecycle target (§3.4.3.3, OI-34-17); MAC thermal expansion matching (§3.4.3.4, OI-34-18); MAC module replaceability as a Velsanet design decision, not a vendor question (§6.1, OI-34-19); and a new §6.2 registering WP#33's not-yet-updated cross-document acceptance/fault-recovery coverage for MAC scenarios (OI-34-20, WP#33's scope to resolve, not modified here). Twenty open items remain in total, to be resolved in later sessions grounded in WP#03/WP#29's existing specifications and, where a specific ASIC or DWDM vendor is required, WP#30's foundry qualification framework (§7.2.1).</w:t>
      </w:r>
    </w:p>
    <w:p>
      <w:pPr>
        <w:spacing w:after="160"/>
      </w:pPr>
      <w:r>
        <w:rPr>
          <w:b w:val="false"/>
          <w:bCs w:val="false"/>
          <w:i/>
          <w:iCs/>
          <w:sz w:val="22"/>
          <w:szCs w:val="22"/>
        </w:rPr>
        <w:t xml:space="preserve">Velsanet Architecture Group  —  Internal Technical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2026-07-11T08:42:00.582Z</dcterms:created>
  <dcterms:modified xsi:type="dcterms:W3CDTF">2026-07-11T08:42:00.606Z</dcterms:modified>
</cp:coreProperties>
</file>

<file path=docProps/custom.xml><?xml version="1.0" encoding="utf-8"?>
<Properties xmlns="http://schemas.openxmlformats.org/officeDocument/2006/custom-properties" xmlns:vt="http://schemas.openxmlformats.org/officeDocument/2006/docPropsVTypes"/>
</file>