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9A84C" w:sz="36"/>
        </w:pBdr>
        <w:shd w:fill="0B1E3D" w:val="clear"/>
        <w:spacing w:after="0" w:before="0"/>
      </w:pPr>
      <w:r>
        <w:rPr>
          <w:rFonts w:ascii="Arial" w:cs="Arial" w:eastAsia="Arial" w:hAnsi="Arial"/>
          <w:b/>
          <w:bCs/>
          <w:color w:val="FFFFFF"/>
          <w:sz w:val="28"/>
          <w:szCs w:val="28"/>
        </w:rPr>
        <w:t xml:space="preserve">  VELSANET</w:t>
      </w:r>
    </w:p>
    <w:p>
      <w:pPr>
        <w:shd w:fill="0B1E3D" w:val="clear"/>
        <w:spacing w:after="360" w:before="0"/>
      </w:pPr>
      <w:r>
        <w:rPr>
          <w:rFonts w:ascii="Arial" w:cs="Arial" w:eastAsia="Arial" w:hAnsi="Arial"/>
          <w:color w:val="00B4D8"/>
          <w:sz w:val="20"/>
          <w:szCs w:val="20"/>
        </w:rPr>
        <w:t xml:space="preserve">  Marketing (MKT)  ·  White Paper Collection  MKT-01</w:t>
      </w:r>
    </w:p>
    <w:p>
      <w:pPr>
        <w:spacing w:after="0" w:before="600"/>
      </w:pPr>
    </w:p>
    <w:p>
      <w:pPr>
        <w:spacing w:after="120" w:before="0"/>
        <w:jc w:val="center"/>
      </w:pPr>
      <w:r>
        <w:rPr>
          <w:rFonts w:ascii="Arial" w:cs="Arial" w:eastAsia="Arial" w:hAnsi="Arial"/>
          <w:b/>
          <w:bCs/>
          <w:color w:val="0B1E3D"/>
          <w:sz w:val="52"/>
          <w:szCs w:val="52"/>
        </w:rPr>
        <w:t xml:space="preserve">The Velsanet</w:t>
      </w:r>
    </w:p>
    <w:p>
      <w:pPr>
        <w:spacing w:after="80" w:before="0"/>
        <w:jc w:val="center"/>
      </w:pPr>
      <w:r>
        <w:rPr>
          <w:rFonts w:ascii="Arial" w:cs="Arial" w:eastAsia="Arial" w:hAnsi="Arial"/>
          <w:b/>
          <w:bCs/>
          <w:color w:val="2E6FD8"/>
          <w:sz w:val="56"/>
          <w:szCs w:val="56"/>
        </w:rPr>
        <w:t xml:space="preserve">Sovereign AI Economy</w:t>
      </w:r>
    </w:p>
    <w:p>
      <w:pPr>
        <w:spacing w:after="400" w:before="80"/>
        <w:jc w:val="center"/>
      </w:pPr>
      <w:r>
        <w:rPr>
          <w:rFonts w:ascii="Arial" w:cs="Arial" w:eastAsia="Arial" w:hAnsi="Arial"/>
          <w:i/>
          <w:iCs/>
          <w:color w:val="4A6080"/>
          <w:sz w:val="24"/>
          <w:szCs w:val="24"/>
        </w:rPr>
        <w:t xml:space="preserve">A Complete Economic Architecture for the Age of Structural AI</w:t>
      </w:r>
    </w:p>
    <w:p>
      <w:pPr>
        <w:pBdr>
          <w:bottom w:val="single" w:color="2E6FD8" w:sz="8"/>
        </w:pBdr>
        <w:spacing w:after="0" w:before="0"/>
      </w:pPr>
    </w:p>
    <w:p>
      <w:pPr>
        <w:spacing w:after="0" w:before="200"/>
      </w:pPr>
    </w:p>
    <w:p>
      <w:pPr>
        <w:spacing w:after="40" w:before="0"/>
        <w:jc w:val="center"/>
      </w:pPr>
      <w:r>
        <w:rPr>
          <w:rFonts w:ascii="Arial" w:cs="Arial" w:eastAsia="Arial" w:hAnsi="Arial"/>
          <w:b/>
          <w:bCs/>
          <w:color w:val="0B1E3D"/>
          <w:sz w:val="28"/>
          <w:szCs w:val="28"/>
        </w:rPr>
        <w:t xml:space="preserve">Changho Song</w:t>
      </w:r>
    </w:p>
    <w:p>
      <w:pPr>
        <w:spacing w:after="40" w:before="0"/>
        <w:jc w:val="center"/>
      </w:pPr>
      <w:r>
        <w:rPr>
          <w:rFonts w:ascii="Arial" w:cs="Arial" w:eastAsia="Arial" w:hAnsi="Arial"/>
          <w:color w:val="4A6080"/>
          <w:sz w:val="22"/>
          <w:szCs w:val="22"/>
        </w:rPr>
        <w:t xml:space="preserve">Independent Researcher  ·  Velsanet Architecture</w:t>
      </w:r>
    </w:p>
    <w:p>
      <w:pPr>
        <w:spacing w:after="600" w:before="0"/>
        <w:jc w:val="center"/>
      </w:pPr>
      <w:r>
        <w:rPr>
          <w:rFonts w:ascii="Arial" w:cs="Arial" w:eastAsia="Arial" w:hAnsi="Arial"/>
          <w:color w:val="4A6080"/>
          <w:sz w:val="22"/>
          <w:szCs w:val="22"/>
        </w:rPr>
        <w:t xml:space="preserve">April 2026</w:t>
      </w:r>
    </w:p>
    <w:p>
      <w:r>
        <w:br w:type="page"/>
      </w:r>
    </w:p>
    <w:p>
      <w:pPr>
        <w:spacing w:after="40" w:before="240"/>
      </w:pPr>
      <w:r>
        <w:rPr>
          <w:rFonts w:ascii="Arial" w:cs="Arial" w:eastAsia="Arial" w:hAnsi="Arial"/>
          <w:b/>
          <w:bCs/>
          <w:color w:val="0B1E3D"/>
          <w:sz w:val="36"/>
          <w:szCs w:val="36"/>
        </w:rPr>
        <w:t xml:space="preserve">Contents</w:t>
      </w:r>
    </w:p>
    <w:p>
      <w:pPr>
        <w:pBdr>
          <w:bottom w:val="single" w:color="2E6FD8" w:sz="8"/>
        </w:pBdr>
        <w:spacing w:after="0" w:before="0"/>
      </w:pPr>
    </w:p>
    <w:p>
      <w:pPr>
        <w:spacing w:after="0" w:before="12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100"/>
        <w:gridCol w:w="2460"/>
        <w:gridCol w:w="2500"/>
        <w:gridCol w:w="3300"/>
      </w:tblGrid>
      <w:tr>
        <w:tc>
          <w:tcPr>
            <w:tcW w:type="dxa" w:w="1100"/>
            <w:tcBorders>
              <w:top w:val="single" w:color="D0DCF0" w:sz="1"/>
              <w:left w:val="single" w:color="D0DCF0" w:sz="1"/>
              <w:bottom w:val="single" w:color="D0DCF0" w:sz="1"/>
              <w:right w:val="single" w:color="D0DCF0" w:sz="1"/>
            </w:tcBorders>
            <w:shd w:fill="0B1E3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2460"/>
            <w:tcBorders>
              <w:top w:val="single" w:color="D0DCF0" w:sz="1"/>
              <w:left w:val="single" w:color="D0DCF0" w:sz="1"/>
              <w:bottom w:val="single" w:color="D0DCF0" w:sz="1"/>
              <w:right w:val="single" w:color="D0DCF0" w:sz="1"/>
            </w:tcBorders>
            <w:shd w:fill="0B1E3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Document</w:t>
            </w:r>
          </w:p>
        </w:tc>
        <w:tc>
          <w:tcPr>
            <w:tcW w:type="dxa" w:w="2500"/>
            <w:tcBorders>
              <w:top w:val="single" w:color="D0DCF0" w:sz="1"/>
              <w:left w:val="single" w:color="D0DCF0" w:sz="1"/>
              <w:bottom w:val="single" w:color="D0DCF0" w:sz="1"/>
              <w:right w:val="single" w:color="D0DCF0" w:sz="1"/>
            </w:tcBorders>
            <w:shd w:fill="0B1E3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Focus</w:t>
            </w:r>
          </w:p>
        </w:tc>
        <w:tc>
          <w:tcPr>
            <w:tcW w:type="dxa" w:w="3300"/>
            <w:tcBorders>
              <w:top w:val="single" w:color="D0DCF0" w:sz="1"/>
              <w:left w:val="single" w:color="D0DCF0" w:sz="1"/>
              <w:bottom w:val="single" w:color="D0DCF0" w:sz="1"/>
              <w:right w:val="single" w:color="D0DCF0" w:sz="1"/>
            </w:tcBorders>
            <w:shd w:fill="0B1E3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Contributions</w:t>
            </w:r>
          </w:p>
        </w:tc>
      </w:tr>
      <w:tr>
        <w:trPr>
          <w:cantSplit/>
        </w:trPr>
        <w:tc>
          <w:tcPr>
            <w:tcW w:type="dxa" w:w="1100"/>
            <w:tcBorders>
              <w:top w:val="single" w:color="D0DCF0" w:sz="1"/>
              <w:left w:val="single" w:color="D0DCF0" w:sz="1"/>
              <w:bottom w:val="single" w:color="D0DCF0" w:sz="1"/>
              <w:right w:val="single" w:color="D0DCF0" w:sz="1"/>
            </w:tcBorders>
            <w:shd w:fill="1A3A6B" w:val="clear"/>
            <w:tcMar>
              <w:top w:type="dxa" w:w="80"/>
              <w:left w:type="dxa" w:w="100"/>
              <w:bottom w:type="dxa" w:w="80"/>
              <w:right w:type="dxa" w:w="100"/>
            </w:tcMar>
            <w:vAlign w:val="center"/>
          </w:tcPr>
          <w:p>
            <w:pPr>
              <w:spacing w:after="0" w:before="0"/>
              <w:jc w:val="center"/>
            </w:pPr>
            <w:r>
              <w:rPr>
                <w:rFonts w:ascii="Arial" w:cs="Arial" w:eastAsia="Arial" w:hAnsi="Arial"/>
                <w:b/>
                <w:bCs/>
                <w:color w:val="C9A84C"/>
                <w:sz w:val="18"/>
                <w:szCs w:val="18"/>
              </w:rPr>
              <w:t xml:space="preserve">ECO-01</w:t>
            </w:r>
          </w:p>
        </w:tc>
        <w:tc>
          <w:tcPr>
            <w:tcW w:type="dxa" w:w="246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bCs/>
                <w:color w:val="0D1B2A"/>
                <w:sz w:val="18"/>
                <w:szCs w:val="18"/>
              </w:rPr>
              <w:t xml:space="preserve">The Market Economy</w:t>
            </w:r>
          </w:p>
        </w:tc>
        <w:tc>
          <w:tcPr>
            <w:tcW w:type="dxa" w:w="25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Three-Layer Competitive Markets</w:t>
            </w:r>
          </w:p>
        </w:tc>
        <w:tc>
          <w:tcPr>
            <w:tcW w:type="dxa" w:w="33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PAI · AAI · AsAI as independent markets; accountability chain; independent replaceability</w:t>
            </w:r>
          </w:p>
        </w:tc>
      </w:tr>
      <w:tr>
        <w:trPr>
          <w:cantSplit/>
        </w:trPr>
        <w:tc>
          <w:tcPr>
            <w:tcW w:type="dxa" w:w="1100"/>
            <w:tcBorders>
              <w:top w:val="single" w:color="D0DCF0" w:sz="1"/>
              <w:left w:val="single" w:color="D0DCF0" w:sz="1"/>
              <w:bottom w:val="single" w:color="D0DCF0" w:sz="1"/>
              <w:right w:val="single" w:color="D0DCF0" w:sz="1"/>
            </w:tcBorders>
            <w:shd w:fill="1A3A6B" w:val="clear"/>
            <w:tcMar>
              <w:top w:type="dxa" w:w="80"/>
              <w:left w:type="dxa" w:w="100"/>
              <w:bottom w:type="dxa" w:w="80"/>
              <w:right w:type="dxa" w:w="100"/>
            </w:tcMar>
            <w:vAlign w:val="center"/>
          </w:tcPr>
          <w:p>
            <w:pPr>
              <w:spacing w:after="0" w:before="0"/>
              <w:jc w:val="center"/>
            </w:pPr>
            <w:r>
              <w:rPr>
                <w:rFonts w:ascii="Arial" w:cs="Arial" w:eastAsia="Arial" w:hAnsi="Arial"/>
                <w:b/>
                <w:bCs/>
                <w:color w:val="C9A84C"/>
                <w:sz w:val="18"/>
                <w:szCs w:val="18"/>
              </w:rPr>
              <w:t xml:space="preserve">ECO-02</w:t>
            </w:r>
          </w:p>
        </w:tc>
        <w:tc>
          <w:tcPr>
            <w:tcW w:type="dxa" w:w="246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bCs/>
                <w:color w:val="0D1B2A"/>
                <w:sz w:val="18"/>
                <w:szCs w:val="18"/>
              </w:rPr>
              <w:t xml:space="preserve">Trust by Architecture</w:t>
            </w:r>
          </w:p>
        </w:tc>
        <w:tc>
          <w:tcPr>
            <w:tcW w:type="dxa" w:w="25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AAI as Digital Certified Professional</w:t>
            </w:r>
          </w:p>
        </w:tc>
        <w:tc>
          <w:tcPr>
            <w:tcW w:type="dxa" w:w="33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Structural Evidence; three-stage verification; Ghost Data security; law as architecture</w:t>
            </w:r>
          </w:p>
        </w:tc>
      </w:tr>
      <w:tr>
        <w:trPr>
          <w:cantSplit/>
        </w:trPr>
        <w:tc>
          <w:tcPr>
            <w:tcW w:type="dxa" w:w="1100"/>
            <w:tcBorders>
              <w:top w:val="single" w:color="D0DCF0" w:sz="1"/>
              <w:left w:val="single" w:color="D0DCF0" w:sz="1"/>
              <w:bottom w:val="single" w:color="D0DCF0" w:sz="1"/>
              <w:right w:val="single" w:color="D0DCF0" w:sz="1"/>
            </w:tcBorders>
            <w:shd w:fill="1A3A6B" w:val="clear"/>
            <w:tcMar>
              <w:top w:type="dxa" w:w="80"/>
              <w:left w:type="dxa" w:w="100"/>
              <w:bottom w:type="dxa" w:w="80"/>
              <w:right w:type="dxa" w:w="100"/>
            </w:tcMar>
            <w:vAlign w:val="center"/>
          </w:tcPr>
          <w:p>
            <w:pPr>
              <w:spacing w:after="0" w:before="0"/>
              <w:jc w:val="center"/>
            </w:pPr>
            <w:r>
              <w:rPr>
                <w:rFonts w:ascii="Arial" w:cs="Arial" w:eastAsia="Arial" w:hAnsi="Arial"/>
                <w:b/>
                <w:bCs/>
                <w:color w:val="C9A84C"/>
                <w:sz w:val="18"/>
                <w:szCs w:val="18"/>
              </w:rPr>
              <w:t xml:space="preserve">ECO-03</w:t>
            </w:r>
          </w:p>
        </w:tc>
        <w:tc>
          <w:tcPr>
            <w:tcW w:type="dxa" w:w="246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bCs/>
                <w:color w:val="0D1B2A"/>
                <w:sz w:val="18"/>
                <w:szCs w:val="18"/>
              </w:rPr>
              <w:t xml:space="preserve">Telecom Transformation</w:t>
            </w:r>
          </w:p>
        </w:tc>
        <w:tc>
          <w:tcPr>
            <w:tcW w:type="dxa" w:w="25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From Pipe to Gateway</w:t>
            </w:r>
          </w:p>
        </w:tc>
        <w:tc>
          <w:tcPr>
            <w:tcW w:type="dxa" w:w="33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Infrastructure Paradox; PAI subscription; ecosystem fees; transaction gateway commission</w:t>
            </w:r>
          </w:p>
        </w:tc>
      </w:tr>
      <w:tr>
        <w:trPr>
          <w:cantSplit/>
        </w:trPr>
        <w:tc>
          <w:tcPr>
            <w:tcW w:type="dxa" w:w="1100"/>
            <w:tcBorders>
              <w:top w:val="single" w:color="D0DCF0" w:sz="1"/>
              <w:left w:val="single" w:color="D0DCF0" w:sz="1"/>
              <w:bottom w:val="single" w:color="D0DCF0" w:sz="1"/>
              <w:right w:val="single" w:color="D0DCF0" w:sz="1"/>
            </w:tcBorders>
            <w:shd w:fill="1A3A6B" w:val="clear"/>
            <w:tcMar>
              <w:top w:type="dxa" w:w="80"/>
              <w:left w:type="dxa" w:w="100"/>
              <w:bottom w:type="dxa" w:w="80"/>
              <w:right w:type="dxa" w:w="100"/>
            </w:tcMar>
            <w:vAlign w:val="center"/>
          </w:tcPr>
          <w:p>
            <w:pPr>
              <w:spacing w:after="0" w:before="0"/>
              <w:jc w:val="center"/>
            </w:pPr>
            <w:r>
              <w:rPr>
                <w:rFonts w:ascii="Arial" w:cs="Arial" w:eastAsia="Arial" w:hAnsi="Arial"/>
                <w:b/>
                <w:bCs/>
                <w:color w:val="C9A84C"/>
                <w:sz w:val="18"/>
                <w:szCs w:val="18"/>
              </w:rPr>
              <w:t xml:space="preserve">ECO-04</w:t>
            </w:r>
          </w:p>
        </w:tc>
        <w:tc>
          <w:tcPr>
            <w:tcW w:type="dxa" w:w="246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bCs/>
                <w:color w:val="0D1B2A"/>
                <w:sz w:val="18"/>
                <w:szCs w:val="18"/>
              </w:rPr>
              <w:t xml:space="preserve">End of Advertising</w:t>
            </w:r>
          </w:p>
        </w:tc>
        <w:tc>
          <w:tcPr>
            <w:tcW w:type="dxa" w:w="25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Intent-Driven Commerce</w:t>
            </w:r>
          </w:p>
        </w:tc>
        <w:tc>
          <w:tcPr>
            <w:tcW w:type="dxa" w:w="33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Sponsored Registry; AAI curation; advertising waste elimination; enterprise transformation</w:t>
            </w:r>
          </w:p>
        </w:tc>
      </w:tr>
      <w:tr>
        <w:trPr>
          <w:cantSplit/>
        </w:trPr>
        <w:tc>
          <w:tcPr>
            <w:tcW w:type="dxa" w:w="1100"/>
            <w:tcBorders>
              <w:top w:val="single" w:color="D0DCF0" w:sz="1"/>
              <w:left w:val="single" w:color="D0DCF0" w:sz="1"/>
              <w:bottom w:val="single" w:color="D0DCF0" w:sz="1"/>
              <w:right w:val="single" w:color="D0DCF0" w:sz="1"/>
            </w:tcBorders>
            <w:shd w:fill="1A3A6B" w:val="clear"/>
            <w:tcMar>
              <w:top w:type="dxa" w:w="80"/>
              <w:left w:type="dxa" w:w="100"/>
              <w:bottom w:type="dxa" w:w="80"/>
              <w:right w:type="dxa" w:w="100"/>
            </w:tcMar>
            <w:vAlign w:val="center"/>
          </w:tcPr>
          <w:p>
            <w:pPr>
              <w:spacing w:after="0" w:before="0"/>
              <w:jc w:val="center"/>
            </w:pPr>
            <w:r>
              <w:rPr>
                <w:rFonts w:ascii="Arial" w:cs="Arial" w:eastAsia="Arial" w:hAnsi="Arial"/>
                <w:b/>
                <w:bCs/>
                <w:color w:val="C9A84C"/>
                <w:sz w:val="18"/>
                <w:szCs w:val="18"/>
              </w:rPr>
              <w:t xml:space="preserve">ECO-05</w:t>
            </w:r>
          </w:p>
        </w:tc>
        <w:tc>
          <w:tcPr>
            <w:tcW w:type="dxa" w:w="246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bCs/>
                <w:color w:val="0D1B2A"/>
                <w:sz w:val="18"/>
                <w:szCs w:val="18"/>
              </w:rPr>
              <w:t xml:space="preserve">Healthcare Economy</w:t>
            </w:r>
          </w:p>
        </w:tc>
        <w:tc>
          <w:tcPr>
            <w:tcW w:type="dxa" w:w="25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Sovereign Health Data</w:t>
            </w:r>
          </w:p>
        </w:tc>
        <w:tc>
          <w:tcPr>
            <w:tcW w:type="dxa" w:w="33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PAI health sovereignty; medical Transaction Guardian; outcome-contingent care; global access</w:t>
            </w:r>
          </w:p>
        </w:tc>
      </w:tr>
      <w:tr>
        <w:trPr>
          <w:cantSplit/>
        </w:trPr>
        <w:tc>
          <w:tcPr>
            <w:tcW w:type="dxa" w:w="1100"/>
            <w:tcBorders>
              <w:top w:val="single" w:color="D0DCF0" w:sz="1"/>
              <w:left w:val="single" w:color="D0DCF0" w:sz="1"/>
              <w:bottom w:val="single" w:color="D0DCF0" w:sz="1"/>
              <w:right w:val="single" w:color="D0DCF0" w:sz="1"/>
            </w:tcBorders>
            <w:shd w:fill="1A3A6B" w:val="clear"/>
            <w:tcMar>
              <w:top w:type="dxa" w:w="80"/>
              <w:left w:type="dxa" w:w="100"/>
              <w:bottom w:type="dxa" w:w="80"/>
              <w:right w:type="dxa" w:w="100"/>
            </w:tcMar>
            <w:vAlign w:val="center"/>
          </w:tcPr>
          <w:p>
            <w:pPr>
              <w:spacing w:after="0" w:before="0"/>
              <w:jc w:val="center"/>
            </w:pPr>
            <w:r>
              <w:rPr>
                <w:rFonts w:ascii="Arial" w:cs="Arial" w:eastAsia="Arial" w:hAnsi="Arial"/>
                <w:b/>
                <w:bCs/>
                <w:color w:val="C9A84C"/>
                <w:sz w:val="18"/>
                <w:szCs w:val="18"/>
              </w:rPr>
              <w:t xml:space="preserve">ECO-06</w:t>
            </w:r>
          </w:p>
        </w:tc>
        <w:tc>
          <w:tcPr>
            <w:tcW w:type="dxa" w:w="246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bCs/>
                <w:color w:val="0D1B2A"/>
                <w:sz w:val="18"/>
                <w:szCs w:val="18"/>
              </w:rPr>
              <w:t xml:space="preserve">Education Economy</w:t>
            </w:r>
          </w:p>
        </w:tc>
        <w:tc>
          <w:tcPr>
            <w:tcW w:type="dxa" w:w="25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Structural Learning</w:t>
            </w:r>
          </w:p>
        </w:tc>
        <w:tc>
          <w:tcPr>
            <w:tcW w:type="dxa" w:w="33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Individual learning intelligence; competence certification; outcome-contingent tuition</w:t>
            </w:r>
          </w:p>
        </w:tc>
      </w:tr>
      <w:tr>
        <w:trPr>
          <w:cantSplit/>
        </w:trPr>
        <w:tc>
          <w:tcPr>
            <w:tcW w:type="dxa" w:w="1100"/>
            <w:tcBorders>
              <w:top w:val="single" w:color="D0DCF0" w:sz="1"/>
              <w:left w:val="single" w:color="D0DCF0" w:sz="1"/>
              <w:bottom w:val="single" w:color="D0DCF0" w:sz="1"/>
              <w:right w:val="single" w:color="D0DCF0" w:sz="1"/>
            </w:tcBorders>
            <w:shd w:fill="1A3A6B" w:val="clear"/>
            <w:tcMar>
              <w:top w:type="dxa" w:w="80"/>
              <w:left w:type="dxa" w:w="100"/>
              <w:bottom w:type="dxa" w:w="80"/>
              <w:right w:type="dxa" w:w="100"/>
            </w:tcMar>
            <w:vAlign w:val="center"/>
          </w:tcPr>
          <w:p>
            <w:pPr>
              <w:spacing w:after="0" w:before="0"/>
              <w:jc w:val="center"/>
            </w:pPr>
            <w:r>
              <w:rPr>
                <w:rFonts w:ascii="Arial" w:cs="Arial" w:eastAsia="Arial" w:hAnsi="Arial"/>
                <w:b/>
                <w:bCs/>
                <w:color w:val="C9A84C"/>
                <w:sz w:val="18"/>
                <w:szCs w:val="18"/>
              </w:rPr>
              <w:t xml:space="preserve">ECO-07</w:t>
            </w:r>
          </w:p>
        </w:tc>
        <w:tc>
          <w:tcPr>
            <w:tcW w:type="dxa" w:w="246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bCs/>
                <w:color w:val="0D1B2A"/>
                <w:sz w:val="18"/>
                <w:szCs w:val="18"/>
              </w:rPr>
              <w:t xml:space="preserve">Finance Economy</w:t>
            </w:r>
          </w:p>
        </w:tc>
        <w:tc>
          <w:tcPr>
            <w:tcW w:type="dxa" w:w="25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From Managed Distrust to Structural Trust</w:t>
            </w:r>
          </w:p>
        </w:tc>
        <w:tc>
          <w:tcPr>
            <w:tcW w:type="dxa" w:w="3300"/>
            <w:tcBorders>
              <w:top w:val="single" w:color="D0DCF0" w:sz="1"/>
              <w:left w:val="single" w:color="D0DCF0" w:sz="1"/>
              <w:bottom w:val="single" w:color="D0DCF0" w:sz="1"/>
              <w:right w:val="single" w:color="D0DCF0" w:sz="1"/>
            </w:tcBorders>
            <w:tcMar>
              <w:top w:type="dxa" w:w="60"/>
              <w:left w:type="dxa" w:w="120"/>
              <w:bottom w:type="dxa" w:w="60"/>
              <w:right w:type="dxa" w:w="120"/>
            </w:tcMar>
          </w:tcPr>
          <w:p>
            <w:pPr>
              <w:spacing w:after="0" w:before="0"/>
              <w:jc w:val="left"/>
            </w:pPr>
            <w:r>
              <w:rPr>
                <w:rFonts w:ascii="Arial" w:cs="Arial" w:eastAsia="Arial" w:hAnsi="Arial"/>
                <w:b w:val="false"/>
                <w:bCs w:val="false"/>
                <w:color w:val="0D1B2A"/>
                <w:sz w:val="18"/>
                <w:szCs w:val="18"/>
              </w:rPr>
              <w:t xml:space="preserve">Real-time credit; financial inclusion; structural settlement; continuous audit</w:t>
            </w:r>
          </w:p>
        </w:tc>
      </w:tr>
    </w:tbl>
    <w:p>
      <w:r>
        <w:br w:type="page"/>
      </w:r>
    </w:p>
    <w:p>
      <w:pPr>
        <w:spacing w:after="80" w:before="360"/>
      </w:pPr>
      <w:r>
        <w:rPr>
          <w:rFonts w:ascii="Arial" w:cs="Arial" w:eastAsia="Arial" w:hAnsi="Arial"/>
          <w:b/>
          <w:bCs/>
          <w:color w:val="0B1E3D"/>
          <w:sz w:val="36"/>
          <w:szCs w:val="36"/>
        </w:rPr>
        <w:t xml:space="preserve">Preface</w:t>
      </w:r>
    </w:p>
    <w:p>
      <w:pPr>
        <w:pBdr>
          <w:bottom w:val="single" w:color="2E6FD8" w:sz="6"/>
        </w:pBdr>
        <w:spacing w:after="0" w:before="0"/>
      </w:pPr>
    </w:p>
    <w:p>
      <w:pPr>
        <w:spacing w:after="0" w:before="160"/>
      </w:pPr>
    </w:p>
    <w:p>
      <w:pPr>
        <w:spacing w:after="100" w:before="100" w:line="320"/>
        <w:jc w:val="both"/>
      </w:pPr>
      <w:r>
        <w:rPr>
          <w:rFonts w:ascii="Arial" w:cs="Arial" w:eastAsia="Arial" w:hAnsi="Arial"/>
          <w:b w:val="false"/>
          <w:bCs w:val="false"/>
          <w:i w:val="false"/>
          <w:iCs w:val="false"/>
          <w:color w:val="0D1B2A"/>
          <w:sz w:val="22"/>
          <w:szCs w:val="22"/>
        </w:rPr>
        <w:t xml:space="preserve">This collection brings together seven independent economic white papers — ECO-01 through ECO-07 — into a single volume. Each paper addresses a specific domain of the Velsanet economic architecture. Together they form a complete vision of the Sovereign AI Economy.</w:t>
      </w:r>
    </w:p>
    <w:p>
      <w:pPr>
        <w:spacing w:after="0" w:before="80"/>
      </w:pPr>
    </w:p>
    <w:p>
      <w:pPr>
        <w:spacing w:after="100" w:before="100" w:line="320"/>
        <w:jc w:val="both"/>
      </w:pPr>
      <w:r>
        <w:rPr>
          <w:rFonts w:ascii="Arial" w:cs="Arial" w:eastAsia="Arial" w:hAnsi="Arial"/>
          <w:b w:val="false"/>
          <w:bCs w:val="false"/>
          <w:i w:val="false"/>
          <w:iCs w:val="false"/>
          <w:color w:val="0D1B2A"/>
          <w:sz w:val="22"/>
          <w:szCs w:val="22"/>
        </w:rPr>
        <w:t xml:space="preserve">The papers may be read independently or sequentially. Each builds on the foundational architecture established in ECO-01 and ECO-02 and applies it to a specific industry or economic domain.</w:t>
      </w:r>
    </w:p>
    <w:p>
      <w:pPr>
        <w:spacing w:after="0" w:before="80"/>
      </w:pPr>
    </w:p>
    <w:p>
      <w:pPr>
        <w:spacing w:after="100" w:before="100" w:line="320"/>
        <w:jc w:val="both"/>
      </w:pPr>
      <w:r>
        <w:rPr>
          <w:rFonts w:ascii="Arial" w:cs="Arial" w:eastAsia="Arial" w:hAnsi="Arial"/>
          <w:b w:val="false"/>
          <w:bCs w:val="false"/>
          <w:i w:val="false"/>
          <w:iCs w:val="false"/>
          <w:color w:val="0D1B2A"/>
          <w:sz w:val="22"/>
          <w:szCs w:val="22"/>
        </w:rPr>
        <w:t xml:space="preserve">The central premise that runs through all seven documents is the same:</w:t>
      </w:r>
    </w:p>
    <w:p>
      <w:pPr>
        <w:spacing w:after="0" w:before="80"/>
      </w:pP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 economy has always operated on trust. Trust has always been manufactured by intermediaries. Velsanet makes trust a structural property of the network itself — eliminating the need for intermediaries while preserving and enforcing the values they were meant to uphold.</w:t>
      </w:r>
    </w:p>
    <w:p>
      <w:pPr>
        <w:spacing w:after="0" w:before="200"/>
      </w:pPr>
    </w:p>
    <w:p>
      <w:r>
        <w:br w:type="page"/>
      </w:r>
    </w:p>
    <w:p>
      <w:pPr>
        <w:shd w:fill="0B1E3D" w:val="clear"/>
        <w:spacing w:after="0" w:before="0"/>
      </w:pPr>
    </w:p>
    <w:p>
      <w:pPr>
        <w:pBdr>
          <w:left w:val="single" w:color="C9A84C" w:sz="60"/>
        </w:pBdr>
        <w:shd w:fill="0B1E3D" w:val="clear"/>
        <w:spacing w:after="0" w:before="0"/>
        <w:ind w:left="200"/>
      </w:pPr>
      <w:r>
        <w:rPr>
          <w:rFonts w:ascii="Arial" w:cs="Arial" w:eastAsia="Arial" w:hAnsi="Arial"/>
          <w:color w:val="8FA8C8"/>
          <w:sz w:val="18"/>
          <w:szCs w:val="18"/>
        </w:rPr>
        <w:t xml:space="preserve">VELSANET  ·  White Paper  </w:t>
      </w:r>
      <w:r>
        <w:rPr>
          <w:rFonts w:ascii="Arial" w:cs="Arial" w:eastAsia="Arial" w:hAnsi="Arial"/>
          <w:b/>
          <w:bCs/>
          <w:color w:val="00B4D8"/>
          <w:sz w:val="18"/>
          <w:szCs w:val="18"/>
        </w:rPr>
        <w:t xml:space="preserve">#WP-ECO-01</w:t>
      </w:r>
    </w:p>
    <w:p>
      <w:pPr>
        <w:pBdr>
          <w:left w:val="single" w:color="C9A84C" w:sz="60"/>
        </w:pBdr>
        <w:shd w:fill="0B1E3D" w:val="clear"/>
        <w:spacing w:after="0" w:before="60"/>
        <w:ind w:left="200"/>
      </w:pPr>
      <w:r>
        <w:rPr>
          <w:rFonts w:ascii="Arial" w:cs="Arial" w:eastAsia="Arial" w:hAnsi="Arial"/>
          <w:b/>
          <w:bCs/>
          <w:color w:val="C9A84C"/>
          <w:sz w:val="52"/>
          <w:szCs w:val="52"/>
        </w:rPr>
        <w:t xml:space="preserve">ECO-01</w:t>
      </w:r>
    </w:p>
    <w:p>
      <w:pPr>
        <w:pBdr>
          <w:bottom w:val="single" w:color="2E6FD8" w:sz="4"/>
          <w:left w:val="single" w:color="C9A84C" w:sz="60"/>
        </w:pBdr>
        <w:shd w:fill="0B1E3D" w:val="clear"/>
        <w:spacing w:after="20" w:before="40"/>
        <w:ind w:left="200"/>
      </w:pPr>
      <w:r>
        <w:rPr>
          <w:rFonts w:ascii="Arial" w:cs="Arial" w:eastAsia="Arial" w:hAnsi="Arial"/>
          <w:b/>
          <w:bCs/>
          <w:color w:val="FFFFFF"/>
          <w:sz w:val="36"/>
          <w:szCs w:val="36"/>
        </w:rPr>
        <w:t xml:space="preserve">The Market Economy</w:t>
      </w:r>
    </w:p>
    <w:p>
      <w:pPr>
        <w:shd w:fill="112950" w:val="clear"/>
        <w:spacing w:after="80" w:before="120"/>
        <w:ind w:left="360"/>
      </w:pPr>
      <w:r>
        <w:rPr>
          <w:rFonts w:ascii="Arial" w:cs="Arial" w:eastAsia="Arial" w:hAnsi="Arial"/>
          <w:i/>
          <w:iCs/>
          <w:color w:val="00B4D8"/>
          <w:sz w:val="22"/>
          <w:szCs w:val="22"/>
        </w:rPr>
        <w:t xml:space="preserve">Structure Does Not Change — Services Compete</w:t>
      </w:r>
    </w:p>
    <w:p>
      <w:pPr>
        <w:shd w:fill="112950" w:val="clear"/>
        <w:spacing w:after="240" w:before="60"/>
        <w:ind w:left="360"/>
      </w:pPr>
      <w:r>
        <w:rPr>
          <w:rFonts w:ascii="Arial" w:cs="Arial" w:eastAsia="Arial" w:hAnsi="Arial"/>
          <w:color w:val="8FA8C8"/>
          <w:sz w:val="18"/>
          <w:szCs w:val="18"/>
        </w:rPr>
        <w:t xml:space="preserve">Changho Song  ·  Independent Researcher  ·  Velsanet Architecture  ·  April 2026</w:t>
      </w:r>
    </w:p>
    <w:p>
      <w:pPr>
        <w:pStyle w:val="Heading1"/>
        <w:pBdr>
          <w:bottom w:val="single" w:color="2E6FD8" w:sz="4"/>
        </w:pBdr>
        <w:spacing w:after="120" w:before="360"/>
      </w:pPr>
      <w:r>
        <w:rPr>
          <w:rFonts w:ascii="Arial" w:cs="Arial" w:eastAsia="Arial" w:hAnsi="Arial"/>
          <w:b/>
          <w:bCs/>
          <w:color w:val="0B1E3D"/>
          <w:sz w:val="28"/>
          <w:szCs w:val="28"/>
        </w:rPr>
        <w:t xml:space="preserve">Preface: A Different Question</w:t>
      </w:r>
    </w:p>
    <w:p>
      <w:pPr>
        <w:spacing w:after="100" w:before="100" w:line="320"/>
        <w:jc w:val="both"/>
      </w:pPr>
      <w:r>
        <w:rPr>
          <w:rFonts w:ascii="Arial" w:cs="Arial" w:eastAsia="Arial" w:hAnsi="Arial"/>
          <w:b w:val="false"/>
          <w:bCs w:val="false"/>
          <w:i w:val="false"/>
          <w:iCs w:val="false"/>
          <w:color w:val="0D1B2A"/>
          <w:sz w:val="22"/>
          <w:szCs w:val="22"/>
        </w:rPr>
        <w:t xml:space="preserve">For decades, the question driving technology has been: how do we use AI better? Better tools. Better models. Better interfaces.</w:t>
      </w:r>
    </w:p>
    <w:p>
      <w:pPr>
        <w:spacing w:after="0" w:before="80"/>
      </w:pPr>
    </w:p>
    <w:p>
      <w:pPr>
        <w:spacing w:after="100" w:before="100" w:line="320"/>
        <w:jc w:val="both"/>
      </w:pPr>
      <w:r>
        <w:rPr>
          <w:rFonts w:ascii="Arial" w:cs="Arial" w:eastAsia="Arial" w:hAnsi="Arial"/>
          <w:b w:val="false"/>
          <w:bCs w:val="false"/>
          <w:i w:val="false"/>
          <w:iCs w:val="false"/>
          <w:color w:val="0D1B2A"/>
          <w:sz w:val="22"/>
          <w:szCs w:val="22"/>
        </w:rPr>
        <w:t xml:space="preserve">Velsanet asks a different question entirely.</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Not how do we use AI — but how does AI become the structure within which economic life operates?</w:t>
      </w:r>
    </w:p>
    <w:p>
      <w:pPr>
        <w:spacing w:after="100" w:before="100" w:line="320"/>
        <w:jc w:val="both"/>
      </w:pPr>
      <w:r>
        <w:rPr>
          <w:rFonts w:ascii="Arial" w:cs="Arial" w:eastAsia="Arial" w:hAnsi="Arial"/>
          <w:b w:val="false"/>
          <w:bCs w:val="false"/>
          <w:i w:val="false"/>
          <w:iCs w:val="false"/>
          <w:color w:val="0D1B2A"/>
          <w:sz w:val="22"/>
          <w:szCs w:val="22"/>
        </w:rPr>
        <w:t xml:space="preserve">This paper describes what emerges when that question is answered structurally. It is not a prediction. It is a description of what is already built into the Velsanet architecture — and what inevitably follows from it.</w:t>
      </w:r>
    </w:p>
    <w:p>
      <w:pPr>
        <w:pStyle w:val="Heading1"/>
        <w:pBdr>
          <w:bottom w:val="single" w:color="2E6FD8" w:sz="4"/>
        </w:pBdr>
        <w:spacing w:after="120" w:before="360"/>
      </w:pPr>
      <w:r>
        <w:rPr>
          <w:rFonts w:ascii="Arial" w:cs="Arial" w:eastAsia="Arial" w:hAnsi="Arial"/>
          <w:b/>
          <w:bCs/>
          <w:color w:val="0B1E3D"/>
          <w:sz w:val="28"/>
          <w:szCs w:val="28"/>
        </w:rPr>
        <w:t xml:space="preserve">Part I: The Foundation — Why the Economy Needs a New Layer</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1.1 The Trust Problem in the Current Economy</w:t>
      </w:r>
    </w:p>
    <w:p>
      <w:pPr>
        <w:spacing w:after="100" w:before="100" w:line="320"/>
        <w:jc w:val="both"/>
      </w:pPr>
      <w:r>
        <w:rPr>
          <w:rFonts w:ascii="Arial" w:cs="Arial" w:eastAsia="Arial" w:hAnsi="Arial"/>
          <w:b w:val="false"/>
          <w:bCs w:val="false"/>
          <w:i w:val="false"/>
          <w:iCs w:val="false"/>
          <w:color w:val="0D1B2A"/>
          <w:sz w:val="22"/>
          <w:szCs w:val="22"/>
        </w:rPr>
        <w:t xml:space="preserve">Every economic transaction requires trust. Trust that the counterparty is who they claim to be. Trust that the terms will be honored. Trust that the execution will match the agreement. Trust that disputes can be resolved.</w:t>
      </w:r>
    </w:p>
    <w:p>
      <w:pPr>
        <w:spacing w:after="100" w:before="100" w:line="320"/>
        <w:jc w:val="both"/>
      </w:pPr>
      <w:r>
        <w:rPr>
          <w:rFonts w:ascii="Arial" w:cs="Arial" w:eastAsia="Arial" w:hAnsi="Arial"/>
          <w:b w:val="false"/>
          <w:bCs w:val="false"/>
          <w:i w:val="false"/>
          <w:iCs w:val="false"/>
          <w:color w:val="0D1B2A"/>
          <w:sz w:val="22"/>
          <w:szCs w:val="22"/>
        </w:rPr>
        <w:t xml:space="preserve">Today, this trust is manufactured by intermediaries: banks, lawyers, governments, courts, auditors, notaries, customs authorities. These intermediaries are expensive, slow, geographically bounded, and increasingly inadequate for a world operating at AI speed.</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 problem is structural: they were designed for a world in which transactions happened slowly, locally, and between humans. The AI economy operates at millisecond speed, globally, and between systems that have no inherent jurisdiction.</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1.2 What Velsanet Provides</w:t>
      </w:r>
    </w:p>
    <w:p>
      <w:pPr>
        <w:spacing w:after="100" w:before="100" w:line="320"/>
        <w:jc w:val="both"/>
      </w:pPr>
      <w:r>
        <w:rPr>
          <w:rFonts w:ascii="Arial" w:cs="Arial" w:eastAsia="Arial" w:hAnsi="Arial"/>
          <w:b w:val="false"/>
          <w:bCs w:val="false"/>
          <w:i w:val="false"/>
          <w:iCs w:val="false"/>
          <w:color w:val="0D1B2A"/>
          <w:sz w:val="22"/>
          <w:szCs w:val="22"/>
        </w:rPr>
        <w:t xml:space="preserve">Velsanet provides that layer. Not by replacing existing institutions, but by giving them structural teeth. The law still exists — but now it is executed structurally, not interpretively. Policy still exists — but now it is encoded architecturally, not administered bureaucratically. Ethics still exists — but now it is enforced as a structural invariant, not as a declaration.</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Velsanet does not replace the economy. It gives the economy a structural nervous system.</w:t>
      </w:r>
    </w:p>
    <w:p>
      <w:pPr>
        <w:pStyle w:val="Heading1"/>
        <w:pBdr>
          <w:bottom w:val="single" w:color="2E6FD8" w:sz="4"/>
        </w:pBdr>
        <w:spacing w:after="120" w:before="360"/>
      </w:pPr>
      <w:r>
        <w:rPr>
          <w:rFonts w:ascii="Arial" w:cs="Arial" w:eastAsia="Arial" w:hAnsi="Arial"/>
          <w:b/>
          <w:bCs/>
          <w:color w:val="0B1E3D"/>
          <w:sz w:val="28"/>
          <w:szCs w:val="28"/>
        </w:rPr>
        <w:t xml:space="preserve">Part II: The Three Layers — Roles, Markets, and Sovereignty</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2.1 PAI — The Cognitive Layer: Where Intent Originates</w:t>
      </w:r>
    </w:p>
    <w:p>
      <w:pPr>
        <w:spacing w:after="100" w:before="100" w:line="320"/>
        <w:jc w:val="both"/>
      </w:pPr>
      <w:r>
        <w:rPr>
          <w:rFonts w:ascii="Arial" w:cs="Arial" w:eastAsia="Arial" w:hAnsi="Arial"/>
          <w:b w:val="false"/>
          <w:bCs w:val="false"/>
          <w:i w:val="false"/>
          <w:iCs w:val="false"/>
          <w:color w:val="0D1B2A"/>
          <w:sz w:val="22"/>
          <w:szCs w:val="22"/>
        </w:rPr>
        <w:t xml:space="preserve">PAI (Personal AI) is the layer of individual cognition. Structurally embedded at the Octahedron (O8) node — the city-scale edge of the network, closest to the human being — PAI does one thing: it understands. Through the Cognition Cube system, PAI transforms raw human experience into a structured cognitive object carrying the intent of the individual.</w:t>
      </w:r>
    </w:p>
    <w:p>
      <w:pPr>
        <w:spacing w:after="100" w:before="100" w:line="320"/>
        <w:jc w:val="both"/>
      </w:pPr>
      <w:r>
        <w:rPr>
          <w:rFonts w:ascii="Arial" w:cs="Arial" w:eastAsia="Arial" w:hAnsi="Arial"/>
          <w:b w:val="false"/>
          <w:bCs w:val="false"/>
          <w:i w:val="false"/>
          <w:iCs w:val="false"/>
          <w:color w:val="0D1B2A"/>
          <w:sz w:val="22"/>
          <w:szCs w:val="22"/>
        </w:rPr>
        <w:t xml:space="preserve">PAI is the origin of all economic activity in the Velsanet economy. Without PAI, there is no intent. Without intent, there is no transaction.</w:t>
      </w:r>
    </w:p>
    <w:p>
      <w:pPr>
        <w:spacing w:after="0" w:before="8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Dimension</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Detail</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What PAI providers sell</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The ability to understand an individual better than competitors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How users choose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Accuracy of understanding, latency of cognition, domain specialization, privacy guarantee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How users switch</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Like changing a smartphone — structural interface is fixed, service is portable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Sovereignty</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PAI belongs to the individual. No state or corporation owns PAI output.</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Market examples</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Consumer PAI (Apple, Samsung), Medical PAI (specialist), Enterprise PAI (B2B context), Cultural PAI (language/region aware)</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2.2 AAI — The Transaction Guardian: Where Intent Is Validated</w:t>
      </w:r>
    </w:p>
    <w:p>
      <w:pPr>
        <w:spacing w:after="100" w:before="100" w:line="320"/>
        <w:jc w:val="both"/>
      </w:pPr>
      <w:r>
        <w:rPr>
          <w:rFonts w:ascii="Arial" w:cs="Arial" w:eastAsia="Arial" w:hAnsi="Arial"/>
          <w:b w:val="false"/>
          <w:bCs w:val="false"/>
          <w:i w:val="false"/>
          <w:iCs w:val="false"/>
          <w:color w:val="0D1B2A"/>
          <w:sz w:val="22"/>
          <w:szCs w:val="22"/>
        </w:rPr>
        <w:t xml:space="preserve">AAI (Agent AI) is the layer of interpretation, validation, and witness — embedded at the Dodecahedron (D12) node. AAI validates intent against the full weight of applicable law, government policy, regional consensus, and ethics before anything is executed. AAI is simultaneously Agent, Guardian, and Witness.</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A rule can be broken. An architectural impossibility cannot. AAI does not enforce rules — it encodes them as structural conditions of execution.</w:t>
      </w:r>
    </w:p>
    <w:p>
      <w:pPr>
        <w:spacing w:after="0" w:before="8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Industry</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Current Form</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AAI Form</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Law</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Lawyers, courts, contracts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Structural legal validation before execution — jurisdiction-native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Government Policy</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Regulations, permits, approvals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Policy-encoded structural gates — automatic, auditable, sovereign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Regional Consensus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Cultural norms, community standards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Locally-weighted validation parameters — culturally adaptive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Ethics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AI ethics boards, declarations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Ethical constraints as structural invariants — not declarations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Finance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Banks, credit agencies, auditors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Structural financial validation — real-time, cross-border, tamper-proof</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Compliance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Compliance officers, audits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Continuous structural compliance — no periodic audit required</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2.3 AsAI — The Execution Layer: Where Intent Becomes Reality</w:t>
      </w:r>
    </w:p>
    <w:p>
      <w:pPr>
        <w:spacing w:after="100" w:before="100" w:line="320"/>
        <w:jc w:val="both"/>
      </w:pPr>
      <w:r>
        <w:rPr>
          <w:rFonts w:ascii="Arial" w:cs="Arial" w:eastAsia="Arial" w:hAnsi="Arial"/>
          <w:b w:val="false"/>
          <w:bCs w:val="false"/>
          <w:i w:val="false"/>
          <w:iCs w:val="false"/>
          <w:color w:val="0D1B2A"/>
          <w:sz w:val="22"/>
          <w:szCs w:val="22"/>
        </w:rPr>
        <w:t xml:space="preserve">AsAI (Assistant AI) is the layer of execution, embedded at the Icosahedron (I20) node. AsAI executes only what AAI has authorized. There is no direct path from PAI to AsAI. No individual intent, no matter how urgent, reaches execution without passing through AAI validation. This is not a policy rule. It is an architectural impossibility.</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 most powerful layer is the least free. This is a civilizational safety mechanism.</w:t>
      </w:r>
    </w:p>
    <w:p>
      <w:pPr>
        <w:pStyle w:val="Heading1"/>
        <w:pBdr>
          <w:bottom w:val="single" w:color="2E6FD8" w:sz="4"/>
        </w:pBdr>
        <w:spacing w:after="120" w:before="360"/>
      </w:pPr>
      <w:r>
        <w:rPr>
          <w:rFonts w:ascii="Arial" w:cs="Arial" w:eastAsia="Arial" w:hAnsi="Arial"/>
          <w:b/>
          <w:bCs/>
          <w:color w:val="0B1E3D"/>
          <w:sz w:val="28"/>
          <w:szCs w:val="28"/>
        </w:rPr>
        <w:t xml:space="preserve">Part III: Sovereignty — Why This Economy Cannot Be Centralized</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3.1 The Three Levels of Sovereignty</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Level</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It Means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Personal Sovereignty (PAI)</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Intent originates with the individual. No state or corporation owns the cognitive output of a person.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Regional Sovereignty (AAI)</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Validation is performed under applicable local law, policy, and consensus. A Korean AAI applies Korean law. An EU AAI applies GDPR.</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National Sovereignty (AsAI + Q4)</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Cross-national execution requires structural authorization at the Q4 layer. This cannot be bypassed by software, policy, or commercial pressure.</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3.2 The Q-Layer Governance Hierarchy</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Q Layer</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Governance Function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Q2 — Global</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Inter-continental coordination. No command authority — structural alignment only.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Q3 — Continental</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Regional bloc coordination (e.g., EU, ASEAN, AU). Continental structural consistency.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Q4 — National ★</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Sovereign boundary. Cross-Q4 requires structural authorization. National law encoded here.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Q5 — Regional</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Sub-national administrative domains. State, province, prefecture-level governance.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Q6 — City</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Urban network management. Municipal policy encoded structurally.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Q7 — District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Local operation. Neighborhood-scale execution and sensing.</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3.3 Why Centralization Is Architecturally Impossible</w:t>
      </w:r>
    </w:p>
    <w:p>
      <w:pPr>
        <w:spacing w:after="100" w:before="100" w:line="320"/>
        <w:jc w:val="both"/>
      </w:pPr>
      <w:r>
        <w:rPr>
          <w:rFonts w:ascii="Arial" w:cs="Arial" w:eastAsia="Arial" w:hAnsi="Arial"/>
          <w:b w:val="false"/>
          <w:bCs w:val="false"/>
          <w:i w:val="false"/>
          <w:iCs w:val="false"/>
          <w:color w:val="0D1B2A"/>
          <w:sz w:val="22"/>
          <w:szCs w:val="22"/>
        </w:rPr>
        <w:t xml:space="preserve">In every prior network architecture, centralization was a risk to be managed through policy, regulation, or antitrust law. In Velsanet, centralization is architecturally impossible:</w:t>
      </w:r>
    </w:p>
    <w:p>
      <w:pPr>
        <w:pStyle w:val="ListParagraph"/>
        <w:numPr>
          <w:ilvl w:val="0"/>
          <w:numId w:val="2"/>
        </w:numPr>
        <w:spacing w:after="60" w:before="60" w:line="300"/>
      </w:pPr>
      <w:r>
        <w:rPr>
          <w:rFonts w:ascii="Arial" w:cs="Arial" w:eastAsia="Arial" w:hAnsi="Arial"/>
          <w:color w:val="0D1B2A"/>
          <w:sz w:val="22"/>
          <w:szCs w:val="22"/>
        </w:rPr>
        <w:t xml:space="preserve">No single entity controls PAI output — individual sovereignty is structural</w:t>
      </w:r>
    </w:p>
    <w:p>
      <w:pPr>
        <w:pStyle w:val="ListParagraph"/>
        <w:numPr>
          <w:ilvl w:val="0"/>
          <w:numId w:val="2"/>
        </w:numPr>
        <w:spacing w:after="60" w:before="60" w:line="300"/>
      </w:pPr>
      <w:r>
        <w:rPr>
          <w:rFonts w:ascii="Arial" w:cs="Arial" w:eastAsia="Arial" w:hAnsi="Arial"/>
          <w:color w:val="0D1B2A"/>
          <w:sz w:val="22"/>
          <w:szCs w:val="22"/>
        </w:rPr>
        <w:t xml:space="preserve">No single AAI can validate across all jurisdictions — regional sovereignty fragments the validation market</w:t>
      </w:r>
    </w:p>
    <w:p>
      <w:pPr>
        <w:pStyle w:val="ListParagraph"/>
        <w:numPr>
          <w:ilvl w:val="0"/>
          <w:numId w:val="2"/>
        </w:numPr>
        <w:spacing w:after="60" w:before="60" w:line="300"/>
      </w:pPr>
      <w:r>
        <w:rPr>
          <w:rFonts w:ascii="Arial" w:cs="Arial" w:eastAsia="Arial" w:hAnsi="Arial"/>
          <w:color w:val="0D1B2A"/>
          <w:sz w:val="22"/>
          <w:szCs w:val="22"/>
        </w:rPr>
        <w:t xml:space="preserve">No single AsAI can execute across Q4 boundaries without authorization — national sovereignty fragments the execution market</w:t>
      </w:r>
    </w:p>
    <w:p>
      <w:pPr>
        <w:pStyle w:val="ListParagraph"/>
        <w:numPr>
          <w:ilvl w:val="0"/>
          <w:numId w:val="2"/>
        </w:numPr>
        <w:spacing w:after="60" w:before="60" w:line="300"/>
      </w:pPr>
      <w:r>
        <w:rPr>
          <w:rFonts w:ascii="Arial" w:cs="Arial" w:eastAsia="Arial" w:hAnsi="Arial"/>
          <w:color w:val="0D1B2A"/>
          <w:sz w:val="22"/>
          <w:szCs w:val="22"/>
        </w:rPr>
        <w:t xml:space="preserve">Q7 hypercube bisection bandwidth of 64 means no single point of failure or control exists at any layer</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This is not governance by regulation. This is governance by geometry.</w:t>
      </w:r>
    </w:p>
    <w:p>
      <w:pPr>
        <w:pStyle w:val="Heading1"/>
        <w:pBdr>
          <w:bottom w:val="single" w:color="2E6FD8" w:sz="4"/>
        </w:pBdr>
        <w:spacing w:after="120" w:before="360"/>
      </w:pPr>
      <w:r>
        <w:rPr>
          <w:rFonts w:ascii="Arial" w:cs="Arial" w:eastAsia="Arial" w:hAnsi="Arial"/>
          <w:b/>
          <w:bCs/>
          <w:color w:val="0B1E3D"/>
          <w:sz w:val="28"/>
          <w:szCs w:val="28"/>
        </w:rPr>
        <w:t xml:space="preserve">Part IV: The Market Combinations — Every Economic Relationship</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4.2 P2P — Person to Person</w:t>
      </w:r>
    </w:p>
    <w:p>
      <w:pPr>
        <w:spacing w:after="100" w:before="100" w:line="320"/>
        <w:jc w:val="both"/>
      </w:pPr>
      <w:r>
        <w:rPr>
          <w:rFonts w:ascii="Arial" w:cs="Arial" w:eastAsia="Arial" w:hAnsi="Arial"/>
          <w:b w:val="false"/>
          <w:bCs w:val="false"/>
          <w:i w:val="false"/>
          <w:iCs w:val="false"/>
          <w:color w:val="0D1B2A"/>
          <w:sz w:val="22"/>
          <w:szCs w:val="22"/>
        </w:rPr>
        <w:t xml:space="preserve">Structure: PAI → AAI → AsAI ↔ AsAI ← AAI ← PAI</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Example</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Happens Structurally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Real estate contract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Both PAIs generate intent. Both AAIs validate under property law. AsAI executes transfer and registration simultaneously. Forgery and repudiation are structurally impossible.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Personal loan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PAI of borrower generates intent. AAI validates creditworthiness, legal capacity, and consent. AsAI executes disbursement. No bank intermediary required.</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Healthcare consent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Patient PAI generates informed consent. Medical AAI validates under healthcare ethics and law. AsAI executes the authorized procedure record.</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4.3 B2B — Business to Business</w:t>
      </w:r>
    </w:p>
    <w:p>
      <w:pPr>
        <w:spacing w:after="100" w:before="100" w:line="320"/>
        <w:jc w:val="both"/>
      </w:pPr>
      <w:r>
        <w:rPr>
          <w:rFonts w:ascii="Arial" w:cs="Arial" w:eastAsia="Arial" w:hAnsi="Arial"/>
          <w:b w:val="false"/>
          <w:bCs w:val="false"/>
          <w:i w:val="false"/>
          <w:iCs w:val="false"/>
          <w:color w:val="0D1B2A"/>
          <w:sz w:val="22"/>
          <w:szCs w:val="22"/>
        </w:rPr>
        <w:t xml:space="preserve">Structure: AsAI(A) — AAI(A) ↔ AAI(B) — AsAI(B). Both entities' Transaction Guardians must reach mutual structural validation before either AsAI executes.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Example</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Happens Structurally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Cross-border supply chain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Samsung AAI validates Korean export law. TSMC AAI validates Taiwan import law + US export controls. Both approve. AsAI executes order, logistics, payment, and insurance simultaneously.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Financial settlement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Bank A AAI validates clearing conditions. Bank B AAI validates receiving conditions. AsAI executes settlement in real time. No correspondent bank required.</w:t>
            </w:r>
          </w:p>
        </w:tc>
      </w:tr>
    </w:tbl>
    <w:p>
      <w:pPr>
        <w:pStyle w:val="Heading1"/>
        <w:pBdr>
          <w:bottom w:val="single" w:color="2E6FD8" w:sz="4"/>
        </w:pBdr>
        <w:spacing w:after="120" w:before="360"/>
      </w:pPr>
      <w:r>
        <w:rPr>
          <w:rFonts w:ascii="Arial" w:cs="Arial" w:eastAsia="Arial" w:hAnsi="Arial"/>
          <w:b/>
          <w:bCs/>
          <w:color w:val="0B1E3D"/>
          <w:sz w:val="28"/>
          <w:szCs w:val="28"/>
        </w:rPr>
        <w:t xml:space="preserve">Part V: The Market Forms — How Competition Operates</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5.1 Three Independent Competitive Markets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Market</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Competitive Basis</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Switching Trigger</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PAI Market</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Depth and accuracy of individual understanding</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 misunderstands intent → wrong transaction initiated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AAI Market</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Trust, speed, jurisdiction coverage, domain depth</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AAI validation too slow, wrong jurisdiction, or fails witness integrity</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AsAI Market</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Execution speed, reliability, cross-domain reach</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AsAI executes incorrectly or fails to coordinate cross-domain</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5.2 The Accountability Loop as Market Regulator</w:t>
      </w:r>
    </w:p>
    <w:p>
      <w:pPr>
        <w:spacing w:after="100" w:before="100" w:line="320"/>
        <w:jc w:val="both"/>
      </w:pPr>
      <w:r>
        <w:rPr>
          <w:rFonts w:ascii="Arial" w:cs="Arial" w:eastAsia="Arial" w:hAnsi="Arial"/>
          <w:b w:val="false"/>
          <w:bCs w:val="false"/>
          <w:i w:val="false"/>
          <w:iCs w:val="false"/>
          <w:color w:val="0D1B2A"/>
          <w:sz w:val="22"/>
          <w:szCs w:val="22"/>
        </w:rPr>
        <w:t xml:space="preserve">Because every transaction creates a complete, structurally verifiable chain from PAI cognition through AAI validation to AsAI execution, the origin of every failure is traceable. This creates a self-regulating market — poor performance is immediately visible in downstream quality. No external regulator needs to audit continuously. The structural accountability chain is the audit.</w:t>
      </w:r>
    </w:p>
    <w:p>
      <w:pPr>
        <w:pStyle w:val="Heading1"/>
        <w:pBdr>
          <w:bottom w:val="single" w:color="2E6FD8" w:sz="4"/>
        </w:pBdr>
        <w:spacing w:after="120" w:before="360"/>
      </w:pPr>
      <w:r>
        <w:rPr>
          <w:rFonts w:ascii="Arial" w:cs="Arial" w:eastAsia="Arial" w:hAnsi="Arial"/>
          <w:b/>
          <w:bCs/>
          <w:color w:val="0B1E3D"/>
          <w:sz w:val="28"/>
          <w:szCs w:val="28"/>
        </w:rPr>
        <w:t xml:space="preserve">Part VI: The Civilizational Model</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6.1 PAI = Individual. AAI = Institution. AsAI = Infrastructure.</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Civilization Layer</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AI Layer</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Function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Individual</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The origin of intent, preference, and meaning. Sovereign over its own output.</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Institution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AAI</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The mediator between individual and society. Applies law, ethics, policy, consensus.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Infrastructure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AsAI</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The executor of civilizational decisions. Roads, power grids, financial systems, logistics networks.</w:t>
            </w:r>
          </w:p>
        </w:tc>
      </w:tr>
    </w:tbl>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Velsanet does not replace human civilization. It gives human civilization a structural operating system.</w:t>
      </w:r>
    </w:p>
    <w:p>
      <w:pPr>
        <w:pStyle w:val="Heading1"/>
        <w:pBdr>
          <w:bottom w:val="single" w:color="2E6FD8" w:sz="4"/>
        </w:pBdr>
        <w:spacing w:after="120" w:before="360"/>
      </w:pPr>
      <w:r>
        <w:rPr>
          <w:rFonts w:ascii="Arial" w:cs="Arial" w:eastAsia="Arial" w:hAnsi="Arial"/>
          <w:b/>
          <w:bCs/>
          <w:color w:val="0B1E3D"/>
          <w:sz w:val="28"/>
          <w:szCs w:val="28"/>
        </w:rPr>
        <w:t xml:space="preserve">Conclusion: The Infrastructure of Accountability</w:t>
      </w:r>
    </w:p>
    <w:p>
      <w:pPr>
        <w:spacing w:after="100" w:before="100" w:line="320"/>
        <w:jc w:val="both"/>
      </w:pPr>
      <w:r>
        <w:rPr>
          <w:rFonts w:ascii="Arial" w:cs="Arial" w:eastAsia="Arial" w:hAnsi="Arial"/>
          <w:b w:val="false"/>
          <w:bCs w:val="false"/>
          <w:i w:val="false"/>
          <w:iCs w:val="false"/>
          <w:color w:val="0D1B2A"/>
          <w:sz w:val="22"/>
          <w:szCs w:val="22"/>
        </w:rPr>
        <w:t xml:space="preserve">The Velsanet economy runs on trust embedded in structure. The intermediaries do not disappear — they evolve. Law becomes structural validation. Policy becomes architectural encoding. Ethics becomes invariant constraint. Finance becomes accountable execution.</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 designers of the internet did not predict Google, Amazon, or Uber. They built a structure — and competition did the rest. Velsanet builds a deeper structure. What the market builds on top of it will define the next era of human civilization.</w:t>
      </w:r>
    </w:p>
    <w:p>
      <w:pPr>
        <w:spacing w:after="0" w:before="200"/>
      </w:pPr>
    </w:p>
    <w:p>
      <w:r>
        <w:br w:type="page"/>
      </w:r>
    </w:p>
    <w:p>
      <w:pPr>
        <w:shd w:fill="0B1E3D" w:val="clear"/>
        <w:spacing w:after="0" w:before="0"/>
      </w:pPr>
    </w:p>
    <w:p>
      <w:pPr>
        <w:pBdr>
          <w:left w:val="single" w:color="C9A84C" w:sz="60"/>
        </w:pBdr>
        <w:shd w:fill="0B1E3D" w:val="clear"/>
        <w:spacing w:after="0" w:before="0"/>
        <w:ind w:left="200"/>
      </w:pPr>
      <w:r>
        <w:rPr>
          <w:rFonts w:ascii="Arial" w:cs="Arial" w:eastAsia="Arial" w:hAnsi="Arial"/>
          <w:color w:val="8FA8C8"/>
          <w:sz w:val="18"/>
          <w:szCs w:val="18"/>
        </w:rPr>
        <w:t xml:space="preserve">VELSANET  ·  White Paper  </w:t>
      </w:r>
      <w:r>
        <w:rPr>
          <w:rFonts w:ascii="Arial" w:cs="Arial" w:eastAsia="Arial" w:hAnsi="Arial"/>
          <w:b/>
          <w:bCs/>
          <w:color w:val="00B4D8"/>
          <w:sz w:val="18"/>
          <w:szCs w:val="18"/>
        </w:rPr>
        <w:t xml:space="preserve">#WP-ECO-02</w:t>
      </w:r>
    </w:p>
    <w:p>
      <w:pPr>
        <w:pBdr>
          <w:left w:val="single" w:color="C9A84C" w:sz="60"/>
        </w:pBdr>
        <w:shd w:fill="0B1E3D" w:val="clear"/>
        <w:spacing w:after="0" w:before="60"/>
        <w:ind w:left="200"/>
      </w:pPr>
      <w:r>
        <w:rPr>
          <w:rFonts w:ascii="Arial" w:cs="Arial" w:eastAsia="Arial" w:hAnsi="Arial"/>
          <w:b/>
          <w:bCs/>
          <w:color w:val="C9A84C"/>
          <w:sz w:val="52"/>
          <w:szCs w:val="52"/>
        </w:rPr>
        <w:t xml:space="preserve">ECO-02</w:t>
      </w:r>
    </w:p>
    <w:p>
      <w:pPr>
        <w:pBdr>
          <w:bottom w:val="single" w:color="2E6FD8" w:sz="4"/>
          <w:left w:val="single" w:color="C9A84C" w:sz="60"/>
        </w:pBdr>
        <w:shd w:fill="0B1E3D" w:val="clear"/>
        <w:spacing w:after="20" w:before="40"/>
        <w:ind w:left="200"/>
      </w:pPr>
      <w:r>
        <w:rPr>
          <w:rFonts w:ascii="Arial" w:cs="Arial" w:eastAsia="Arial" w:hAnsi="Arial"/>
          <w:b/>
          <w:bCs/>
          <w:color w:val="FFFFFF"/>
          <w:sz w:val="36"/>
          <w:szCs w:val="36"/>
        </w:rPr>
        <w:t xml:space="preserve">Trust by Architecture</w:t>
      </w:r>
    </w:p>
    <w:p>
      <w:pPr>
        <w:shd w:fill="112950" w:val="clear"/>
        <w:spacing w:after="80" w:before="120"/>
        <w:ind w:left="360"/>
      </w:pPr>
      <w:r>
        <w:rPr>
          <w:rFonts w:ascii="Arial" w:cs="Arial" w:eastAsia="Arial" w:hAnsi="Arial"/>
          <w:i/>
          <w:iCs/>
          <w:color w:val="00B4D8"/>
          <w:sz w:val="22"/>
          <w:szCs w:val="22"/>
        </w:rPr>
        <w:t xml:space="preserve">AAI as the Digital Certified Professional Group</w:t>
      </w:r>
    </w:p>
    <w:p>
      <w:pPr>
        <w:shd w:fill="112950" w:val="clear"/>
        <w:spacing w:after="240" w:before="60"/>
        <w:ind w:left="360"/>
      </w:pPr>
      <w:r>
        <w:rPr>
          <w:rFonts w:ascii="Arial" w:cs="Arial" w:eastAsia="Arial" w:hAnsi="Arial"/>
          <w:color w:val="8FA8C8"/>
          <w:sz w:val="18"/>
          <w:szCs w:val="18"/>
        </w:rPr>
        <w:t xml:space="preserve">Changho Song  ·  Independent Researcher  ·  Velsanet Architecture  ·  April 2026</w:t>
      </w:r>
    </w:p>
    <w:p>
      <w:pPr>
        <w:pStyle w:val="Heading1"/>
        <w:pBdr>
          <w:bottom w:val="single" w:color="2E6FD8" w:sz="4"/>
        </w:pBdr>
        <w:spacing w:after="120" w:before="360"/>
      </w:pPr>
      <w:r>
        <w:rPr>
          <w:rFonts w:ascii="Arial" w:cs="Arial" w:eastAsia="Arial" w:hAnsi="Arial"/>
          <w:b/>
          <w:bCs/>
          <w:color w:val="0B1E3D"/>
          <w:sz w:val="28"/>
          <w:szCs w:val="28"/>
        </w:rPr>
        <w:t xml:space="preserve">Preface</w:t>
      </w:r>
    </w:p>
    <w:p>
      <w:pPr>
        <w:spacing w:after="100" w:before="100" w:line="320"/>
        <w:jc w:val="both"/>
      </w:pPr>
      <w:r>
        <w:rPr>
          <w:rFonts w:ascii="Arial" w:cs="Arial" w:eastAsia="Arial" w:hAnsi="Arial"/>
          <w:b w:val="false"/>
          <w:bCs w:val="false"/>
          <w:i w:val="false"/>
          <w:iCs w:val="false"/>
          <w:color w:val="0D1B2A"/>
          <w:sz w:val="22"/>
          <w:szCs w:val="22"/>
        </w:rPr>
        <w:t xml:space="preserve">Trust is the invisible infrastructure of every economy. Without it, no transaction completes. No contract holds. No institution functions. The current economy manufactures trust through intermediaries. These intermediaries were designed for a world of human-speed transactions. The AI economy operates at a fundamentally different scale.</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In Velsanet, trust is not a service. It is an architectural invariant.</w:t>
      </w:r>
    </w:p>
    <w:p>
      <w:pPr>
        <w:pStyle w:val="Heading1"/>
        <w:pBdr>
          <w:bottom w:val="single" w:color="2E6FD8" w:sz="4"/>
        </w:pBdr>
        <w:spacing w:after="120" w:before="360"/>
      </w:pPr>
      <w:r>
        <w:rPr>
          <w:rFonts w:ascii="Arial" w:cs="Arial" w:eastAsia="Arial" w:hAnsi="Arial"/>
          <w:b/>
          <w:bCs/>
          <w:color w:val="0B1E3D"/>
          <w:sz w:val="28"/>
          <w:szCs w:val="28"/>
        </w:rPr>
        <w:t xml:space="preserve">Part I: The Structural Weakness of Current Trust Systems</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1.1 Trust as an Afterthought</w:t>
      </w:r>
    </w:p>
    <w:p>
      <w:pPr>
        <w:spacing w:after="100" w:before="100" w:line="320"/>
        <w:jc w:val="both"/>
      </w:pPr>
      <w:r>
        <w:rPr>
          <w:rFonts w:ascii="Arial" w:cs="Arial" w:eastAsia="Arial" w:hAnsi="Arial"/>
          <w:b w:val="false"/>
          <w:bCs w:val="false"/>
          <w:i w:val="false"/>
          <w:iCs w:val="false"/>
          <w:color w:val="0D1B2A"/>
          <w:sz w:val="22"/>
          <w:szCs w:val="22"/>
        </w:rPr>
        <w:t xml:space="preserve">In every existing network architecture, trust is applied after the fact. Data travels first. Authentication is checked afterwards. Compliance is verified periodically. This post-hoc model creates four structural vulnerabilities: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Vulnerability</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Current Consequence</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At AI Scale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Verification latency</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Days or weeks for legal/accounting verification</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Millisecond AI decisions cannot wait for human review</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Jurisdiction gaps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Laws differ across borders; enforcement is inconsistent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AI systems operate globally with no inherent jurisdiction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Auditability limits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Records created by parties with interest in the outcome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AI-generated records can be altered before human review</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Intermediary bottlenecks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Every transaction requires human professional involvement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AI transaction volumes exceed human review capacity by orders of magnitude</w:t>
            </w:r>
          </w:p>
        </w:tc>
      </w:tr>
    </w:tbl>
    <w:p>
      <w:pPr>
        <w:pStyle w:val="Heading1"/>
        <w:pBdr>
          <w:bottom w:val="single" w:color="2E6FD8" w:sz="4"/>
        </w:pBdr>
        <w:spacing w:after="120" w:before="360"/>
      </w:pPr>
      <w:r>
        <w:rPr>
          <w:rFonts w:ascii="Arial" w:cs="Arial" w:eastAsia="Arial" w:hAnsi="Arial"/>
          <w:b/>
          <w:bCs/>
          <w:color w:val="0B1E3D"/>
          <w:sz w:val="28"/>
          <w:szCs w:val="28"/>
        </w:rPr>
        <w:t xml:space="preserve">Part II: AAI — The Digital Certified Professional Group</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2.1 What AAI Actually Is</w:t>
      </w:r>
    </w:p>
    <w:p>
      <w:pPr>
        <w:spacing w:after="100" w:before="100" w:line="320"/>
        <w:jc w:val="both"/>
      </w:pPr>
      <w:r>
        <w:rPr>
          <w:rFonts w:ascii="Arial" w:cs="Arial" w:eastAsia="Arial" w:hAnsi="Arial"/>
          <w:b w:val="false"/>
          <w:bCs w:val="false"/>
          <w:i w:val="false"/>
          <w:iCs w:val="false"/>
          <w:color w:val="0D1B2A"/>
          <w:sz w:val="22"/>
          <w:szCs w:val="22"/>
        </w:rPr>
        <w:t xml:space="preserve">AAI (Agent AI) is the Transaction Guardian layer. It performs three simultaneous roles that no single institution in the current economy can combine:</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Professional Equivalent</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AAI Does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Agent</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Lawyer / Representative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Acts on behalf of the individual in translating cognitive intent into structurally actionable form.</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Guardian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Compliance Officer / Regulator</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Enforces conditions under which execution is permitted — as architectural gates that cannot be bypassed.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Witness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Notary / Auditor / Court of Record</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Creates an immutable structural record of every validation event. Topologically fixed — cannot be retroactively altered.</w:t>
            </w:r>
          </w:p>
        </w:tc>
      </w:tr>
    </w:tbl>
    <w:p>
      <w:pPr>
        <w:pStyle w:val="Heading1"/>
        <w:pBdr>
          <w:bottom w:val="single" w:color="2E6FD8" w:sz="4"/>
        </w:pBdr>
        <w:spacing w:after="120" w:before="360"/>
      </w:pPr>
      <w:r>
        <w:rPr>
          <w:rFonts w:ascii="Arial" w:cs="Arial" w:eastAsia="Arial" w:hAnsi="Arial"/>
          <w:b/>
          <w:bCs/>
          <w:color w:val="0B1E3D"/>
          <w:sz w:val="28"/>
          <w:szCs w:val="28"/>
        </w:rPr>
        <w:t xml:space="preserve">Part III: The Three-Stage Verification Mechanism</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3.1 Stage One — Pre-Execution Audit (Structural Gate)</w:t>
      </w:r>
    </w:p>
    <w:p>
      <w:pPr>
        <w:spacing w:after="100" w:before="100" w:line="320"/>
        <w:jc w:val="both"/>
      </w:pPr>
      <w:r>
        <w:rPr>
          <w:rFonts w:ascii="Arial" w:cs="Arial" w:eastAsia="Arial" w:hAnsi="Arial"/>
          <w:b w:val="false"/>
          <w:bCs w:val="false"/>
          <w:i w:val="false"/>
          <w:iCs w:val="false"/>
          <w:color w:val="0D1B2A"/>
          <w:sz w:val="22"/>
          <w:szCs w:val="22"/>
        </w:rPr>
        <w:t xml:space="preserve">Before any AsAI execution occurs, AAI performs a complete structural validation of the intent received from PAI. The execution path does not exist until validation is complete. The pre-execution audit covers: legal conformance, policy compliance, ethical validation, resource authorization, and counterparty verification.</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This is not a policy restriction. It is an architectural impossibility. The execution path does not exist for unvalidated intent.</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3.2 Stage Two — Runtime Verification (Continuous Monitoring)</w:t>
      </w:r>
    </w:p>
    <w:p>
      <w:pPr>
        <w:spacing w:after="100" w:before="100" w:line="320"/>
        <w:jc w:val="both"/>
      </w:pPr>
      <w:r>
        <w:rPr>
          <w:rFonts w:ascii="Arial" w:cs="Arial" w:eastAsia="Arial" w:hAnsi="Arial"/>
          <w:b w:val="false"/>
          <w:bCs w:val="false"/>
          <w:i w:val="false"/>
          <w:iCs w:val="false"/>
          <w:color w:val="0D1B2A"/>
          <w:sz w:val="22"/>
          <w:szCs w:val="22"/>
        </w:rPr>
        <w:t xml:space="preserve">Once execution begins, AAI monitors in real time, comparing AsAI's ongoing actions against the validated intent.</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Deviation Type</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AAI Response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Scope deviation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AsAI takes actions beyond boundaries of validated intent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Immediate structural halt. Deviation recorded. Re-validation required.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Resource overrun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AsAI consumes resources beyond authorized budget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Automatic throttle or halt. Overrun recorded as structural evidence.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Environmental change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External conditions change such that original validation no longer applies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Execution paused. Re-validation triggered.</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3.3 Stage Three — Post-Settlement Audit (Structural Accounting)</w:t>
      </w:r>
    </w:p>
    <w:p>
      <w:pPr>
        <w:spacing w:after="100" w:before="100" w:line="320"/>
        <w:jc w:val="both"/>
      </w:pPr>
      <w:r>
        <w:rPr>
          <w:rFonts w:ascii="Arial" w:cs="Arial" w:eastAsia="Arial" w:hAnsi="Arial"/>
          <w:b w:val="false"/>
          <w:bCs w:val="false"/>
          <w:i w:val="false"/>
          <w:iCs w:val="false"/>
          <w:color w:val="0D1B2A"/>
          <w:sz w:val="22"/>
          <w:szCs w:val="22"/>
        </w:rPr>
        <w:t xml:space="preserve">When execution completes, AAI automatically generates a post-settlement report — a complete, structurally immutable record of what was authorized, what was executed, and how the two compare. This report is not created by a human accountant reviewing records. It is generated automatically by the structural verification process itself.</w:t>
      </w:r>
    </w:p>
    <w:p>
      <w:pPr>
        <w:spacing w:after="100" w:before="100" w:line="320"/>
        <w:jc w:val="both"/>
      </w:pPr>
      <w:r>
        <w:rPr>
          <w:rFonts w:ascii="Arial" w:cs="Arial" w:eastAsia="Arial" w:hAnsi="Arial"/>
          <w:b w:val="false"/>
          <w:bCs w:val="false"/>
          <w:i w:val="false"/>
          <w:iCs w:val="false"/>
          <w:color w:val="0D1B2A"/>
          <w:sz w:val="22"/>
          <w:szCs w:val="22"/>
        </w:rPr>
        <w:t xml:space="preserve">This is Structural Evidence — the most legally robust form of record that has ever existed.</w:t>
      </w:r>
    </w:p>
    <w:p>
      <w:pPr>
        <w:pStyle w:val="Heading1"/>
        <w:pBdr>
          <w:bottom w:val="single" w:color="2E6FD8" w:sz="4"/>
        </w:pBdr>
        <w:spacing w:after="120" w:before="360"/>
      </w:pPr>
      <w:r>
        <w:rPr>
          <w:rFonts w:ascii="Arial" w:cs="Arial" w:eastAsia="Arial" w:hAnsi="Arial"/>
          <w:b/>
          <w:bCs/>
          <w:color w:val="0B1E3D"/>
          <w:sz w:val="28"/>
          <w:szCs w:val="28"/>
        </w:rPr>
        <w:t xml:space="preserve">Part IV: Structural Evidence — The End of Documentary Proof</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4.1 What Makes Evidence Structural</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Property</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Structural Evidence vs. Documentary Evidence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Who creates it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AAI — structurally independent of all parties (vs. party to the transaction)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When it is created</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At the moment of execution, automatically (vs. after the event by human action)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Where it is stored</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Topologically fixed in the Velsanet structure — no single party controls it</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Can it be altered</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No — topological fixation makes retroactive alteration architecturally impossible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Legal weight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Self-authenticating — structural conformance verifiable by any authorized party at any time</w:t>
            </w:r>
          </w:p>
        </w:tc>
      </w:tr>
    </w:tbl>
    <w:p>
      <w:pPr>
        <w:pStyle w:val="Heading1"/>
        <w:pBdr>
          <w:bottom w:val="single" w:color="2E6FD8" w:sz="4"/>
        </w:pBdr>
        <w:spacing w:after="120" w:before="360"/>
      </w:pPr>
      <w:r>
        <w:rPr>
          <w:rFonts w:ascii="Arial" w:cs="Arial" w:eastAsia="Arial" w:hAnsi="Arial"/>
          <w:b/>
          <w:bCs/>
          <w:color w:val="0B1E3D"/>
          <w:sz w:val="28"/>
          <w:szCs w:val="28"/>
        </w:rPr>
        <w:t xml:space="preserve">Part V: Security — Why the Architecture Cannot Be Compromised</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5.1 Connection, Not Access</w:t>
      </w:r>
    </w:p>
    <w:p>
      <w:pPr>
        <w:spacing w:after="100" w:before="100" w:line="320"/>
        <w:jc w:val="both"/>
      </w:pPr>
      <w:r>
        <w:rPr>
          <w:rFonts w:ascii="Arial" w:cs="Arial" w:eastAsia="Arial" w:hAnsi="Arial"/>
          <w:b w:val="false"/>
          <w:bCs w:val="false"/>
          <w:i w:val="false"/>
          <w:iCs w:val="false"/>
          <w:color w:val="0D1B2A"/>
          <w:sz w:val="22"/>
          <w:szCs w:val="22"/>
        </w:rPr>
        <w:t xml:space="preserve">All existing network security is built on the concept of access control — entities request access to resources, and security systems decide whether to grant it. This model has one fundamental weakness: if the access control system is compromised, the security is gone.</w:t>
      </w:r>
    </w:p>
    <w:p>
      <w:pPr>
        <w:spacing w:after="100" w:before="100" w:line="320"/>
        <w:jc w:val="both"/>
      </w:pPr>
      <w:r>
        <w:rPr>
          <w:rFonts w:ascii="Arial" w:cs="Arial" w:eastAsia="Arial" w:hAnsi="Arial"/>
          <w:b w:val="false"/>
          <w:bCs w:val="false"/>
          <w:i w:val="false"/>
          <w:iCs w:val="false"/>
          <w:color w:val="0D1B2A"/>
          <w:sz w:val="22"/>
          <w:szCs w:val="22"/>
        </w:rPr>
        <w:t xml:space="preserve">Velsanet is built on a different concept entirely: connection, not access. Network relationships are established through structural conformance at the physical layer — not through software-mediated access requests.</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There is no access to deny because there is no access to grant. There is only structural conformance or structural absence.</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5.3 Ghost Data — The Fate of Unauthorized Actions</w:t>
      </w:r>
    </w:p>
    <w:p>
      <w:pPr>
        <w:spacing w:after="100" w:before="100" w:line="320"/>
        <w:jc w:val="both"/>
      </w:pPr>
      <w:r>
        <w:rPr>
          <w:rFonts w:ascii="Arial" w:cs="Arial" w:eastAsia="Arial" w:hAnsi="Arial"/>
          <w:b w:val="false"/>
          <w:bCs w:val="false"/>
          <w:i w:val="false"/>
          <w:iCs w:val="false"/>
          <w:color w:val="0D1B2A"/>
          <w:sz w:val="22"/>
          <w:szCs w:val="22"/>
        </w:rPr>
        <w:t xml:space="preserve">When an unauthorized action is attempted in the Velsanet architecture, the result is not a security breach. It is the creation of Ghost Data — data that exists physically in some part of the network but has no structural validity. It has no AAI validation record. It has no PAI origin. It has no Q4 authorization. It cannot complete a transaction or generate Structural Evidence.</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In Velsanet, the network does not defend against attacks. It simply does not recognize unauthorized actions as real. They produce no structural effect.</w:t>
      </w:r>
    </w:p>
    <w:p>
      <w:pPr>
        <w:pStyle w:val="Heading1"/>
        <w:pBdr>
          <w:bottom w:val="single" w:color="2E6FD8" w:sz="4"/>
        </w:pBdr>
        <w:spacing w:after="120" w:before="360"/>
      </w:pPr>
      <w:r>
        <w:rPr>
          <w:rFonts w:ascii="Arial" w:cs="Arial" w:eastAsia="Arial" w:hAnsi="Arial"/>
          <w:b/>
          <w:bCs/>
          <w:color w:val="0B1E3D"/>
          <w:sz w:val="28"/>
          <w:szCs w:val="28"/>
        </w:rPr>
        <w:t xml:space="preserve">Conclusion: Trust as Infrastructure</w:t>
      </w:r>
    </w:p>
    <w:p>
      <w:pPr>
        <w:spacing w:after="100" w:before="100" w:line="320"/>
        <w:jc w:val="both"/>
      </w:pPr>
      <w:r>
        <w:rPr>
          <w:rFonts w:ascii="Arial" w:cs="Arial" w:eastAsia="Arial" w:hAnsi="Arial"/>
          <w:b w:val="false"/>
          <w:bCs w:val="false"/>
          <w:i w:val="false"/>
          <w:iCs w:val="false"/>
          <w:color w:val="0D1B2A"/>
          <w:sz w:val="22"/>
          <w:szCs w:val="22"/>
        </w:rPr>
        <w:t xml:space="preserve">AAI is the mechanism of structural trust. As Digital Certified Professional — simultaneously lawyer, accountant, notary, auditor, and compliance officer — it performs the verification function that currently requires armies of human professionals, at network speed, for every transaction, automatically.</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In Velsanet, you do not trust the system because you believe it is honest. You trust it because dishonesty is architecturally impossible.</w:t>
      </w:r>
    </w:p>
    <w:p>
      <w:pPr>
        <w:spacing w:after="0" w:before="200"/>
      </w:pPr>
    </w:p>
    <w:p>
      <w:r>
        <w:br w:type="page"/>
      </w:r>
    </w:p>
    <w:p>
      <w:pPr>
        <w:shd w:fill="0B1E3D" w:val="clear"/>
        <w:spacing w:after="0" w:before="0"/>
      </w:pPr>
    </w:p>
    <w:p>
      <w:pPr>
        <w:pBdr>
          <w:left w:val="single" w:color="C9A84C" w:sz="60"/>
        </w:pBdr>
        <w:shd w:fill="0B1E3D" w:val="clear"/>
        <w:spacing w:after="0" w:before="0"/>
        <w:ind w:left="200"/>
      </w:pPr>
      <w:r>
        <w:rPr>
          <w:rFonts w:ascii="Arial" w:cs="Arial" w:eastAsia="Arial" w:hAnsi="Arial"/>
          <w:color w:val="8FA8C8"/>
          <w:sz w:val="18"/>
          <w:szCs w:val="18"/>
        </w:rPr>
        <w:t xml:space="preserve">VELSANET  ·  White Paper  </w:t>
      </w:r>
      <w:r>
        <w:rPr>
          <w:rFonts w:ascii="Arial" w:cs="Arial" w:eastAsia="Arial" w:hAnsi="Arial"/>
          <w:b/>
          <w:bCs/>
          <w:color w:val="00B4D8"/>
          <w:sz w:val="18"/>
          <w:szCs w:val="18"/>
        </w:rPr>
        <w:t xml:space="preserve">#WP-ECO-03</w:t>
      </w:r>
    </w:p>
    <w:p>
      <w:pPr>
        <w:pBdr>
          <w:left w:val="single" w:color="C9A84C" w:sz="60"/>
        </w:pBdr>
        <w:shd w:fill="0B1E3D" w:val="clear"/>
        <w:spacing w:after="0" w:before="60"/>
        <w:ind w:left="200"/>
      </w:pPr>
      <w:r>
        <w:rPr>
          <w:rFonts w:ascii="Arial" w:cs="Arial" w:eastAsia="Arial" w:hAnsi="Arial"/>
          <w:b/>
          <w:bCs/>
          <w:color w:val="C9A84C"/>
          <w:sz w:val="52"/>
          <w:szCs w:val="52"/>
        </w:rPr>
        <w:t xml:space="preserve">ECO-03</w:t>
      </w:r>
    </w:p>
    <w:p>
      <w:pPr>
        <w:pBdr>
          <w:bottom w:val="single" w:color="2E6FD8" w:sz="4"/>
          <w:left w:val="single" w:color="C9A84C" w:sz="60"/>
        </w:pBdr>
        <w:shd w:fill="0B1E3D" w:val="clear"/>
        <w:spacing w:after="20" w:before="40"/>
        <w:ind w:left="200"/>
      </w:pPr>
      <w:r>
        <w:rPr>
          <w:rFonts w:ascii="Arial" w:cs="Arial" w:eastAsia="Arial" w:hAnsi="Arial"/>
          <w:b/>
          <w:bCs/>
          <w:color w:val="FFFFFF"/>
          <w:sz w:val="36"/>
          <w:szCs w:val="36"/>
        </w:rPr>
        <w:t xml:space="preserve">The Telecom Transformation</w:t>
      </w:r>
    </w:p>
    <w:p>
      <w:pPr>
        <w:shd w:fill="112950" w:val="clear"/>
        <w:spacing w:after="80" w:before="120"/>
        <w:ind w:left="360"/>
      </w:pPr>
      <w:r>
        <w:rPr>
          <w:rFonts w:ascii="Arial" w:cs="Arial" w:eastAsia="Arial" w:hAnsi="Arial"/>
          <w:i/>
          <w:iCs/>
          <w:color w:val="00B4D8"/>
          <w:sz w:val="22"/>
          <w:szCs w:val="22"/>
        </w:rPr>
        <w:t xml:space="preserve">From Pipe to Gateway</w:t>
      </w:r>
    </w:p>
    <w:p>
      <w:pPr>
        <w:shd w:fill="112950" w:val="clear"/>
        <w:spacing w:after="240" w:before="60"/>
        <w:ind w:left="360"/>
      </w:pPr>
      <w:r>
        <w:rPr>
          <w:rFonts w:ascii="Arial" w:cs="Arial" w:eastAsia="Arial" w:hAnsi="Arial"/>
          <w:color w:val="8FA8C8"/>
          <w:sz w:val="18"/>
          <w:szCs w:val="18"/>
        </w:rPr>
        <w:t xml:space="preserve">Changho Song  ·  Independent Researcher  ·  Velsanet Architecture  ·  April 2026</w:t>
      </w:r>
    </w:p>
    <w:p>
      <w:pPr>
        <w:pStyle w:val="Heading1"/>
        <w:pBdr>
          <w:bottom w:val="single" w:color="2E6FD8" w:sz="4"/>
        </w:pBdr>
        <w:spacing w:after="120" w:before="360"/>
      </w:pPr>
      <w:r>
        <w:rPr>
          <w:rFonts w:ascii="Arial" w:cs="Arial" w:eastAsia="Arial" w:hAnsi="Arial"/>
          <w:b/>
          <w:bCs/>
          <w:color w:val="0B1E3D"/>
          <w:sz w:val="28"/>
          <w:szCs w:val="28"/>
        </w:rPr>
        <w:t xml:space="preserve">1. The Carrier Dilemma — The End of the Connectivity Business</w:t>
      </w:r>
    </w:p>
    <w:p>
      <w:pPr>
        <w:spacing w:after="100" w:before="100" w:line="320"/>
        <w:jc w:val="both"/>
      </w:pPr>
      <w:r>
        <w:rPr>
          <w:rFonts w:ascii="Arial" w:cs="Arial" w:eastAsia="Arial" w:hAnsi="Arial"/>
          <w:b w:val="false"/>
          <w:bCs w:val="false"/>
          <w:i w:val="false"/>
          <w:iCs w:val="false"/>
          <w:color w:val="0D1B2A"/>
          <w:sz w:val="22"/>
          <w:szCs w:val="22"/>
        </w:rPr>
        <w:t xml:space="preserve">Telecommunications carriers built the infrastructure of the digital age. But connectivity is becoming a utility — essential, ubiquitous, and increasingly indistinguishable between providers. Data prices fall every year. Voice revenue has collapsed. Over-the-top services captured the value that carriers transported but could not own.</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Carriers became the pipe. The value flowed through them — and past them.</w:t>
      </w:r>
    </w:p>
    <w:p>
      <w:pPr>
        <w:pStyle w:val="Heading1"/>
        <w:pBdr>
          <w:bottom w:val="single" w:color="2E6FD8" w:sz="4"/>
        </w:pBdr>
        <w:spacing w:after="120" w:before="360"/>
      </w:pPr>
      <w:r>
        <w:rPr>
          <w:rFonts w:ascii="Arial" w:cs="Arial" w:eastAsia="Arial" w:hAnsi="Arial"/>
          <w:b/>
          <w:bCs/>
          <w:color w:val="0B1E3D"/>
          <w:sz w:val="28"/>
          <w:szCs w:val="28"/>
        </w:rPr>
        <w:t xml:space="preserve">2. The Infrastructure Paradox — Losing on Cost, Winning on Volume</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2.1 The Short-Term Cost Reality</w:t>
      </w:r>
    </w:p>
    <w:p>
      <w:pPr>
        <w:spacing w:after="100" w:before="100" w:line="320"/>
        <w:jc w:val="both"/>
      </w:pPr>
      <w:r>
        <w:rPr>
          <w:rFonts w:ascii="Arial" w:cs="Arial" w:eastAsia="Arial" w:hAnsi="Arial"/>
          <w:b w:val="false"/>
          <w:bCs w:val="false"/>
          <w:i w:val="false"/>
          <w:iCs w:val="false"/>
          <w:color w:val="0D1B2A"/>
          <w:sz w:val="22"/>
          <w:szCs w:val="22"/>
        </w:rPr>
        <w:t xml:space="preserve">Velsanet's optical-native architecture requires significant infrastructure investment. In the short term, carriers may absorb infrastructure costs that exceed their current per-subscriber revenue. This is not a flaw. It is the deliberate strategic logic of platform economics — the same logic Amazon used in AWS.</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Lose on the pipe. Win on the platform.</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2.2 The Volume Equation</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Effect</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Mechanism</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Financial Impact</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Infrastructure cost per subscriber falls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Fixed MOCT and node costs amortize over larger base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Unit economics improve continuously with scale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AI ecosystem revenue per subscriber grows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More subscribers attract more PAI, AAI, and AsAI providers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Revenue per subscriber increases as ecosystem density grows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Network effects compound</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Each new subscriber makes ecosystem more valuable for all</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Revenue growth accelerates non-linearly</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Switching costs increase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 cognitive history accumulates — migration becomes irrational</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Churn drops to near zero as PAI history depth grows</w:t>
            </w:r>
          </w:p>
        </w:tc>
      </w:tr>
    </w:tbl>
    <w:p>
      <w:pPr>
        <w:pStyle w:val="Heading1"/>
        <w:pBdr>
          <w:bottom w:val="single" w:color="2E6FD8" w:sz="4"/>
        </w:pBdr>
        <w:spacing w:after="120" w:before="360"/>
      </w:pPr>
      <w:r>
        <w:rPr>
          <w:rFonts w:ascii="Arial" w:cs="Arial" w:eastAsia="Arial" w:hAnsi="Arial"/>
          <w:b/>
          <w:bCs/>
          <w:color w:val="0B1E3D"/>
          <w:sz w:val="28"/>
          <w:szCs w:val="28"/>
        </w:rPr>
        <w:t xml:space="preserve">3. The Three Revenue Streams</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3.1 Revenue Stream 1 — PAI Subscription</w:t>
      </w:r>
    </w:p>
    <w:p>
      <w:pPr>
        <w:spacing w:after="100" w:before="100" w:line="320"/>
        <w:jc w:val="both"/>
      </w:pPr>
      <w:r>
        <w:rPr>
          <w:rFonts w:ascii="Arial" w:cs="Arial" w:eastAsia="Arial" w:hAnsi="Arial"/>
          <w:b w:val="false"/>
          <w:bCs w:val="false"/>
          <w:i w:val="false"/>
          <w:iCs w:val="false"/>
          <w:color w:val="0D1B2A"/>
          <w:sz w:val="22"/>
          <w:szCs w:val="22"/>
        </w:rPr>
        <w:t xml:space="preserve">The most direct transformation: carriers replace the data plan with the PAI subscription. Instead of selling gigabytes, they sell cognitive capability. PAI subscription value compounds over time. Three years of cognitive history makes switching cost prohibitively high.</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Tier</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Includes</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Pricing Logic</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Basic PAI</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Standard cognitive engine, communication, financial account integration</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Replaces current basic data plan — similar price, dramatically higher value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Premium PAI</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Domain-specialized modules (health, education, legal, finance)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2–3× basic price — high margin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Professional PAI</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Multi-domain specialization, enterprise AAI connectivity, SLA guarantees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Enterprise recurring subscription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Family / Group PAI</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Multiple PAI instances, shared AAI access, group transaction capability</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Bundle pricing — higher ARPU per account</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3.2 Revenue Stream 2 — AI Ecosystem Infrastructure Fee</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Fee Category</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 Pays</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Basis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PAI provider fee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Third-party PAI engine developers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Per active subscriber using their engine on carrier infrastructure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AAI access fee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AAI service providers (legal, financial, medical, educational)</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Per validation transaction processed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AsAI execution fee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Businesses using execution capacity</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Per transaction — volume-based, declining rate at scale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Data storage fee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 raw memory layer</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Per subscriber per month — history grows continuously</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3.3 Revenue Stream 3 — Transaction Gateway Commission</w:t>
      </w:r>
    </w:p>
    <w:p>
      <w:pPr>
        <w:spacing w:after="100" w:before="100" w:line="320"/>
        <w:jc w:val="both"/>
      </w:pPr>
      <w:r>
        <w:rPr>
          <w:rFonts w:ascii="Arial" w:cs="Arial" w:eastAsia="Arial" w:hAnsi="Arial"/>
          <w:b w:val="false"/>
          <w:bCs w:val="false"/>
          <w:i w:val="false"/>
          <w:iCs w:val="false"/>
          <w:color w:val="0D1B2A"/>
          <w:sz w:val="22"/>
          <w:szCs w:val="22"/>
        </w:rPr>
        <w:t xml:space="preserve">Every economic transaction flowing through the carrier's Velsanet infrastructure generates a gateway commission. This is the most transformative revenue stream.</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 carrier does not need to be in the commerce business. It simply needs to be the infrastructure through which commerce flows — and collect a structural toll on every transaction.</w:t>
      </w:r>
    </w:p>
    <w:p>
      <w:pPr>
        <w:pStyle w:val="Heading1"/>
        <w:pBdr>
          <w:bottom w:val="single" w:color="2E6FD8" w:sz="4"/>
        </w:pBdr>
        <w:spacing w:after="120" w:before="360"/>
      </w:pPr>
      <w:r>
        <w:rPr>
          <w:rFonts w:ascii="Arial" w:cs="Arial" w:eastAsia="Arial" w:hAnsi="Arial"/>
          <w:b/>
          <w:bCs/>
          <w:color w:val="0B1E3D"/>
          <w:sz w:val="28"/>
          <w:szCs w:val="28"/>
        </w:rPr>
        <w:t xml:space="preserve">4. The Business Model Transformation</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Dimension</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Velsanet Model vs. Current Model</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Core product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PAI subscription + AI ecosystem access (vs. connectivity/voice)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Revenue basis</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Subscription + ecosystem fees + transaction commission (vs. data volume)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Competitive differentiation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PAI quality, ecosystem depth, domain coverage (vs. network speed and price)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Customer relationship</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AI life partner — deep engagement, high switching cost (vs. low-engagement utility)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Revenue trajectory</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Growing — ecosystem network effects compound (vs. declining commodity pressure)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ARPU trend</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Rising — value accumulation per subscriber (vs. falling price competition)</w:t>
            </w:r>
          </w:p>
        </w:tc>
      </w:tr>
    </w:tbl>
    <w:p>
      <w:pPr>
        <w:pStyle w:val="Heading1"/>
        <w:pBdr>
          <w:bottom w:val="single" w:color="2E6FD8" w:sz="4"/>
        </w:pBdr>
        <w:spacing w:after="120" w:before="360"/>
      </w:pPr>
      <w:r>
        <w:rPr>
          <w:rFonts w:ascii="Arial" w:cs="Arial" w:eastAsia="Arial" w:hAnsi="Arial"/>
          <w:b/>
          <w:bCs/>
          <w:color w:val="0B1E3D"/>
          <w:sz w:val="28"/>
          <w:szCs w:val="28"/>
        </w:rPr>
        <w:t xml:space="preserve">5. The Network Effect Flywheel</w:t>
      </w:r>
    </w:p>
    <w:p>
      <w:pPr>
        <w:spacing w:after="100" w:before="100" w:line="320"/>
        <w:jc w:val="both"/>
      </w:pPr>
      <w:r>
        <w:rPr>
          <w:rFonts w:ascii="Arial" w:cs="Arial" w:eastAsia="Arial" w:hAnsi="Arial"/>
          <w:b w:val="false"/>
          <w:bCs w:val="false"/>
          <w:i w:val="false"/>
          <w:iCs w:val="false"/>
          <w:color w:val="0D1B2A"/>
          <w:sz w:val="22"/>
          <w:szCs w:val="22"/>
        </w:rPr>
        <w:t xml:space="preserve">More subscribers attract more PAI engine providers → Better PAI quality attracts more AAI service providers → More AAI services attract more AsAI businesses → More AsAI businesses generate more transaction commission revenue → Higher revenue enables better infrastructure → Better infrastructure attracts more subscribers.</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Data plan competition is a zero-sum race to the bottom. The Velsanet ecosystem model is a positive-sum race to the top.</w:t>
      </w:r>
    </w:p>
    <w:p>
      <w:pPr>
        <w:spacing w:after="0" w:before="200"/>
      </w:pPr>
    </w:p>
    <w:p>
      <w:r>
        <w:br w:type="page"/>
      </w:r>
    </w:p>
    <w:p>
      <w:pPr>
        <w:shd w:fill="0B1E3D" w:val="clear"/>
        <w:spacing w:after="0" w:before="0"/>
      </w:pPr>
    </w:p>
    <w:p>
      <w:pPr>
        <w:pBdr>
          <w:left w:val="single" w:color="C9A84C" w:sz="60"/>
        </w:pBdr>
        <w:shd w:fill="0B1E3D" w:val="clear"/>
        <w:spacing w:after="0" w:before="0"/>
        <w:ind w:left="200"/>
      </w:pPr>
      <w:r>
        <w:rPr>
          <w:rFonts w:ascii="Arial" w:cs="Arial" w:eastAsia="Arial" w:hAnsi="Arial"/>
          <w:color w:val="8FA8C8"/>
          <w:sz w:val="18"/>
          <w:szCs w:val="18"/>
        </w:rPr>
        <w:t xml:space="preserve">VELSANET  ·  White Paper  </w:t>
      </w:r>
      <w:r>
        <w:rPr>
          <w:rFonts w:ascii="Arial" w:cs="Arial" w:eastAsia="Arial" w:hAnsi="Arial"/>
          <w:b/>
          <w:bCs/>
          <w:color w:val="00B4D8"/>
          <w:sz w:val="18"/>
          <w:szCs w:val="18"/>
        </w:rPr>
        <w:t xml:space="preserve">#WP-ECO-04</w:t>
      </w:r>
    </w:p>
    <w:p>
      <w:pPr>
        <w:pBdr>
          <w:left w:val="single" w:color="C9A84C" w:sz="60"/>
        </w:pBdr>
        <w:shd w:fill="0B1E3D" w:val="clear"/>
        <w:spacing w:after="0" w:before="60"/>
        <w:ind w:left="200"/>
      </w:pPr>
      <w:r>
        <w:rPr>
          <w:rFonts w:ascii="Arial" w:cs="Arial" w:eastAsia="Arial" w:hAnsi="Arial"/>
          <w:b/>
          <w:bCs/>
          <w:color w:val="C9A84C"/>
          <w:sz w:val="52"/>
          <w:szCs w:val="52"/>
        </w:rPr>
        <w:t xml:space="preserve">ECO-04</w:t>
      </w:r>
    </w:p>
    <w:p>
      <w:pPr>
        <w:pBdr>
          <w:bottom w:val="single" w:color="2E6FD8" w:sz="4"/>
          <w:left w:val="single" w:color="C9A84C" w:sz="60"/>
        </w:pBdr>
        <w:shd w:fill="0B1E3D" w:val="clear"/>
        <w:spacing w:after="20" w:before="40"/>
        <w:ind w:left="200"/>
      </w:pPr>
      <w:r>
        <w:rPr>
          <w:rFonts w:ascii="Arial" w:cs="Arial" w:eastAsia="Arial" w:hAnsi="Arial"/>
          <w:b/>
          <w:bCs/>
          <w:color w:val="FFFFFF"/>
          <w:sz w:val="36"/>
          <w:szCs w:val="36"/>
        </w:rPr>
        <w:t xml:space="preserve">The End of Advertising</w:t>
      </w:r>
    </w:p>
    <w:p>
      <w:pPr>
        <w:shd w:fill="112950" w:val="clear"/>
        <w:spacing w:after="80" w:before="120"/>
        <w:ind w:left="360"/>
      </w:pPr>
      <w:r>
        <w:rPr>
          <w:rFonts w:ascii="Arial" w:cs="Arial" w:eastAsia="Arial" w:hAnsi="Arial"/>
          <w:i/>
          <w:iCs/>
          <w:color w:val="00B4D8"/>
          <w:sz w:val="22"/>
          <w:szCs w:val="22"/>
        </w:rPr>
        <w:t xml:space="preserve">Intent-Driven Commerce Replaces Push Marketing</w:t>
      </w:r>
    </w:p>
    <w:p>
      <w:pPr>
        <w:shd w:fill="112950" w:val="clear"/>
        <w:spacing w:after="240" w:before="60"/>
        <w:ind w:left="360"/>
      </w:pPr>
      <w:r>
        <w:rPr>
          <w:rFonts w:ascii="Arial" w:cs="Arial" w:eastAsia="Arial" w:hAnsi="Arial"/>
          <w:color w:val="8FA8C8"/>
          <w:sz w:val="18"/>
          <w:szCs w:val="18"/>
        </w:rPr>
        <w:t xml:space="preserve">Changho Song  ·  Independent Researcher  ·  Velsanet Architecture  ·  April 2026</w:t>
      </w:r>
    </w:p>
    <w:p>
      <w:pPr>
        <w:pStyle w:val="Heading1"/>
        <w:pBdr>
          <w:bottom w:val="single" w:color="2E6FD8" w:sz="4"/>
        </w:pBdr>
        <w:spacing w:after="120" w:before="360"/>
      </w:pPr>
      <w:r>
        <w:rPr>
          <w:rFonts w:ascii="Arial" w:cs="Arial" w:eastAsia="Arial" w:hAnsi="Arial"/>
          <w:b/>
          <w:bCs/>
          <w:color w:val="0B1E3D"/>
          <w:sz w:val="28"/>
          <w:szCs w:val="28"/>
        </w:rPr>
        <w:t xml:space="preserve">1. The Advertising Industry's Structural Problem</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1.1 Push Marketing — A System Built on Waste</w:t>
      </w:r>
    </w:p>
    <w:p>
      <w:pPr>
        <w:spacing w:after="100" w:before="100" w:line="320"/>
        <w:jc w:val="both"/>
      </w:pPr>
      <w:r>
        <w:rPr>
          <w:rFonts w:ascii="Arial" w:cs="Arial" w:eastAsia="Arial" w:hAnsi="Arial"/>
          <w:b w:val="false"/>
          <w:bCs w:val="false"/>
          <w:i w:val="false"/>
          <w:iCs w:val="false"/>
          <w:color w:val="0D1B2A"/>
          <w:sz w:val="22"/>
          <w:szCs w:val="22"/>
        </w:rPr>
        <w:t xml:space="preserve">The modern advertising industry is built on a single premise: reach enough people with a message, and some of them will buy. This push model has become increasingly sophisticated in targeting, but has never escaped its fundamental inefficiency.</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Advertising Metric</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Reality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Average display ad click-through rate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0.1% — 999 out of 1,000 impressions produce no action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Average conversion rate (click to purchase)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2–3% — 97 out of 100 clicks produce no sale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Effective conversion rate (impression to purchase)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0.002% — 1 in 50,000 impressions results in a sale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Annual global advertising waste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Estimated $400–600 billion in spend producing no measurable outcome</w:t>
            </w:r>
          </w:p>
        </w:tc>
      </w:tr>
    </w:tbl>
    <w:p>
      <w:pPr>
        <w:pStyle w:val="Heading1"/>
        <w:pBdr>
          <w:bottom w:val="single" w:color="2E6FD8" w:sz="4"/>
        </w:pBdr>
        <w:spacing w:after="120" w:before="360"/>
      </w:pPr>
      <w:r>
        <w:rPr>
          <w:rFonts w:ascii="Arial" w:cs="Arial" w:eastAsia="Arial" w:hAnsi="Arial"/>
          <w:b/>
          <w:bCs/>
          <w:color w:val="0B1E3D"/>
          <w:sz w:val="28"/>
          <w:szCs w:val="28"/>
        </w:rPr>
        <w:t xml:space="preserve">2. The Velsanet Commerce Model — Pull, Not Push</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2.1 The Intent Chain as the New Commerce Infrastructure</w:t>
      </w:r>
    </w:p>
    <w:p>
      <w:pPr>
        <w:spacing w:after="100" w:before="100" w:line="320"/>
        <w:jc w:val="both"/>
      </w:pPr>
      <w:r>
        <w:rPr>
          <w:rFonts w:ascii="Arial" w:cs="Arial" w:eastAsia="Arial" w:hAnsi="Arial"/>
          <w:b w:val="false"/>
          <w:bCs w:val="false"/>
          <w:i w:val="false"/>
          <w:iCs w:val="false"/>
          <w:color w:val="0D1B2A"/>
          <w:sz w:val="22"/>
          <w:szCs w:val="22"/>
        </w:rPr>
        <w:t xml:space="preserve">In the Velsanet economy, commerce begins with a PAI cognitive event. A structured intent object contains: precise specification, context (why and what for), timing, history of what was considered and rejected, and capability (financial qualification). This intent object is worth infinitely more to a seller than a keyword.</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2.2 AAI as the Commerce Curator — The Sponsored Matching Model</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AAI Function</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Does</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 Created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Intent validation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Confirms intent is genuine, buyer is qualified, transaction is permitted</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Sellers receive only validated, qualified intent — zero unqualified leads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Sponsored matching</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Matches validated intent against registered AsAI businesses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Sellers pay only for matched, validated intent — not impressions or clicks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Comparative curation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Evaluates options against buyer specifications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Buyers receive curated options that genuinely match intent</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Transaction preparation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Pre-validates terms so acceptance triggers immediate execution</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Friction eliminated — decision to buy equals completion of purchase</w:t>
            </w:r>
          </w:p>
        </w:tc>
      </w:tr>
    </w:tbl>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AAI does not show advertising. It curates commerce. Advertising interrupts. Curation serves.</w:t>
      </w:r>
    </w:p>
    <w:p>
      <w:pPr>
        <w:pStyle w:val="Heading1"/>
        <w:pBdr>
          <w:bottom w:val="single" w:color="2E6FD8" w:sz="4"/>
        </w:pBdr>
        <w:spacing w:after="120" w:before="360"/>
      </w:pPr>
      <w:r>
        <w:rPr>
          <w:rFonts w:ascii="Arial" w:cs="Arial" w:eastAsia="Arial" w:hAnsi="Arial"/>
          <w:b/>
          <w:bCs/>
          <w:color w:val="0B1E3D"/>
          <w:sz w:val="28"/>
          <w:szCs w:val="28"/>
        </w:rPr>
        <w:t xml:space="preserve">3. The Revenue Revolution — AAI Earns, AsAI Saves</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3.1 AAI Revenue Model</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AAI Revenue Stream</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Mechanism</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Characteristics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Matching fee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Fixed fee per validated intent match delivered</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Predictable, volume-based — scales with ecosystem activity</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Transaction commission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Percentage of completed transaction value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Aligns AAI incentive with transaction completion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Registry participation fee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Annual fee for AsAI businesses to maintain Sponsored Registry presence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Recurring baseline revenue — independent of volume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Premium placement fee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Higher fee for priority matching within a given intent category</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Competitive auction — high-demand categories generate premium revenue</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3.2 AsAI Cost Revolution — The End of the Advertising Budget</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Cost Category</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Velsanet Model</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Brand advertising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Eliminated — replaced by quality record in AAI registry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Performance advertising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Replaced by per-match fee with near-100% qualified lead rate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Sales force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Dramatically reduced — AAI pre-qualifies every buyer</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Marketing technology</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Eliminated — AAI handles all matching and attribution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Creative production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Eliminated — registry entries are structured data, not creative content</w:t>
            </w:r>
          </w:p>
        </w:tc>
      </w:tr>
    </w:tbl>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Companies currently spend 10–30% of revenue on marketing and sales. In the Velsanet economy, this collapses to a structural transaction fee — because the marketing function is performed by AAI on behalf of the buyer, not the seller.</w:t>
      </w:r>
    </w:p>
    <w:p>
      <w:pPr>
        <w:pStyle w:val="Heading1"/>
        <w:pBdr>
          <w:bottom w:val="single" w:color="2E6FD8" w:sz="4"/>
        </w:pBdr>
        <w:spacing w:after="120" w:before="360"/>
      </w:pPr>
      <w:r>
        <w:rPr>
          <w:rFonts w:ascii="Arial" w:cs="Arial" w:eastAsia="Arial" w:hAnsi="Arial"/>
          <w:b/>
          <w:bCs/>
          <w:color w:val="0B1E3D"/>
          <w:sz w:val="28"/>
          <w:szCs w:val="28"/>
        </w:rPr>
        <w:t xml:space="preserve">5. Conclusion — The Economy That Serves Intent</w:t>
      </w:r>
    </w:p>
    <w:p>
      <w:pPr>
        <w:spacing w:after="100" w:before="100" w:line="320"/>
        <w:jc w:val="both"/>
      </w:pPr>
      <w:r>
        <w:rPr>
          <w:rFonts w:ascii="Arial" w:cs="Arial" w:eastAsia="Arial" w:hAnsi="Arial"/>
          <w:b w:val="false"/>
          <w:bCs w:val="false"/>
          <w:i w:val="false"/>
          <w:iCs w:val="false"/>
          <w:color w:val="0D1B2A"/>
          <w:sz w:val="22"/>
          <w:szCs w:val="22"/>
        </w:rPr>
        <w:t xml:space="preserve">The Velsanet economy closes the gap between want and fulfillment structurally. PAI knows what each person wants. AAI validates and matches with what is available. AsAI executes.</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In the Velsanet economy, commerce does not find you. It waits for you — and when you are ready, it is already prepared.</w:t>
      </w:r>
    </w:p>
    <w:p>
      <w:pPr>
        <w:spacing w:after="0" w:before="200"/>
      </w:pPr>
    </w:p>
    <w:p>
      <w:r>
        <w:br w:type="page"/>
      </w:r>
    </w:p>
    <w:p>
      <w:pPr>
        <w:shd w:fill="0B1E3D" w:val="clear"/>
        <w:spacing w:after="0" w:before="0"/>
      </w:pPr>
    </w:p>
    <w:p>
      <w:pPr>
        <w:pBdr>
          <w:left w:val="single" w:color="C9A84C" w:sz="60"/>
        </w:pBdr>
        <w:shd w:fill="0B1E3D" w:val="clear"/>
        <w:spacing w:after="0" w:before="0"/>
        <w:ind w:left="200"/>
      </w:pPr>
      <w:r>
        <w:rPr>
          <w:rFonts w:ascii="Arial" w:cs="Arial" w:eastAsia="Arial" w:hAnsi="Arial"/>
          <w:color w:val="8FA8C8"/>
          <w:sz w:val="18"/>
          <w:szCs w:val="18"/>
        </w:rPr>
        <w:t xml:space="preserve">VELSANET  ·  White Paper  </w:t>
      </w:r>
      <w:r>
        <w:rPr>
          <w:rFonts w:ascii="Arial" w:cs="Arial" w:eastAsia="Arial" w:hAnsi="Arial"/>
          <w:b/>
          <w:bCs/>
          <w:color w:val="00B4D8"/>
          <w:sz w:val="18"/>
          <w:szCs w:val="18"/>
        </w:rPr>
        <w:t xml:space="preserve">#WP-ECO-05</w:t>
      </w:r>
    </w:p>
    <w:p>
      <w:pPr>
        <w:pBdr>
          <w:left w:val="single" w:color="C9A84C" w:sz="60"/>
        </w:pBdr>
        <w:shd w:fill="0B1E3D" w:val="clear"/>
        <w:spacing w:after="0" w:before="60"/>
        <w:ind w:left="200"/>
      </w:pPr>
      <w:r>
        <w:rPr>
          <w:rFonts w:ascii="Arial" w:cs="Arial" w:eastAsia="Arial" w:hAnsi="Arial"/>
          <w:b/>
          <w:bCs/>
          <w:color w:val="C9A84C"/>
          <w:sz w:val="52"/>
          <w:szCs w:val="52"/>
        </w:rPr>
        <w:t xml:space="preserve">ECO-05</w:t>
      </w:r>
    </w:p>
    <w:p>
      <w:pPr>
        <w:pBdr>
          <w:bottom w:val="single" w:color="2E6FD8" w:sz="4"/>
          <w:left w:val="single" w:color="C9A84C" w:sz="60"/>
        </w:pBdr>
        <w:shd w:fill="0B1E3D" w:val="clear"/>
        <w:spacing w:after="20" w:before="40"/>
        <w:ind w:left="200"/>
      </w:pPr>
      <w:r>
        <w:rPr>
          <w:rFonts w:ascii="Arial" w:cs="Arial" w:eastAsia="Arial" w:hAnsi="Arial"/>
          <w:b/>
          <w:bCs/>
          <w:color w:val="FFFFFF"/>
          <w:sz w:val="36"/>
          <w:szCs w:val="36"/>
        </w:rPr>
        <w:t xml:space="preserve">The Healthcare Economy</w:t>
      </w:r>
    </w:p>
    <w:p>
      <w:pPr>
        <w:shd w:fill="112950" w:val="clear"/>
        <w:spacing w:after="80" w:before="120"/>
        <w:ind w:left="360"/>
      </w:pPr>
      <w:r>
        <w:rPr>
          <w:rFonts w:ascii="Arial" w:cs="Arial" w:eastAsia="Arial" w:hAnsi="Arial"/>
          <w:i/>
          <w:iCs/>
          <w:color w:val="00B4D8"/>
          <w:sz w:val="22"/>
          <w:szCs w:val="22"/>
        </w:rPr>
        <w:t xml:space="preserve">Sovereign Health Data and Structural Medical Trust</w:t>
      </w:r>
    </w:p>
    <w:p>
      <w:pPr>
        <w:shd w:fill="112950" w:val="clear"/>
        <w:spacing w:after="240" w:before="60"/>
        <w:ind w:left="360"/>
      </w:pPr>
      <w:r>
        <w:rPr>
          <w:rFonts w:ascii="Arial" w:cs="Arial" w:eastAsia="Arial" w:hAnsi="Arial"/>
          <w:color w:val="8FA8C8"/>
          <w:sz w:val="18"/>
          <w:szCs w:val="18"/>
        </w:rPr>
        <w:t xml:space="preserve">Changho Song  ·  Independent Researcher  ·  Velsanet Architecture  ·  April 2026</w:t>
      </w:r>
    </w:p>
    <w:p>
      <w:pPr>
        <w:pStyle w:val="Heading1"/>
        <w:pBdr>
          <w:bottom w:val="single" w:color="2E6FD8" w:sz="4"/>
        </w:pBdr>
        <w:spacing w:after="120" w:before="360"/>
      </w:pPr>
      <w:r>
        <w:rPr>
          <w:rFonts w:ascii="Arial" w:cs="Arial" w:eastAsia="Arial" w:hAnsi="Arial"/>
          <w:b/>
          <w:bCs/>
          <w:color w:val="0B1E3D"/>
          <w:sz w:val="28"/>
          <w:szCs w:val="28"/>
        </w:rPr>
        <w:t xml:space="preserve">1. The Healthcare System's Structural Failures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Structural Failure</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Current Reality</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Consequence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Information fragmentation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Patient records scattered across hospitals, clinics, pharmacies, and insurers — none connected</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Doctors make decisions without complete information; errors multiply</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Trust without verification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Medical credentials and clinical claims are self-reported or periodically audited</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Fraud, misrepresentation, and undetected incompetence cause preventable harm</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Consent without structure</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Patient consent is a signature on a form — not a structural condition of treatment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Patients lose control of their data and treatment path the moment they sign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Cost without accountability</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Billing is opaque; no structural link between cost and outcome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Healthcare costs consume 10–20% of GDP with no structural accountability</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Access inequality</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Quality care requires proximity to major centers and financial resources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Billions of people have no access to specialist expertise regardless of need</w:t>
            </w:r>
          </w:p>
        </w:tc>
      </w:tr>
    </w:tbl>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Healthcare does not fail because doctors are bad or hospitals are corrupt. It fails because the structure makes information fragmentation, trust gaps, and accountability voids inevitable.</w:t>
      </w:r>
    </w:p>
    <w:p>
      <w:pPr>
        <w:pStyle w:val="Heading1"/>
        <w:pBdr>
          <w:bottom w:val="single" w:color="2E6FD8" w:sz="4"/>
        </w:pBdr>
        <w:spacing w:after="120" w:before="360"/>
      </w:pPr>
      <w:r>
        <w:rPr>
          <w:rFonts w:ascii="Arial" w:cs="Arial" w:eastAsia="Arial" w:hAnsi="Arial"/>
          <w:b/>
          <w:bCs/>
          <w:color w:val="0B1E3D"/>
          <w:sz w:val="28"/>
          <w:szCs w:val="28"/>
        </w:rPr>
        <w:t xml:space="preserve">2. The Velsanet Healthcare Architecture</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2.1 PAI — The Personal Health Cognitive Layer</w:t>
      </w:r>
    </w:p>
    <w:p>
      <w:pPr>
        <w:spacing w:after="100" w:before="100" w:line="320"/>
        <w:jc w:val="both"/>
      </w:pPr>
      <w:r>
        <w:rPr>
          <w:rFonts w:ascii="Arial" w:cs="Arial" w:eastAsia="Arial" w:hAnsi="Arial"/>
          <w:b w:val="false"/>
          <w:bCs w:val="false"/>
          <w:i w:val="false"/>
          <w:iCs w:val="false"/>
          <w:color w:val="0D1B2A"/>
          <w:sz w:val="22"/>
          <w:szCs w:val="22"/>
        </w:rPr>
        <w:t xml:space="preserve">In the Velsanet healthcare economy, every individual's PAI serves as their lifelong personal health cognitive layer — continuously updated, integrating biometric signals, behavioral patterns, symptom history, treatment responses, and wellness trajectories.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PAI Health Function</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It Does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Continuous biometric monitoring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CH4 channel captures heart rate, glucose, sleep patterns, stress indicators — baseline established before illness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Symptom experience encapsulation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SEU captures the full multimodal experience of symptoms — doctor receives structured cognitive object, not verbal description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Treatment response tracking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T-axis records all treatment events with outcomes in immutable chronological order</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Personal health sovereignty</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All health data belongs to the individual PAI — no hospital or insurer owns it</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2.2 AAI — The Medical Transaction Guardian</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Medical AAI does not replace the doctor's judgment. It ensures that the doctor's judgment is applied within a structurally verified information environment — with complete patient history, verified credentials, and automatic compliance.</w:t>
      </w:r>
    </w:p>
    <w:p>
      <w:pPr>
        <w:pStyle w:val="Heading1"/>
        <w:pBdr>
          <w:bottom w:val="single" w:color="2E6FD8" w:sz="4"/>
        </w:pBdr>
        <w:spacing w:after="120" w:before="360"/>
      </w:pPr>
      <w:r>
        <w:rPr>
          <w:rFonts w:ascii="Arial" w:cs="Arial" w:eastAsia="Arial" w:hAnsi="Arial"/>
          <w:b/>
          <w:bCs/>
          <w:color w:val="0B1E3D"/>
          <w:sz w:val="28"/>
          <w:szCs w:val="28"/>
        </w:rPr>
        <w:t xml:space="preserve">3. The Sovereign Health Data Economy</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3.1 Your Health Data Belongs to You</w:t>
      </w:r>
    </w:p>
    <w:p>
      <w:pPr>
        <w:spacing w:after="100" w:before="100" w:line="320"/>
        <w:jc w:val="both"/>
      </w:pPr>
      <w:r>
        <w:rPr>
          <w:rFonts w:ascii="Arial" w:cs="Arial" w:eastAsia="Arial" w:hAnsi="Arial"/>
          <w:b w:val="false"/>
          <w:bCs w:val="false"/>
          <w:i w:val="false"/>
          <w:iCs w:val="false"/>
          <w:color w:val="0D1B2A"/>
          <w:sz w:val="22"/>
          <w:szCs w:val="22"/>
        </w:rPr>
        <w:t xml:space="preserve">In the current healthcare economy, health data is owned by whoever collected it. In the Velsanet healthcare economy, all health data originates in and belongs to the individual's PAI. No provider receives raw health data — they receive structured, consent-governed cognitive outputs.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Data Type</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Velsanet Ownership vs. Current</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Medical records</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Individual PAI — immutable raw memory layer (vs. hospital/clinic)</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Diagnostic results</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Individual PAI — returned directly, not held by provider</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Prescription history</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Individual PAI — shared only with authorized providers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Biometric data</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Individual PAI — never transmitted without explicit consent</w:t>
            </w:r>
          </w:p>
        </w:tc>
      </w:tr>
    </w:tbl>
    <w:p>
      <w:pPr>
        <w:pStyle w:val="Heading1"/>
        <w:pBdr>
          <w:bottom w:val="single" w:color="2E6FD8" w:sz="4"/>
        </w:pBdr>
        <w:spacing w:after="120" w:before="360"/>
      </w:pPr>
      <w:r>
        <w:rPr>
          <w:rFonts w:ascii="Arial" w:cs="Arial" w:eastAsia="Arial" w:hAnsi="Arial"/>
          <w:b/>
          <w:bCs/>
          <w:color w:val="0B1E3D"/>
          <w:sz w:val="28"/>
          <w:szCs w:val="28"/>
        </w:rPr>
        <w:t xml:space="preserve">4. New Healthcare Business Models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Business Model</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Enabled By</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Outcome-contingent payment</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Providers paid based on structurally verified treatment outcomes, not procedures performed</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 continuous outcome tracking + AAI payment validation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Preventive care subscription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 continuously monitors health baseline; AAI triggers preventive interventions before illness manifests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 biometric monitoring + AAI pattern recognition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Global specialist access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Patients in any location access specialist expertise through AAI matching — geography eliminated as barrier</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AAI global registry + AsAI remote consultation execution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AI-native diagnostics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Diagnostic AsAI providers compete on accuracy of PAI health pattern interpretation</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PAI cognitive health data + AAI outcome verification</w:t>
            </w:r>
          </w:p>
        </w:tc>
      </w:tr>
    </w:tbl>
    <w:p>
      <w:pPr>
        <w:pStyle w:val="Heading1"/>
        <w:pBdr>
          <w:bottom w:val="single" w:color="2E6FD8" w:sz="4"/>
        </w:pBdr>
        <w:spacing w:after="120" w:before="360"/>
      </w:pPr>
      <w:r>
        <w:rPr>
          <w:rFonts w:ascii="Arial" w:cs="Arial" w:eastAsia="Arial" w:hAnsi="Arial"/>
          <w:b/>
          <w:bCs/>
          <w:color w:val="0B1E3D"/>
          <w:sz w:val="28"/>
          <w:szCs w:val="28"/>
        </w:rPr>
        <w:t xml:space="preserve">5. Conclusion</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In the Velsanet healthcare economy, the patient is not a record in someone else's database. The patient is the database — sovereign, portable, and structurally protected.</w:t>
      </w:r>
    </w:p>
    <w:p>
      <w:pPr>
        <w:spacing w:after="0" w:before="200"/>
      </w:pPr>
    </w:p>
    <w:p>
      <w:r>
        <w:br w:type="page"/>
      </w:r>
    </w:p>
    <w:p>
      <w:pPr>
        <w:shd w:fill="0B1E3D" w:val="clear"/>
        <w:spacing w:after="0" w:before="0"/>
      </w:pPr>
    </w:p>
    <w:p>
      <w:pPr>
        <w:pBdr>
          <w:left w:val="single" w:color="C9A84C" w:sz="60"/>
        </w:pBdr>
        <w:shd w:fill="0B1E3D" w:val="clear"/>
        <w:spacing w:after="0" w:before="0"/>
        <w:ind w:left="200"/>
      </w:pPr>
      <w:r>
        <w:rPr>
          <w:rFonts w:ascii="Arial" w:cs="Arial" w:eastAsia="Arial" w:hAnsi="Arial"/>
          <w:color w:val="8FA8C8"/>
          <w:sz w:val="18"/>
          <w:szCs w:val="18"/>
        </w:rPr>
        <w:t xml:space="preserve">VELSANET  ·  White Paper  </w:t>
      </w:r>
      <w:r>
        <w:rPr>
          <w:rFonts w:ascii="Arial" w:cs="Arial" w:eastAsia="Arial" w:hAnsi="Arial"/>
          <w:b/>
          <w:bCs/>
          <w:color w:val="00B4D8"/>
          <w:sz w:val="18"/>
          <w:szCs w:val="18"/>
        </w:rPr>
        <w:t xml:space="preserve">#WP-ECO-06</w:t>
      </w:r>
    </w:p>
    <w:p>
      <w:pPr>
        <w:pBdr>
          <w:left w:val="single" w:color="C9A84C" w:sz="60"/>
        </w:pBdr>
        <w:shd w:fill="0B1E3D" w:val="clear"/>
        <w:spacing w:after="0" w:before="60"/>
        <w:ind w:left="200"/>
      </w:pPr>
      <w:r>
        <w:rPr>
          <w:rFonts w:ascii="Arial" w:cs="Arial" w:eastAsia="Arial" w:hAnsi="Arial"/>
          <w:b/>
          <w:bCs/>
          <w:color w:val="C9A84C"/>
          <w:sz w:val="52"/>
          <w:szCs w:val="52"/>
        </w:rPr>
        <w:t xml:space="preserve">ECO-06</w:t>
      </w:r>
    </w:p>
    <w:p>
      <w:pPr>
        <w:pBdr>
          <w:bottom w:val="single" w:color="2E6FD8" w:sz="4"/>
          <w:left w:val="single" w:color="C9A84C" w:sz="60"/>
        </w:pBdr>
        <w:shd w:fill="0B1E3D" w:val="clear"/>
        <w:spacing w:after="20" w:before="40"/>
        <w:ind w:left="200"/>
      </w:pPr>
      <w:r>
        <w:rPr>
          <w:rFonts w:ascii="Arial" w:cs="Arial" w:eastAsia="Arial" w:hAnsi="Arial"/>
          <w:b/>
          <w:bCs/>
          <w:color w:val="FFFFFF"/>
          <w:sz w:val="36"/>
          <w:szCs w:val="36"/>
        </w:rPr>
        <w:t xml:space="preserve">The Education Economy</w:t>
      </w:r>
    </w:p>
    <w:p>
      <w:pPr>
        <w:shd w:fill="112950" w:val="clear"/>
        <w:spacing w:after="80" w:before="120"/>
        <w:ind w:left="360"/>
      </w:pPr>
      <w:r>
        <w:rPr>
          <w:rFonts w:ascii="Arial" w:cs="Arial" w:eastAsia="Arial" w:hAnsi="Arial"/>
          <w:i/>
          <w:iCs/>
          <w:color w:val="00B4D8"/>
          <w:sz w:val="22"/>
          <w:szCs w:val="22"/>
        </w:rPr>
        <w:t xml:space="preserve">From Average to Individual — Structural Learning</w:t>
      </w:r>
    </w:p>
    <w:p>
      <w:pPr>
        <w:shd w:fill="112950" w:val="clear"/>
        <w:spacing w:after="240" w:before="60"/>
        <w:ind w:left="360"/>
      </w:pPr>
      <w:r>
        <w:rPr>
          <w:rFonts w:ascii="Arial" w:cs="Arial" w:eastAsia="Arial" w:hAnsi="Arial"/>
          <w:color w:val="8FA8C8"/>
          <w:sz w:val="18"/>
          <w:szCs w:val="18"/>
        </w:rPr>
        <w:t xml:space="preserve">Changho Song  ·  Independent Researcher  ·  Velsanet Architecture  ·  April 2026</w:t>
      </w:r>
    </w:p>
    <w:p>
      <w:pPr>
        <w:pStyle w:val="Heading1"/>
        <w:pBdr>
          <w:bottom w:val="single" w:color="2E6FD8" w:sz="4"/>
        </w:pBdr>
        <w:spacing w:after="120" w:before="360"/>
      </w:pPr>
      <w:r>
        <w:rPr>
          <w:rFonts w:ascii="Arial" w:cs="Arial" w:eastAsia="Arial" w:hAnsi="Arial"/>
          <w:b/>
          <w:bCs/>
          <w:color w:val="0B1E3D"/>
          <w:sz w:val="28"/>
          <w:szCs w:val="28"/>
        </w:rPr>
        <w:t xml:space="preserve">1. The Education System's Structural Problem</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1.1 A System Designed for the Average</w:t>
      </w:r>
    </w:p>
    <w:p>
      <w:pPr>
        <w:spacing w:after="100" w:before="100" w:line="320"/>
        <w:jc w:val="both"/>
      </w:pPr>
      <w:r>
        <w:rPr>
          <w:rFonts w:ascii="Arial" w:cs="Arial" w:eastAsia="Arial" w:hAnsi="Arial"/>
          <w:b w:val="false"/>
          <w:bCs w:val="false"/>
          <w:i w:val="false"/>
          <w:iCs w:val="false"/>
          <w:color w:val="0D1B2A"/>
          <w:sz w:val="22"/>
          <w:szCs w:val="22"/>
        </w:rPr>
        <w:t xml:space="preserve">The modern education system was designed for industrial-age efficiency: standardize the curriculum, batch-process students by age, and assess everyone against the same benchmark. This model maximized throughput. It did not maximize learning. Every structural failure traces back to the same root: the system does not know who the student actually is.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Structural Failure</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Current Reality</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Consequence</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Unknown learner</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Teachers work with 30 students simultaneously — individual cognitive profiles impossible to maintain</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Students who learn differently fall behind; advanced students are held back</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Credential inflation</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Degrees certify time spent, not competence achieved — employers cannot verify actual capability</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Employers demand ever-higher credentials; mismatch between education and employment</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Access inequality</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Quality education requires proximity to elite institutions and financial resources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Talent distributed globally; opportunity concentrated geographically and economically</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Misaligned incentives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Institutions rewarded for enrollment and retention, not for learning outcomes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Marketing budgets exceed teaching budgets; student debt accumulates without commensurate skill development</w:t>
            </w:r>
          </w:p>
        </w:tc>
      </w:tr>
    </w:tbl>
    <w:p>
      <w:pPr>
        <w:pStyle w:val="Heading1"/>
        <w:pBdr>
          <w:bottom w:val="single" w:color="2E6FD8" w:sz="4"/>
        </w:pBdr>
        <w:spacing w:after="120" w:before="360"/>
      </w:pPr>
      <w:r>
        <w:rPr>
          <w:rFonts w:ascii="Arial" w:cs="Arial" w:eastAsia="Arial" w:hAnsi="Arial"/>
          <w:b/>
          <w:bCs/>
          <w:color w:val="0B1E3D"/>
          <w:sz w:val="28"/>
          <w:szCs w:val="28"/>
        </w:rPr>
        <w:t xml:space="preserve">2. The Velsanet Education Architecture</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2.1 PAI — The Personal Learning Cognitive Layer</w:t>
      </w:r>
    </w:p>
    <w:p>
      <w:pPr>
        <w:spacing w:after="100" w:before="100" w:line="320"/>
        <w:jc w:val="both"/>
      </w:pPr>
      <w:r>
        <w:rPr>
          <w:rFonts w:ascii="Arial" w:cs="Arial" w:eastAsia="Arial" w:hAnsi="Arial"/>
          <w:b w:val="false"/>
          <w:bCs w:val="false"/>
          <w:i w:val="false"/>
          <w:iCs w:val="false"/>
          <w:color w:val="0D1B2A"/>
          <w:sz w:val="22"/>
          <w:szCs w:val="22"/>
        </w:rPr>
        <w:t xml:space="preserve">In the Velsanet education economy, PAI is the individual's learning intelligence — the cognitive layer that knows how they learn better than any teacher or institution has ever been able to know.</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PAI Learning Function</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It Captures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Learning modality detection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CH1/CH2 channels track visual vs. audio vs. text comprehension rates — content delivered in optimal format for this specific individual</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Attention and focus patterns</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T-axis records concentration duration, distraction triggers, peak performance windows — learning scheduled to align with individual cognitive rhythm</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Comprehension depth tracking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SEU encapsulates every learning event — gaps identified structurally before they compound into foundational deficits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Motivation and intent sensing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I-axis captures learning motivation — content framed to align with individual motivation state</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2.2 AAI — The Education Validation and Matching Layer</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Education AAI does not replace teachers. It ensures that every teacher reaches every student at exactly the point where that student needs them — structurally matched, contextually prepared, and outcome-accountable.</w:t>
      </w:r>
    </w:p>
    <w:p>
      <w:pPr>
        <w:pStyle w:val="Heading1"/>
        <w:pBdr>
          <w:bottom w:val="single" w:color="2E6FD8" w:sz="4"/>
        </w:pBdr>
        <w:spacing w:after="120" w:before="360"/>
      </w:pPr>
      <w:r>
        <w:rPr>
          <w:rFonts w:ascii="Arial" w:cs="Arial" w:eastAsia="Arial" w:hAnsi="Arial"/>
          <w:b/>
          <w:bCs/>
          <w:color w:val="0B1E3D"/>
          <w:sz w:val="28"/>
          <w:szCs w:val="28"/>
        </w:rPr>
        <w:t xml:space="preserve">3. The Scenario — Learning Without Searching</w:t>
      </w:r>
    </w:p>
    <w:p>
      <w:pPr>
        <w:spacing w:after="100" w:before="100" w:line="320"/>
        <w:jc w:val="both"/>
      </w:pPr>
      <w:r>
        <w:rPr>
          <w:rFonts w:ascii="Arial" w:cs="Arial" w:eastAsia="Arial" w:hAnsi="Arial"/>
          <w:b w:val="false"/>
          <w:bCs w:val="false"/>
          <w:i w:val="false"/>
          <w:iCs w:val="false"/>
          <w:color w:val="0D1B2A"/>
          <w:sz w:val="22"/>
          <w:szCs w:val="22"/>
        </w:rPr>
        <w:t xml:space="preserve">A student wants to learn machine learning for medical imaging. Today: they search, compare courses, pay upfront, and discover fit only after significant time investment.</w:t>
      </w:r>
    </w:p>
    <w:p>
      <w:pPr>
        <w:spacing w:after="100" w:before="100" w:line="320"/>
        <w:jc w:val="both"/>
      </w:pPr>
      <w:r>
        <w:rPr>
          <w:rFonts w:ascii="Arial" w:cs="Arial" w:eastAsia="Arial" w:hAnsi="Arial"/>
          <w:b w:val="false"/>
          <w:bCs w:val="false"/>
          <w:i w:val="false"/>
          <w:iCs w:val="false"/>
          <w:color w:val="0D1B2A"/>
          <w:sz w:val="22"/>
          <w:szCs w:val="22"/>
        </w:rPr>
        <w:t xml:space="preserve">In the Velsanet education economy: PAI generates structured learning intent → Education AAI searches global provider registry for optimal matches with verified outcome records → Student selects and payment is structured around milestone achievement, not upfront enrollment → Learning begins with provider already knowing the student's complete cognitive profile → On competence achievement, AAI issues structural certificate verifiable by any employer globally.</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 student never searches. The student never guesses. The student never pays for content that does not fit. The structure finds the teacher. The teacher finds the student. Learning happens.</w:t>
      </w:r>
    </w:p>
    <w:p>
      <w:pPr>
        <w:pStyle w:val="Heading1"/>
        <w:pBdr>
          <w:bottom w:val="single" w:color="2E6FD8" w:sz="4"/>
        </w:pBdr>
        <w:spacing w:after="120" w:before="360"/>
      </w:pPr>
      <w:r>
        <w:rPr>
          <w:rFonts w:ascii="Arial" w:cs="Arial" w:eastAsia="Arial" w:hAnsi="Arial"/>
          <w:b/>
          <w:bCs/>
          <w:color w:val="0B1E3D"/>
          <w:sz w:val="28"/>
          <w:szCs w:val="28"/>
        </w:rPr>
        <w:t xml:space="preserve">4. The Competence Economy</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4.1 The End of the Credential Proxy</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Credential Type</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Velsanet Form vs. Current Form</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University degree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Structural competence map — verifiable, domain-specific, outcome-based (vs. proxy for 3–4 years institutional attendance)</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Professional certification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Continuous PAI competence tracking — certification reflects current state (vs. exam passed on a given day)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Work experience</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Structural record of AAI-validated work execution — verifiable by any party (vs. self-reported)</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Skills assessment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Continuous PAI knowledge state — always current, always structural (vs. periodic test or portfolio review)</w:t>
            </w:r>
          </w:p>
        </w:tc>
      </w:tr>
    </w:tbl>
    <w:p>
      <w:pPr>
        <w:pStyle w:val="Heading1"/>
        <w:pBdr>
          <w:bottom w:val="single" w:color="2E6FD8" w:sz="4"/>
        </w:pBdr>
        <w:spacing w:after="120" w:before="360"/>
      </w:pPr>
      <w:r>
        <w:rPr>
          <w:rFonts w:ascii="Arial" w:cs="Arial" w:eastAsia="Arial" w:hAnsi="Arial"/>
          <w:b/>
          <w:bCs/>
          <w:color w:val="0B1E3D"/>
          <w:sz w:val="28"/>
          <w:szCs w:val="28"/>
        </w:rPr>
        <w:t xml:space="preserve">5. Conclusion</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In the Velsanet education economy, there is no such thing as a student who cannot learn. There is only a student who has not yet been matched with the teacher and the format that works for them.</w:t>
      </w:r>
    </w:p>
    <w:p>
      <w:pPr>
        <w:spacing w:after="0" w:before="200"/>
      </w:pPr>
    </w:p>
    <w:p>
      <w:r>
        <w:br w:type="page"/>
      </w:r>
    </w:p>
    <w:p>
      <w:pPr>
        <w:shd w:fill="0B1E3D" w:val="clear"/>
        <w:spacing w:after="0" w:before="0"/>
      </w:pPr>
    </w:p>
    <w:p>
      <w:pPr>
        <w:pBdr>
          <w:left w:val="single" w:color="C9A84C" w:sz="60"/>
        </w:pBdr>
        <w:shd w:fill="0B1E3D" w:val="clear"/>
        <w:spacing w:after="0" w:before="0"/>
        <w:ind w:left="200"/>
      </w:pPr>
      <w:r>
        <w:rPr>
          <w:rFonts w:ascii="Arial" w:cs="Arial" w:eastAsia="Arial" w:hAnsi="Arial"/>
          <w:color w:val="8FA8C8"/>
          <w:sz w:val="18"/>
          <w:szCs w:val="18"/>
        </w:rPr>
        <w:t xml:space="preserve">VELSANET  ·  White Paper  </w:t>
      </w:r>
      <w:r>
        <w:rPr>
          <w:rFonts w:ascii="Arial" w:cs="Arial" w:eastAsia="Arial" w:hAnsi="Arial"/>
          <w:b/>
          <w:bCs/>
          <w:color w:val="00B4D8"/>
          <w:sz w:val="18"/>
          <w:szCs w:val="18"/>
        </w:rPr>
        <w:t xml:space="preserve">#WP-ECO-07</w:t>
      </w:r>
    </w:p>
    <w:p>
      <w:pPr>
        <w:pBdr>
          <w:left w:val="single" w:color="C9A84C" w:sz="60"/>
        </w:pBdr>
        <w:shd w:fill="0B1E3D" w:val="clear"/>
        <w:spacing w:after="0" w:before="60"/>
        <w:ind w:left="200"/>
      </w:pPr>
      <w:r>
        <w:rPr>
          <w:rFonts w:ascii="Arial" w:cs="Arial" w:eastAsia="Arial" w:hAnsi="Arial"/>
          <w:b/>
          <w:bCs/>
          <w:color w:val="C9A84C"/>
          <w:sz w:val="52"/>
          <w:szCs w:val="52"/>
        </w:rPr>
        <w:t xml:space="preserve">ECO-07</w:t>
      </w:r>
    </w:p>
    <w:p>
      <w:pPr>
        <w:pBdr>
          <w:bottom w:val="single" w:color="2E6FD8" w:sz="4"/>
          <w:left w:val="single" w:color="C9A84C" w:sz="60"/>
        </w:pBdr>
        <w:shd w:fill="0B1E3D" w:val="clear"/>
        <w:spacing w:after="20" w:before="40"/>
        <w:ind w:left="200"/>
      </w:pPr>
      <w:r>
        <w:rPr>
          <w:rFonts w:ascii="Arial" w:cs="Arial" w:eastAsia="Arial" w:hAnsi="Arial"/>
          <w:b/>
          <w:bCs/>
          <w:color w:val="FFFFFF"/>
          <w:sz w:val="36"/>
          <w:szCs w:val="36"/>
        </w:rPr>
        <w:t xml:space="preserve">The Finance Economy</w:t>
      </w:r>
    </w:p>
    <w:p>
      <w:pPr>
        <w:shd w:fill="112950" w:val="clear"/>
        <w:spacing w:after="80" w:before="120"/>
        <w:ind w:left="360"/>
      </w:pPr>
      <w:r>
        <w:rPr>
          <w:rFonts w:ascii="Arial" w:cs="Arial" w:eastAsia="Arial" w:hAnsi="Arial"/>
          <w:i/>
          <w:iCs/>
          <w:color w:val="00B4D8"/>
          <w:sz w:val="22"/>
          <w:szCs w:val="22"/>
        </w:rPr>
        <w:t xml:space="preserve">From Managed Distrust to Structural Trust</w:t>
      </w:r>
    </w:p>
    <w:p>
      <w:pPr>
        <w:shd w:fill="112950" w:val="clear"/>
        <w:spacing w:after="240" w:before="60"/>
        <w:ind w:left="360"/>
      </w:pPr>
      <w:r>
        <w:rPr>
          <w:rFonts w:ascii="Arial" w:cs="Arial" w:eastAsia="Arial" w:hAnsi="Arial"/>
          <w:color w:val="8FA8C8"/>
          <w:sz w:val="18"/>
          <w:szCs w:val="18"/>
        </w:rPr>
        <w:t xml:space="preserve">Changho Song  ·  Independent Researcher  ·  Velsanet Architecture  ·  April 2026</w:t>
      </w:r>
    </w:p>
    <w:p>
      <w:pPr>
        <w:pStyle w:val="Heading1"/>
        <w:pBdr>
          <w:bottom w:val="single" w:color="2E6FD8" w:sz="4"/>
        </w:pBdr>
        <w:spacing w:after="120" w:before="360"/>
      </w:pPr>
      <w:r>
        <w:rPr>
          <w:rFonts w:ascii="Arial" w:cs="Arial" w:eastAsia="Arial" w:hAnsi="Arial"/>
          <w:b/>
          <w:bCs/>
          <w:color w:val="0B1E3D"/>
          <w:sz w:val="28"/>
          <w:szCs w:val="28"/>
        </w:rPr>
        <w:t xml:space="preserve">1. The Financial System's Structural Tensions</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1.1 A System Built on Managed Distrust</w:t>
      </w:r>
    </w:p>
    <w:p>
      <w:pPr>
        <w:spacing w:after="100" w:before="100" w:line="320"/>
        <w:jc w:val="both"/>
      </w:pPr>
      <w:r>
        <w:rPr>
          <w:rFonts w:ascii="Arial" w:cs="Arial" w:eastAsia="Arial" w:hAnsi="Arial"/>
          <w:b w:val="false"/>
          <w:bCs w:val="false"/>
          <w:i w:val="false"/>
          <w:iCs w:val="false"/>
          <w:color w:val="0D1B2A"/>
          <w:sz w:val="22"/>
          <w:szCs w:val="22"/>
        </w:rPr>
        <w:t xml:space="preserve">The modern financial system is an elaborate architecture for managing distrust. Banks exist because counterparties cannot trust each other directly. Settlement systems exist because banks cannot trust each other's records. Regulators exist because markets cannot trust participants to self-govern. Each layer of intermediation adds cost, latency, and opacity.</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Structural Tension</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Current Reality</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Economic Cost</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Settlement latency</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International payments settle in 2–5 days through correspondent banking chains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Working capital tied up in transit; trade finance costs elevated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Verification overhead</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KYC/AML compliance costs $50–500 per customer onboarding</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Financial exclusion of low-value customers; access inequality structural</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Intermediation markup</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Payment processing, FX conversion, and correspondent fees consume 3–8% of transaction value</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Remittance costs devastate developing economy transfers</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Credit opacity</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Creditworthiness assessed through historical proxy data — past behavior, not current capacity</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Credit misallocation; deserving borrowers excluded; risk models systematically biased</w:t>
            </w:r>
          </w:p>
        </w:tc>
      </w:tr>
    </w:tbl>
    <w:p>
      <w:pPr>
        <w:pStyle w:val="Heading1"/>
        <w:pBdr>
          <w:bottom w:val="single" w:color="2E6FD8" w:sz="4"/>
        </w:pBdr>
        <w:spacing w:after="120" w:before="360"/>
      </w:pPr>
      <w:r>
        <w:rPr>
          <w:rFonts w:ascii="Arial" w:cs="Arial" w:eastAsia="Arial" w:hAnsi="Arial"/>
          <w:b/>
          <w:bCs/>
          <w:color w:val="0B1E3D"/>
          <w:sz w:val="28"/>
          <w:szCs w:val="28"/>
        </w:rPr>
        <w:t xml:space="preserve">2. The Velsanet Finance Architecture</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2.1 PAI — The Personal Financial Cognitive Layer</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PAI Finance Function</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What It Does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Account integration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All bank accounts, cards, investment accounts, and digital assets automatically integrated — complete financial picture always current</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Cash flow modeling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T-axis maintains immutable transaction record; C-axis models spending patterns and income trajectory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Credit capacity assessment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Continuous cash flow data provides structural creditworthiness — not historical proxy</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Financial intent generation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PAI generates structured financial intent — Financial AAI receives precise, contextualized intent, not a transaction request</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2.2 AAI — The Financial Transaction Guardian</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AAI Finance Role</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Function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Identity verification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Structural identity conformance — replaces KYC compliance officers and verification services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AML screening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Transaction pattern validation against structural AML parameters at Q4 layer</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Credit authorization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Real-time PAI cash flow assessment — replaces credit bureaus and underwriting departments</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Tax validation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Transaction categorization and tax treatment applied structurally at point of transaction</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Fraud detection</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Intent-authenticated transactions — Ghost Data cannot produce financial effects</w:t>
            </w:r>
          </w:p>
        </w:tc>
      </w:tr>
    </w:tbl>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Financial AAI does not add a compliance layer. It makes compliance a structural property of every transaction — present before execution, not checked after the fact.</w:t>
      </w:r>
    </w:p>
    <w:p>
      <w:pPr>
        <w:pStyle w:val="Heading1"/>
        <w:pBdr>
          <w:bottom w:val="single" w:color="2E6FD8" w:sz="4"/>
        </w:pBdr>
        <w:spacing w:after="120" w:before="360"/>
      </w:pPr>
      <w:r>
        <w:rPr>
          <w:rFonts w:ascii="Arial" w:cs="Arial" w:eastAsia="Arial" w:hAnsi="Arial"/>
          <w:b/>
          <w:bCs/>
          <w:color w:val="0B1E3D"/>
          <w:sz w:val="28"/>
          <w:szCs w:val="28"/>
        </w:rPr>
        <w:t xml:space="preserve">3. The Payments Revolution</w:t>
      </w:r>
    </w:p>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3.1 From Settlement to Structural Execution</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Payment Type</w:t>
            </w:r>
          </w:p>
        </w:tc>
        <w:tc>
          <w:tcPr>
            <w:tcW w:type="dxa" w:w="320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Current Cost/Speed</w:t>
            </w:r>
          </w:p>
        </w:tc>
        <w:tc>
          <w:tcPr>
            <w:tcW w:type="dxa" w:w="3560"/>
            <w:tcBorders>
              <w:top w:val="single" w:color="D0DCF0" w:sz="1"/>
              <w:left w:val="single" w:color="D0DCF0" w:sz="1"/>
              <w:bottom w:val="single" w:color="D0DCF0" w:sz="1"/>
              <w:right w:val="single" w:color="D0DCF0" w:sz="1"/>
            </w:tcBorders>
            <w:shd w:fill="0B1E3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Velsanet Cost/Speed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Domestic retail payment</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0.5–2% fee, same-day to next-day settlement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Basis point fee, network-speed execution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Cross-border transfer</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3–8% fee, 2–5 day settlement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Structural Q4 authorization fee, sub-second execution</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Remittance (developing economies)</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5–10% fee, 1–3 day delivery</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Structural fee, immediate execution — financial inclusion enabled</w:t>
            </w:r>
          </w:p>
        </w:tc>
      </w:tr>
      <w:tr>
        <w:tc>
          <w:tcPr>
            <w:tcW w:type="dxa" w:w="2600"/>
            <w:tcBorders>
              <w:top w:val="single" w:color="D0DCF0" w:sz="1"/>
              <w:left w:val="single" w:color="D0DCF0" w:sz="1"/>
              <w:bottom w:val="single" w:color="D0DCF0" w:sz="1"/>
              <w:right w:val="single" w:color="D0DCF0" w:sz="1"/>
            </w:tcBorders>
            <w:shd w:fill="EDF2FA" w:val="clear"/>
            <w:tcMar>
              <w:top w:type="dxa" w:w="80"/>
              <w:left w:type="dxa" w:w="140"/>
              <w:bottom w:type="dxa" w:w="80"/>
              <w:right w:type="dxa" w:w="140"/>
            </w:tcMar>
          </w:tcPr>
          <w:p>
            <w:pPr>
              <w:spacing w:after="0" w:before="0"/>
              <w:jc w:val="both"/>
            </w:pPr>
            <w:r>
              <w:rPr>
                <w:rFonts w:ascii="Arial" w:cs="Arial" w:eastAsia="Arial" w:hAnsi="Arial"/>
                <w:b/>
                <w:bCs/>
                <w:color w:val="0D1B2A"/>
                <w:sz w:val="20"/>
                <w:szCs w:val="20"/>
              </w:rPr>
              <w:t xml:space="preserve">Micropayment</w:t>
            </w:r>
          </w:p>
        </w:tc>
        <w:tc>
          <w:tcPr>
            <w:tcW w:type="dxa" w:w="320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Economically unviable below ~$1 due to fixed processing costs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40"/>
              <w:bottom w:type="dxa" w:w="80"/>
              <w:right w:type="dxa" w:w="140"/>
            </w:tcMar>
          </w:tcPr>
          <w:p>
            <w:pPr>
              <w:spacing w:after="0" w:before="0"/>
              <w:jc w:val="both"/>
            </w:pPr>
            <w:r>
              <w:rPr>
                <w:rFonts w:ascii="Arial" w:cs="Arial" w:eastAsia="Arial" w:hAnsi="Arial"/>
                <w:b w:val="false"/>
                <w:bCs w:val="false"/>
                <w:color w:val="0D1B2A"/>
                <w:sz w:val="20"/>
                <w:szCs w:val="20"/>
              </w:rPr>
              <w:t xml:space="preserve">Structurally viable at any value — fixed overhead eliminated</w:t>
            </w:r>
          </w:p>
        </w:tc>
      </w:tr>
    </w:tbl>
    <w:p>
      <w:pPr>
        <w:pStyle w:val="Heading2"/>
        <w:spacing w:after="100" w:before="280"/>
      </w:pPr>
      <w:r>
        <w:rPr>
          <w:rFonts w:ascii="Arial" w:cs="Arial" w:eastAsia="Arial" w:hAnsi="Arial"/>
          <w:color w:val="2E6FD8"/>
          <w:sz w:val="22"/>
          <w:szCs w:val="22"/>
        </w:rPr>
        <w:t xml:space="preserve">■  </w:t>
      </w:r>
      <w:r>
        <w:rPr>
          <w:rFonts w:ascii="Arial" w:cs="Arial" w:eastAsia="Arial" w:hAnsi="Arial"/>
          <w:b/>
          <w:bCs/>
          <w:color w:val="112950"/>
          <w:sz w:val="24"/>
          <w:szCs w:val="24"/>
        </w:rPr>
        <w:t xml:space="preserve">3.2 Financial Inclusion as Structural Consequence</w:t>
      </w:r>
    </w:p>
    <w:p>
      <w:pPr>
        <w:spacing w:after="100" w:before="100" w:line="320"/>
        <w:jc w:val="both"/>
      </w:pPr>
      <w:r>
        <w:rPr>
          <w:rFonts w:ascii="Arial" w:cs="Arial" w:eastAsia="Arial" w:hAnsi="Arial"/>
          <w:b w:val="false"/>
          <w:bCs w:val="false"/>
          <w:i w:val="false"/>
          <w:iCs w:val="false"/>
          <w:color w:val="0D1B2A"/>
          <w:sz w:val="22"/>
          <w:szCs w:val="22"/>
        </w:rPr>
        <w:t xml:space="preserve">Financial exclusion is an economic problem. In the current system, onboarding a new customer costs $50–500 in KYC/AML compliance. A customer whose lifetime expected revenue is below this threshold is not economically viable to serve. In the Velsanet economy, identity verification is structural — the cost approaches zero.</w:t>
      </w:r>
    </w:p>
    <w:p>
      <w:pPr>
        <w:pStyle w:val="ListParagraph"/>
        <w:numPr>
          <w:ilvl w:val="0"/>
          <w:numId w:val="2"/>
        </w:numPr>
        <w:spacing w:after="60" w:before="60" w:line="300"/>
      </w:pPr>
      <w:r>
        <w:rPr>
          <w:rFonts w:ascii="Arial" w:cs="Arial" w:eastAsia="Arial" w:hAnsi="Arial"/>
          <w:color w:val="0D1B2A"/>
          <w:sz w:val="22"/>
          <w:szCs w:val="22"/>
        </w:rPr>
        <w:t xml:space="preserve">1.4 billion unbanked adults globally — structural access enabled at near-zero marginal cost</w:t>
      </w:r>
    </w:p>
    <w:p>
      <w:pPr>
        <w:pStyle w:val="ListParagraph"/>
        <w:numPr>
          <w:ilvl w:val="0"/>
          <w:numId w:val="2"/>
        </w:numPr>
        <w:spacing w:after="60" w:before="60" w:line="300"/>
      </w:pPr>
      <w:r>
        <w:rPr>
          <w:rFonts w:ascii="Arial" w:cs="Arial" w:eastAsia="Arial" w:hAnsi="Arial"/>
          <w:color w:val="0D1B2A"/>
          <w:sz w:val="22"/>
          <w:szCs w:val="22"/>
        </w:rPr>
        <w:t xml:space="preserve">Remittance corridors: $800 billion annually transferred — 5–10% fee elimination represents $40–80 billion returned to developing economies</w:t>
      </w:r>
    </w:p>
    <w:p>
      <w:pPr>
        <w:pStyle w:val="ListParagraph"/>
        <w:numPr>
          <w:ilvl w:val="0"/>
          <w:numId w:val="2"/>
        </w:numPr>
        <w:spacing w:after="60" w:before="60" w:line="300"/>
      </w:pPr>
      <w:r>
        <w:rPr>
          <w:rFonts w:ascii="Arial" w:cs="Arial" w:eastAsia="Arial" w:hAnsi="Arial"/>
          <w:color w:val="0D1B2A"/>
          <w:sz w:val="22"/>
          <w:szCs w:val="22"/>
        </w:rPr>
        <w:t xml:space="preserve">SME credit access: Structural cash flow data eliminates the information asymmetry that currently prices small business credit at 3–5× large corporate rates</w:t>
      </w:r>
    </w:p>
    <w:p>
      <w:pPr>
        <w:pStyle w:val="Heading1"/>
        <w:pBdr>
          <w:bottom w:val="single" w:color="2E6FD8" w:sz="4"/>
        </w:pBdr>
        <w:spacing w:after="120" w:before="360"/>
      </w:pPr>
      <w:r>
        <w:rPr>
          <w:rFonts w:ascii="Arial" w:cs="Arial" w:eastAsia="Arial" w:hAnsi="Arial"/>
          <w:b/>
          <w:bCs/>
          <w:color w:val="0B1E3D"/>
          <w:sz w:val="28"/>
          <w:szCs w:val="28"/>
        </w:rPr>
        <w:t xml:space="preserve">4. The Capital Markets Transformation</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Capital Market Function</w:t>
            </w:r>
          </w:p>
        </w:tc>
        <w:tc>
          <w:tcPr>
            <w:tcW w:type="dxa" w:w="4960"/>
            <w:tcBorders>
              <w:top w:val="single" w:color="D0DCF0" w:sz="1"/>
              <w:left w:val="single" w:color="D0DCF0" w:sz="1"/>
              <w:bottom w:val="single" w:color="D0DCF0" w:sz="1"/>
              <w:right w:val="single" w:color="D0DCF0" w:sz="1"/>
            </w:tcBorders>
            <w:shd w:fill="0B1E3D"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Velsanet Form vs. Current Form</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Financial reporting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Continuous structural accounting — always current, always verified (vs. quarterly statements, annual audit)</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Credit rating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Structural real-time rating based on continuous PAI financial data (vs. periodic assessment)</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Trade settlement</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Structural execution — settlement at transaction time (vs. T+2 equity settlement)</w:t>
            </w:r>
          </w:p>
        </w:tc>
      </w:tr>
      <w:tr>
        <w:tc>
          <w:tcPr>
            <w:tcW w:type="dxa" w:w="4400"/>
            <w:tcBorders>
              <w:top w:val="single" w:color="D0DCF0" w:sz="1"/>
              <w:left w:val="single" w:color="D0DCF0" w:sz="1"/>
              <w:bottom w:val="single" w:color="D0DCF0" w:sz="1"/>
              <w:right w:val="single" w:color="D0DCF0" w:sz="1"/>
            </w:tcBorders>
            <w:shd w:fill="EDF2FA" w:val="clear"/>
            <w:tcMar>
              <w:top w:type="dxa" w:w="80"/>
              <w:left w:type="dxa" w:w="150"/>
              <w:bottom w:type="dxa" w:w="80"/>
              <w:right w:type="dxa" w:w="150"/>
            </w:tcMar>
          </w:tcPr>
          <w:p>
            <w:pPr>
              <w:spacing w:after="0" w:before="0"/>
              <w:jc w:val="both"/>
            </w:pPr>
            <w:r>
              <w:rPr>
                <w:rFonts w:ascii="Arial" w:cs="Arial" w:eastAsia="Arial" w:hAnsi="Arial"/>
                <w:b/>
                <w:bCs/>
                <w:color w:val="0D1B2A"/>
                <w:sz w:val="20"/>
                <w:szCs w:val="20"/>
              </w:rPr>
              <w:t xml:space="preserve">Derivatives clearing</w:t>
            </w:r>
          </w:p>
        </w:tc>
        <w:tc>
          <w:tcPr>
            <w:tcW w:type="dxa" w:w="496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spacing w:after="0" w:before="0"/>
              <w:jc w:val="both"/>
            </w:pPr>
            <w:r>
              <w:rPr>
                <w:rFonts w:ascii="Arial" w:cs="Arial" w:eastAsia="Arial" w:hAnsi="Arial"/>
                <w:b w:val="false"/>
                <w:bCs w:val="false"/>
                <w:color w:val="0D1B2A"/>
                <w:sz w:val="20"/>
                <w:szCs w:val="20"/>
              </w:rPr>
              <w:t xml:space="preserve">Structural counterparty validation — margin determined by real-time AAI risk assessment</w:t>
            </w:r>
          </w:p>
        </w:tc>
      </w:tr>
    </w:tbl>
    <w:p>
      <w:pPr>
        <w:pStyle w:val="Heading1"/>
        <w:pBdr>
          <w:bottom w:val="single" w:color="2E6FD8" w:sz="4"/>
        </w:pBdr>
        <w:spacing w:after="120" w:before="360"/>
      </w:pPr>
      <w:r>
        <w:rPr>
          <w:rFonts w:ascii="Arial" w:cs="Arial" w:eastAsia="Arial" w:hAnsi="Arial"/>
          <w:b/>
          <w:bCs/>
          <w:color w:val="0B1E3D"/>
          <w:sz w:val="28"/>
          <w:szCs w:val="28"/>
        </w:rPr>
        <w:t xml:space="preserve">5. Conclusion</w:t>
      </w:r>
    </w:p>
    <w:p>
      <w:pPr>
        <w:spacing w:after="100" w:before="100" w:line="320"/>
        <w:jc w:val="both"/>
      </w:pPr>
      <w:r>
        <w:rPr>
          <w:rFonts w:ascii="Arial" w:cs="Arial" w:eastAsia="Arial" w:hAnsi="Arial"/>
          <w:b w:val="false"/>
          <w:bCs w:val="false"/>
          <w:i w:val="false"/>
          <w:iCs w:val="false"/>
          <w:color w:val="0D1B2A"/>
          <w:sz w:val="22"/>
          <w:szCs w:val="22"/>
        </w:rPr>
        <w:t xml:space="preserve">The financial system's fundamental purpose is to allocate capital efficiently and enable exchange at scale. Velsanet eliminates the need for managed distrust by making trust a structural property of every transaction. The result is a financial economy in which the infrastructure cost of trust has been reduced to near zero.</w:t>
      </w: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In the Velsanet financial economy, the question is not whether you can be trusted. The question is whether your intent conforms to structure. If it does, execution is immediate. If it does not, execution is impossible.</w:t>
      </w:r>
    </w:p>
    <w:p>
      <w:pPr>
        <w:spacing w:after="0" w:before="200"/>
      </w:pPr>
    </w:p>
    <w:p>
      <w:r>
        <w:br w:type="page"/>
      </w:r>
    </w:p>
    <w:p>
      <w:pPr>
        <w:spacing w:after="80" w:before="360"/>
        <w:jc w:val="center"/>
      </w:pPr>
      <w:r>
        <w:rPr>
          <w:rFonts w:ascii="Arial" w:cs="Arial" w:eastAsia="Arial" w:hAnsi="Arial"/>
          <w:b/>
          <w:bCs/>
          <w:color w:val="0B1E3D"/>
          <w:sz w:val="36"/>
          <w:szCs w:val="36"/>
        </w:rPr>
        <w:t xml:space="preserve">Closing</w:t>
      </w:r>
    </w:p>
    <w:p>
      <w:pPr>
        <w:pBdr>
          <w:bottom w:val="single" w:color="2E6FD8" w:sz="8"/>
        </w:pBdr>
        <w:spacing w:after="0" w:before="0"/>
      </w:pPr>
    </w:p>
    <w:p>
      <w:pPr>
        <w:spacing w:after="0" w:before="200"/>
      </w:pPr>
    </w:p>
    <w:p>
      <w:pPr>
        <w:spacing w:after="100" w:before="100" w:line="320"/>
        <w:jc w:val="both"/>
      </w:pPr>
      <w:r>
        <w:rPr>
          <w:rFonts w:ascii="Arial" w:cs="Arial" w:eastAsia="Arial" w:hAnsi="Arial"/>
          <w:b w:val="false"/>
          <w:bCs w:val="false"/>
          <w:i w:val="false"/>
          <w:iCs w:val="false"/>
          <w:color w:val="0D1B2A"/>
          <w:sz w:val="22"/>
          <w:szCs w:val="22"/>
        </w:rPr>
        <w:t xml:space="preserve">The seven economies described in this collection are not predictions. They are structural consequences of deploying an architecture that makes trust a property of the network rather than a service provided by intermediaries.</w:t>
      </w:r>
    </w:p>
    <w:p>
      <w:pPr>
        <w:spacing w:after="0" w:before="120"/>
      </w:pPr>
    </w:p>
    <w:p>
      <w:pPr>
        <w:spacing w:after="100" w:before="100" w:line="320"/>
        <w:jc w:val="both"/>
      </w:pPr>
      <w:r>
        <w:rPr>
          <w:rFonts w:ascii="Arial" w:cs="Arial" w:eastAsia="Arial" w:hAnsi="Arial"/>
          <w:b w:val="false"/>
          <w:bCs w:val="false"/>
          <w:i w:val="false"/>
          <w:iCs w:val="false"/>
          <w:color w:val="0D1B2A"/>
          <w:sz w:val="22"/>
          <w:szCs w:val="22"/>
        </w:rPr>
        <w:t xml:space="preserve">The designers of the internet did not predict Google, Amazon, or Uber. They built TCP/IP — and competition did the rest. Velsanet builds a deeper structure. What the market builds on top of it will define the next era of human civilization.</w:t>
      </w:r>
    </w:p>
    <w:p>
      <w:pPr>
        <w:spacing w:after="0" w:before="120"/>
      </w:pPr>
    </w:p>
    <w:p>
      <w:pPr>
        <w:pBdr>
          <w:left w:val="single" w:color="2E6FD8" w:sz="24"/>
        </w:pBdr>
        <w:shd w:fill="F5F8FF" w:val="clear"/>
        <w:spacing w:after="160" w:before="160" w:line="320"/>
        <w:ind w:left="560" w:right="400"/>
      </w:pPr>
      <w:r>
        <w:rPr>
          <w:rFonts w:ascii="Arial" w:cs="Arial" w:eastAsia="Arial" w:hAnsi="Arial"/>
          <w:i/>
          <w:iCs/>
          <w:color w:val="1A3A6B"/>
          <w:sz w:val="21"/>
          <w:szCs w:val="21"/>
        </w:rPr>
        <w:t xml:space="preserve">The Velsanet Sovereign AI Economy is not a vision of the future. It is a description of what is structurally inevitable once the architecture is in place.</w:t>
      </w:r>
    </w:p>
    <w:p>
      <w:pPr>
        <w:spacing w:after="0" w:before="360"/>
      </w:pPr>
    </w:p>
    <w:p>
      <w:pPr>
        <w:pBdr>
          <w:bottom w:val="single" w:color="D0DCF0" w:sz="4"/>
        </w:pBdr>
        <w:spacing w:after="0" w:before="0"/>
      </w:pPr>
    </w:p>
    <w:p>
      <w:pPr>
        <w:spacing w:after="0" w:before="160"/>
      </w:pPr>
    </w:p>
    <w:p>
      <w:pPr>
        <w:spacing w:after="40" w:before="0"/>
        <w:jc w:val="center"/>
      </w:pPr>
      <w:r>
        <w:rPr>
          <w:rFonts w:ascii="Arial" w:cs="Arial" w:eastAsia="Arial" w:hAnsi="Arial"/>
          <w:b/>
          <w:bCs/>
          <w:color w:val="0B1E3D"/>
          <w:sz w:val="24"/>
          <w:szCs w:val="24"/>
        </w:rPr>
        <w:t xml:space="preserve">Changho Song</w:t>
      </w:r>
    </w:p>
    <w:p>
      <w:pPr>
        <w:spacing w:after="40" w:before="0"/>
        <w:jc w:val="center"/>
      </w:pPr>
      <w:r>
        <w:rPr>
          <w:rFonts w:ascii="Arial" w:cs="Arial" w:eastAsia="Arial" w:hAnsi="Arial"/>
          <w:color w:val="2E6FD8"/>
          <w:sz w:val="20"/>
          <w:szCs w:val="20"/>
        </w:rPr>
        <w:t xml:space="preserve">joa337@gmail.com</w:t>
      </w:r>
    </w:p>
    <w:p>
      <w:pPr>
        <w:spacing w:after="40" w:before="0"/>
        <w:jc w:val="center"/>
      </w:pPr>
      <w:r>
        <w:rPr>
          <w:rFonts w:ascii="Arial" w:cs="Arial" w:eastAsia="Arial" w:hAnsi="Arial"/>
          <w:color w:val="2E6FD8"/>
          <w:sz w:val="20"/>
          <w:szCs w:val="20"/>
        </w:rPr>
        <w:t xml:space="preserve">github.com/joa337/velsanet-whitepapers</w:t>
      </w:r>
    </w:p>
    <w:p>
      <w:pPr>
        <w:spacing w:after="0" w:before="40"/>
        <w:jc w:val="center"/>
      </w:pPr>
      <w:r>
        <w:rPr>
          <w:rFonts w:ascii="Arial" w:cs="Arial" w:eastAsia="Arial" w:hAnsi="Arial"/>
          <w:color w:val="4A6080"/>
          <w:sz w:val="20"/>
          <w:szCs w:val="20"/>
        </w:rPr>
        <w:t xml:space="preserve">April 2026  ·  Velsanet Marketing (MKT) White Paper Collection #MKT-01</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1E3D" w:sz="4"/>
      </w:pBdr>
      <w:tabs>
        <w:tab w:val="right" w:pos="9026"/>
      </w:tabs>
      <w:spacing w:after="0" w:before="0"/>
    </w:pPr>
    <w:r>
      <w:rPr>
        <w:rFonts w:ascii="Arial" w:cs="Arial" w:eastAsia="Arial" w:hAnsi="Arial"/>
        <w:color w:val="8FA8C8"/>
        <w:sz w:val="16"/>
        <w:szCs w:val="16"/>
      </w:rPr>
      <w:t xml:space="preserve">VELSANET  ·  Marketing (MKT) White Paper Collection MKT-01</w:t>
    </w:r>
    <w:r>
      <w:rPr>
        <w:rFonts w:ascii="Arial" w:cs="Arial" w:eastAsia="Arial" w:hAnsi="Arial"/>
        <w:sz w:val="16"/>
        <w:szCs w:val="16"/>
      </w:rPr>
      <w:t xml:space="preserve">	</w:t>
    </w:r>
    <w:r>
      <w:rPr>
        <w:rFonts w:ascii="Arial" w:cs="Arial" w:eastAsia="Arial" w:hAnsi="Arial"/>
        <w:color w:val="8FA8C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E3D"/>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1295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2026-04-11T12:22:36.509Z</dcterms:created>
  <dcterms:modified xsi:type="dcterms:W3CDTF">2026-04-11T12:22:36.510Z</dcterms:modified>
</cp:coreProperties>
</file>

<file path=docProps/custom.xml><?xml version="1.0" encoding="utf-8"?>
<Properties xmlns="http://schemas.openxmlformats.org/officeDocument/2006/custom-properties" xmlns:vt="http://schemas.openxmlformats.org/officeDocument/2006/docPropsVTypes"/>
</file>