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1200" w:after="0"/>
      </w:pPr>
      <w:r>
        <w:rPr>
          <w:rFonts w:ascii="Arial" w:hAnsi="Arial"/>
          <w:b/>
          <w:color w:val="1A3A5C"/>
          <w:sz w:val="84"/>
        </w:rPr>
        <w:t>VELSANET</w:t>
      </w:r>
    </w:p>
    <w:p>
      <w:pPr>
        <w:jc w:val="center"/>
      </w:pPr>
      <w:r>
        <w:rPr>
          <w:rFonts w:ascii="Arial" w:hAnsi="Arial"/>
          <w:color w:val="999999"/>
          <w:sz w:val="24"/>
        </w:rPr>
        <w:t>White Paper Collection  ·  MKT-01</w:t>
      </w:r>
    </w:p>
    <w:p>
      <w:pPr>
        <w:jc w:val="center"/>
        <w:pBdr>
          <w:bottom w:val="single" w:sz="48" w:space="4" w:color="2E6DA4"/>
        </w:pBdr>
        <w:spacing w:before="200" w:after="0"/>
      </w:pPr>
      <w:r>
        <w:rPr>
          <w:rFonts w:ascii="Arial" w:hAnsi="Arial"/>
          <w:b/>
          <w:color w:val="2E6DA4"/>
          <w:sz w:val="56"/>
        </w:rPr>
        <w:t>The Velsanet Sovereign AI Economy</w:t>
      </w:r>
    </w:p>
    <w:p>
      <w:pPr>
        <w:jc w:val="center"/>
        <w:spacing w:before="200" w:after="400"/>
      </w:pPr>
      <w:r>
        <w:rPr>
          <w:rFonts w:ascii="Arial" w:hAnsi="Arial"/>
          <w:color w:val="444444"/>
          <w:sz w:val="32"/>
        </w:rPr>
        <w:t>A Complete Economic Architecture for the Age of Structural AI</w:t>
      </w:r>
    </w:p>
    <w:p>
      <w:pPr>
        <w:jc w:val="center"/>
      </w:pPr>
      <w:r>
        <w:rPr>
          <w:rFonts w:ascii="Arial" w:hAnsi="Arial"/>
          <w:b/>
          <w:color w:val="333333"/>
          <w:sz w:val="32"/>
        </w:rPr>
        <w:t>Changho Song</w:t>
      </w:r>
    </w:p>
    <w:p>
      <w:pPr>
        <w:jc w:val="center"/>
      </w:pPr>
      <w:r>
        <w:rPr>
          <w:rFonts w:ascii="Arial" w:hAnsi="Arial"/>
          <w:color w:val="888888"/>
          <w:sz w:val="22"/>
        </w:rPr>
        <w:t>Independent Researcher  ·  Velsanet Architecture</w:t>
      </w:r>
    </w:p>
    <w:p>
      <w:pPr>
        <w:jc w:val="center"/>
      </w:pPr>
      <w:r>
        <w:rPr>
          <w:rFonts w:ascii="Arial" w:hAnsi="Arial"/>
          <w:color w:val="888888"/>
          <w:sz w:val="22"/>
        </w:rPr>
        <w:t>April 2026</w:t>
      </w:r>
    </w:p>
    <w:p>
      <w:r>
        <w:br w:type="page"/>
      </w:r>
    </w:p>
    <w:p>
      <w:pPr>
        <w:jc w:val="center"/>
        <w:spacing w:before="200" w:after="80"/>
      </w:pPr>
      <w:r>
        <w:rPr>
          <w:rFonts w:ascii="Arial" w:hAnsi="Arial"/>
          <w:b/>
          <w:color w:val="1A3A5C"/>
          <w:sz w:val="44"/>
        </w:rPr>
        <w:t>Contents</w:t>
      </w:r>
    </w:p>
    <w:p>
      <w:pPr>
        <w:pBdr>
          <w:bottom w:val="single" w:sz="24" w:space="4" w:color="2E6DA4"/>
        </w:pBdr>
        <w:spacing w:before="0" w:after="200"/>
      </w:pP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1020"/>
            <w:shd w:val="clear" w:color="auto" w:fill="1A3A5C"/>
          </w:tcPr>
          <w:p>
            <w:pPr>
              <w:jc w:val="left"/>
            </w:pPr>
            <w:r>
              <w:rPr>
                <w:rFonts w:ascii="Arial" w:hAnsi="Arial"/>
                <w:b/>
                <w:color w:val="FFFFFF"/>
                <w:sz w:val="22"/>
              </w:rPr>
              <w:t>#</w:t>
            </w:r>
          </w:p>
        </w:tc>
        <w:tc>
          <w:tcPr>
            <w:tcW w:type="dxa" w:w="2381"/>
            <w:shd w:val="clear" w:color="auto" w:fill="1A3A5C"/>
          </w:tcPr>
          <w:p>
            <w:pPr>
              <w:jc w:val="left"/>
            </w:pPr>
            <w:r>
              <w:rPr>
                <w:rFonts w:ascii="Arial" w:hAnsi="Arial"/>
                <w:b/>
                <w:color w:val="FFFFFF"/>
                <w:sz w:val="22"/>
              </w:rPr>
              <w:t>Document</w:t>
            </w:r>
          </w:p>
        </w:tc>
        <w:tc>
          <w:tcPr>
            <w:tcW w:type="dxa" w:w="2835"/>
            <w:shd w:val="clear" w:color="auto" w:fill="1A3A5C"/>
          </w:tcPr>
          <w:p>
            <w:pPr>
              <w:jc w:val="left"/>
            </w:pPr>
            <w:r>
              <w:rPr>
                <w:rFonts w:ascii="Arial" w:hAnsi="Arial"/>
                <w:b/>
                <w:color w:val="FFFFFF"/>
                <w:sz w:val="22"/>
              </w:rPr>
              <w:t>Focus</w:t>
            </w:r>
          </w:p>
        </w:tc>
        <w:tc>
          <w:tcPr>
            <w:tcW w:type="dxa" w:w="4535"/>
            <w:shd w:val="clear" w:color="auto" w:fill="1A3A5C"/>
          </w:tcPr>
          <w:p>
            <w:pPr>
              <w:jc w:val="left"/>
            </w:pPr>
            <w:r>
              <w:rPr>
                <w:rFonts w:ascii="Arial" w:hAnsi="Arial"/>
                <w:b/>
                <w:color w:val="FFFFFF"/>
                <w:sz w:val="22"/>
              </w:rPr>
              <w:t>Key Contributions</w:t>
            </w:r>
          </w:p>
        </w:tc>
      </w:tr>
      <w:tr>
        <w:tc>
          <w:tcPr>
            <w:tcW w:type="dxa" w:w="1020"/>
            <w:shd w:val="clear" w:color="auto" w:fill="EEF4FB"/>
          </w:tcPr>
          <w:p>
            <w:r>
              <w:rPr>
                <w:rFonts w:ascii="Arial" w:hAnsi="Arial"/>
                <w:b/>
                <w:color w:val="2E6DA4"/>
                <w:sz w:val="20"/>
              </w:rPr>
              <w:t>ECO-01</w:t>
            </w:r>
          </w:p>
        </w:tc>
        <w:tc>
          <w:tcPr>
            <w:tcW w:type="dxa" w:w="2381"/>
            <w:shd w:val="clear" w:color="auto" w:fill="EEF4FB"/>
          </w:tcPr>
          <w:p>
            <w:r>
              <w:rPr>
                <w:rFonts w:ascii="Arial" w:hAnsi="Arial"/>
                <w:sz w:val="20"/>
              </w:rPr>
              <w:t>The Market Economy</w:t>
            </w:r>
          </w:p>
        </w:tc>
        <w:tc>
          <w:tcPr>
            <w:tcW w:type="dxa" w:w="2835"/>
            <w:shd w:val="clear" w:color="auto" w:fill="EEF4FB"/>
          </w:tcPr>
          <w:p>
            <w:r>
              <w:rPr>
                <w:rFonts w:ascii="Arial" w:hAnsi="Arial"/>
                <w:sz w:val="20"/>
              </w:rPr>
              <w:t>Three-Layer Competitive Markets</w:t>
            </w:r>
          </w:p>
        </w:tc>
        <w:tc>
          <w:tcPr>
            <w:tcW w:type="dxa" w:w="4535"/>
            <w:shd w:val="clear" w:color="auto" w:fill="EEF4FB"/>
          </w:tcPr>
          <w:p>
            <w:r>
              <w:rPr>
                <w:rFonts w:ascii="Arial" w:hAnsi="Arial"/>
                <w:sz w:val="20"/>
              </w:rPr>
              <w:t>PAI · AAI · AsAI as independent markets; accountability chain; independent replaceability</w:t>
            </w:r>
          </w:p>
        </w:tc>
      </w:tr>
      <w:tr>
        <w:tc>
          <w:tcPr>
            <w:tcW w:type="dxa" w:w="1020"/>
            <w:shd w:val="clear" w:color="auto" w:fill="FFFFFF"/>
          </w:tcPr>
          <w:p>
            <w:r>
              <w:rPr>
                <w:rFonts w:ascii="Arial" w:hAnsi="Arial"/>
                <w:b/>
                <w:color w:val="2E6DA4"/>
                <w:sz w:val="20"/>
              </w:rPr>
              <w:t>ECO-02</w:t>
            </w:r>
          </w:p>
        </w:tc>
        <w:tc>
          <w:tcPr>
            <w:tcW w:type="dxa" w:w="2381"/>
            <w:shd w:val="clear" w:color="auto" w:fill="FFFFFF"/>
          </w:tcPr>
          <w:p>
            <w:r>
              <w:rPr>
                <w:rFonts w:ascii="Arial" w:hAnsi="Arial"/>
                <w:sz w:val="20"/>
              </w:rPr>
              <w:t>Trust by Architecture</w:t>
            </w:r>
          </w:p>
        </w:tc>
        <w:tc>
          <w:tcPr>
            <w:tcW w:type="dxa" w:w="2835"/>
            <w:shd w:val="clear" w:color="auto" w:fill="FFFFFF"/>
          </w:tcPr>
          <w:p>
            <w:r>
              <w:rPr>
                <w:rFonts w:ascii="Arial" w:hAnsi="Arial"/>
                <w:sz w:val="20"/>
              </w:rPr>
              <w:t>AAI as Digital Certified Professional</w:t>
            </w:r>
          </w:p>
        </w:tc>
        <w:tc>
          <w:tcPr>
            <w:tcW w:type="dxa" w:w="4535"/>
            <w:shd w:val="clear" w:color="auto" w:fill="FFFFFF"/>
          </w:tcPr>
          <w:p>
            <w:r>
              <w:rPr>
                <w:rFonts w:ascii="Arial" w:hAnsi="Arial"/>
                <w:sz w:val="20"/>
              </w:rPr>
              <w:t>Structural Evidence; three-stage verification; Ghost Data security; law as architecture</w:t>
            </w:r>
          </w:p>
        </w:tc>
      </w:tr>
      <w:tr>
        <w:tc>
          <w:tcPr>
            <w:tcW w:type="dxa" w:w="1020"/>
            <w:shd w:val="clear" w:color="auto" w:fill="EEF4FB"/>
          </w:tcPr>
          <w:p>
            <w:r>
              <w:rPr>
                <w:rFonts w:ascii="Arial" w:hAnsi="Arial"/>
                <w:b/>
                <w:color w:val="2E6DA4"/>
                <w:sz w:val="20"/>
              </w:rPr>
              <w:t>ECO-03</w:t>
            </w:r>
          </w:p>
        </w:tc>
        <w:tc>
          <w:tcPr>
            <w:tcW w:type="dxa" w:w="2381"/>
            <w:shd w:val="clear" w:color="auto" w:fill="EEF4FB"/>
          </w:tcPr>
          <w:p>
            <w:r>
              <w:rPr>
                <w:rFonts w:ascii="Arial" w:hAnsi="Arial"/>
                <w:sz w:val="20"/>
              </w:rPr>
              <w:t>Telecom Transformation</w:t>
            </w:r>
          </w:p>
        </w:tc>
        <w:tc>
          <w:tcPr>
            <w:tcW w:type="dxa" w:w="2835"/>
            <w:shd w:val="clear" w:color="auto" w:fill="EEF4FB"/>
          </w:tcPr>
          <w:p>
            <w:r>
              <w:rPr>
                <w:rFonts w:ascii="Arial" w:hAnsi="Arial"/>
                <w:sz w:val="20"/>
              </w:rPr>
              <w:t>From Pipe to Gateway</w:t>
            </w:r>
          </w:p>
        </w:tc>
        <w:tc>
          <w:tcPr>
            <w:tcW w:type="dxa" w:w="4535"/>
            <w:shd w:val="clear" w:color="auto" w:fill="EEF4FB"/>
          </w:tcPr>
          <w:p>
            <w:r>
              <w:rPr>
                <w:rFonts w:ascii="Arial" w:hAnsi="Arial"/>
                <w:sz w:val="20"/>
              </w:rPr>
              <w:t>Infrastructure Paradox; PAI subscription; ecosystem fees; transaction gateway commission</w:t>
            </w:r>
          </w:p>
        </w:tc>
      </w:tr>
      <w:tr>
        <w:tc>
          <w:tcPr>
            <w:tcW w:type="dxa" w:w="1020"/>
            <w:shd w:val="clear" w:color="auto" w:fill="FFFFFF"/>
          </w:tcPr>
          <w:p>
            <w:r>
              <w:rPr>
                <w:rFonts w:ascii="Arial" w:hAnsi="Arial"/>
                <w:b/>
                <w:color w:val="2E6DA4"/>
                <w:sz w:val="20"/>
              </w:rPr>
              <w:t>ECO-04</w:t>
            </w:r>
          </w:p>
        </w:tc>
        <w:tc>
          <w:tcPr>
            <w:tcW w:type="dxa" w:w="2381"/>
            <w:shd w:val="clear" w:color="auto" w:fill="FFFFFF"/>
          </w:tcPr>
          <w:p>
            <w:r>
              <w:rPr>
                <w:rFonts w:ascii="Arial" w:hAnsi="Arial"/>
                <w:sz w:val="20"/>
              </w:rPr>
              <w:t>End of Advertising</w:t>
            </w:r>
          </w:p>
        </w:tc>
        <w:tc>
          <w:tcPr>
            <w:tcW w:type="dxa" w:w="2835"/>
            <w:shd w:val="clear" w:color="auto" w:fill="FFFFFF"/>
          </w:tcPr>
          <w:p>
            <w:r>
              <w:rPr>
                <w:rFonts w:ascii="Arial" w:hAnsi="Arial"/>
                <w:sz w:val="20"/>
              </w:rPr>
              <w:t>Intent-Driven Commerce</w:t>
            </w:r>
          </w:p>
        </w:tc>
        <w:tc>
          <w:tcPr>
            <w:tcW w:type="dxa" w:w="4535"/>
            <w:shd w:val="clear" w:color="auto" w:fill="FFFFFF"/>
          </w:tcPr>
          <w:p>
            <w:r>
              <w:rPr>
                <w:rFonts w:ascii="Arial" w:hAnsi="Arial"/>
                <w:sz w:val="20"/>
              </w:rPr>
              <w:t>Sponsored Registry; AAI curation; advertising waste elimination; enterprise transformation</w:t>
            </w:r>
          </w:p>
        </w:tc>
      </w:tr>
      <w:tr>
        <w:tc>
          <w:tcPr>
            <w:tcW w:type="dxa" w:w="1020"/>
            <w:shd w:val="clear" w:color="auto" w:fill="EEF4FB"/>
          </w:tcPr>
          <w:p>
            <w:r>
              <w:rPr>
                <w:rFonts w:ascii="Arial" w:hAnsi="Arial"/>
                <w:b/>
                <w:color w:val="2E6DA4"/>
                <w:sz w:val="20"/>
              </w:rPr>
              <w:t>ECO-05</w:t>
            </w:r>
          </w:p>
        </w:tc>
        <w:tc>
          <w:tcPr>
            <w:tcW w:type="dxa" w:w="2381"/>
            <w:shd w:val="clear" w:color="auto" w:fill="EEF4FB"/>
          </w:tcPr>
          <w:p>
            <w:r>
              <w:rPr>
                <w:rFonts w:ascii="Arial" w:hAnsi="Arial"/>
                <w:sz w:val="20"/>
              </w:rPr>
              <w:t>Healthcare Economy</w:t>
            </w:r>
          </w:p>
        </w:tc>
        <w:tc>
          <w:tcPr>
            <w:tcW w:type="dxa" w:w="2835"/>
            <w:shd w:val="clear" w:color="auto" w:fill="EEF4FB"/>
          </w:tcPr>
          <w:p>
            <w:r>
              <w:rPr>
                <w:rFonts w:ascii="Arial" w:hAnsi="Arial"/>
                <w:sz w:val="20"/>
              </w:rPr>
              <w:t>Sovereign Health Data</w:t>
            </w:r>
          </w:p>
        </w:tc>
        <w:tc>
          <w:tcPr>
            <w:tcW w:type="dxa" w:w="4535"/>
            <w:shd w:val="clear" w:color="auto" w:fill="EEF4FB"/>
          </w:tcPr>
          <w:p>
            <w:r>
              <w:rPr>
                <w:rFonts w:ascii="Arial" w:hAnsi="Arial"/>
                <w:sz w:val="20"/>
              </w:rPr>
              <w:t>PAI health sovereignty; medical Transaction Guardian; outcome-contingent care; global access</w:t>
            </w:r>
          </w:p>
        </w:tc>
      </w:tr>
      <w:tr>
        <w:tc>
          <w:tcPr>
            <w:tcW w:type="dxa" w:w="1020"/>
            <w:shd w:val="clear" w:color="auto" w:fill="FFFFFF"/>
          </w:tcPr>
          <w:p>
            <w:r>
              <w:rPr>
                <w:rFonts w:ascii="Arial" w:hAnsi="Arial"/>
                <w:b/>
                <w:color w:val="2E6DA4"/>
                <w:sz w:val="20"/>
              </w:rPr>
              <w:t>ECO-06</w:t>
            </w:r>
          </w:p>
        </w:tc>
        <w:tc>
          <w:tcPr>
            <w:tcW w:type="dxa" w:w="2381"/>
            <w:shd w:val="clear" w:color="auto" w:fill="FFFFFF"/>
          </w:tcPr>
          <w:p>
            <w:r>
              <w:rPr>
                <w:rFonts w:ascii="Arial" w:hAnsi="Arial"/>
                <w:sz w:val="20"/>
              </w:rPr>
              <w:t>Education Economy</w:t>
            </w:r>
          </w:p>
        </w:tc>
        <w:tc>
          <w:tcPr>
            <w:tcW w:type="dxa" w:w="2835"/>
            <w:shd w:val="clear" w:color="auto" w:fill="FFFFFF"/>
          </w:tcPr>
          <w:p>
            <w:r>
              <w:rPr>
                <w:rFonts w:ascii="Arial" w:hAnsi="Arial"/>
                <w:sz w:val="20"/>
              </w:rPr>
              <w:t>Structural Learning</w:t>
            </w:r>
          </w:p>
        </w:tc>
        <w:tc>
          <w:tcPr>
            <w:tcW w:type="dxa" w:w="4535"/>
            <w:shd w:val="clear" w:color="auto" w:fill="FFFFFF"/>
          </w:tcPr>
          <w:p>
            <w:r>
              <w:rPr>
                <w:rFonts w:ascii="Arial" w:hAnsi="Arial"/>
                <w:sz w:val="20"/>
              </w:rPr>
              <w:t>Individual learning intelligence; competence certification; outcome-contingent tuition</w:t>
            </w:r>
          </w:p>
        </w:tc>
      </w:tr>
      <w:tr>
        <w:tc>
          <w:tcPr>
            <w:tcW w:type="dxa" w:w="1020"/>
            <w:shd w:val="clear" w:color="auto" w:fill="EEF4FB"/>
          </w:tcPr>
          <w:p>
            <w:r>
              <w:rPr>
                <w:rFonts w:ascii="Arial" w:hAnsi="Arial"/>
                <w:b/>
                <w:color w:val="2E6DA4"/>
                <w:sz w:val="20"/>
              </w:rPr>
              <w:t>ECO-07</w:t>
            </w:r>
          </w:p>
        </w:tc>
        <w:tc>
          <w:tcPr>
            <w:tcW w:type="dxa" w:w="2381"/>
            <w:shd w:val="clear" w:color="auto" w:fill="EEF4FB"/>
          </w:tcPr>
          <w:p>
            <w:r>
              <w:rPr>
                <w:rFonts w:ascii="Arial" w:hAnsi="Arial"/>
                <w:sz w:val="20"/>
              </w:rPr>
              <w:t>Finance Economy</w:t>
            </w:r>
          </w:p>
        </w:tc>
        <w:tc>
          <w:tcPr>
            <w:tcW w:type="dxa" w:w="2835"/>
            <w:shd w:val="clear" w:color="auto" w:fill="EEF4FB"/>
          </w:tcPr>
          <w:p>
            <w:r>
              <w:rPr>
                <w:rFonts w:ascii="Arial" w:hAnsi="Arial"/>
                <w:sz w:val="20"/>
              </w:rPr>
              <w:t>From Managed Distrust to Structural Trust</w:t>
            </w:r>
          </w:p>
        </w:tc>
        <w:tc>
          <w:tcPr>
            <w:tcW w:type="dxa" w:w="4535"/>
            <w:shd w:val="clear" w:color="auto" w:fill="EEF4FB"/>
          </w:tcPr>
          <w:p>
            <w:r>
              <w:rPr>
                <w:rFonts w:ascii="Arial" w:hAnsi="Arial"/>
                <w:sz w:val="20"/>
              </w:rPr>
              <w:t>Real-time credit; financial inclusion; structural settlement; continuous audit</w:t>
            </w:r>
          </w:p>
        </w:tc>
      </w:tr>
    </w:tbl>
    <w:p/>
    <w:p>
      <w:r>
        <w:br w:type="page"/>
      </w:r>
    </w:p>
    <w:p>
      <w:pPr>
        <w:jc w:val="center"/>
        <w:spacing w:before="200" w:after="80"/>
      </w:pPr>
      <w:r>
        <w:rPr>
          <w:rFonts w:ascii="Arial" w:hAnsi="Arial"/>
          <w:b/>
          <w:color w:val="1A3A5C"/>
          <w:sz w:val="44"/>
        </w:rPr>
        <w:t>Preface</w:t>
      </w:r>
    </w:p>
    <w:p>
      <w:pPr>
        <w:pBdr>
          <w:bottom w:val="single" w:sz="24" w:space="4" w:color="2E6DA4"/>
        </w:pBdr>
        <w:spacing w:before="0" w:after="160"/>
      </w:pPr>
    </w:p>
    <w:p>
      <w:pPr>
        <w:spacing w:before="80" w:after="80"/>
      </w:pPr>
      <w:r>
        <w:rPr>
          <w:rFonts w:ascii="Arial" w:hAnsi="Arial"/>
          <w:sz w:val="22"/>
        </w:rPr>
        <w:t>This collection brings together seven independent economic white papers — ECO-01 through ECO-07 — into a single volume. Each paper addresses a specific domain of the Velsanet economic architecture. Together they form a complete vision of the Sovereign AI Economy.</w:t>
      </w:r>
    </w:p>
    <w:p>
      <w:pPr>
        <w:spacing w:before="80" w:after="80"/>
      </w:pPr>
      <w:r>
        <w:rPr>
          <w:rFonts w:ascii="Arial" w:hAnsi="Arial"/>
          <w:sz w:val="22"/>
        </w:rPr>
        <w:t>The papers may be read independently or sequentially. Each builds on the foundational architecture established in ECO-01 and ECO-02 and applies it to a specific industry or economic domain.</w:t>
      </w:r>
    </w:p>
    <w:p>
      <w:pPr>
        <w:spacing w:before="80" w:after="80"/>
      </w:pPr>
      <w:r>
        <w:rPr>
          <w:rFonts w:ascii="Arial" w:hAnsi="Arial"/>
          <w:sz w:val="22"/>
        </w:rPr>
        <w:t>The central premise that runs through all seven documents is the same:</w:t>
      </w:r>
    </w:p>
    <w:p>
      <w:pPr>
        <w:spacing w:before="160" w:after="160"/>
        <w:ind w:left="720" w:right="720"/>
        <w:pBdr>
          <w:left w:val="single" w:sz="24" w:space="8" w:color="2E6DA4"/>
        </w:pBdr>
      </w:pPr>
      <w:r>
        <w:rPr>
          <w:rFonts w:ascii="Arial" w:hAnsi="Arial"/>
          <w:i/>
          <w:color w:val="2E6DA4"/>
          <w:sz w:val="24"/>
        </w:rPr>
        <w:t>The economy has always operated on trust. Trust has always been manufactured by intermediaries. Velsanet makes trust a structural property of the network itself — eliminating the need for intermediaries while preserving and enforcing the values they were meant to uphold.</w:t>
      </w:r>
    </w:p>
    <w:p>
      <w:r>
        <w:br w:type="page"/>
      </w:r>
    </w:p>
    <w:p>
      <w:r>
        <w:br w:type="page"/>
      </w:r>
    </w:p>
    <w:p>
      <w:pPr>
        <w:jc w:val="center"/>
        <w:pBdr>
          <w:top w:val="single" w:sz="36" w:space="4" w:color="1A3A5C"/>
        </w:pBdr>
        <w:spacing w:before="120" w:after="40"/>
      </w:pPr>
      <w:r>
        <w:rPr>
          <w:rFonts w:ascii="Arial" w:hAnsi="Arial"/>
          <w:b/>
          <w:color w:val="999999"/>
          <w:sz w:val="32"/>
        </w:rPr>
        <w:t>ECO-01</w:t>
      </w:r>
    </w:p>
    <w:p>
      <w:pPr>
        <w:jc w:val="center"/>
        <w:spacing w:before="120" w:after="80"/>
      </w:pPr>
      <w:r>
        <w:rPr>
          <w:rFonts w:ascii="Arial" w:hAnsi="Arial"/>
          <w:b/>
          <w:color w:val="1A3A5C"/>
          <w:sz w:val="44"/>
        </w:rPr>
        <w:t>The Market Economy</w:t>
      </w:r>
    </w:p>
    <w:p>
      <w:pPr>
        <w:jc w:val="center"/>
        <w:pBdr>
          <w:bottom w:val="single" w:sz="8" w:space="4" w:color="CCCCCC"/>
        </w:pBdr>
        <w:spacing w:before="0" w:after="120"/>
      </w:pPr>
      <w:r>
        <w:rPr>
          <w:rFonts w:ascii="Arial" w:hAnsi="Arial"/>
          <w:i/>
          <w:color w:val="666666"/>
          <w:sz w:val="26"/>
        </w:rPr>
        <w:t>Structure Does Not Change — Services Compete</w:t>
      </w:r>
    </w:p>
    <w:p>
      <w:r>
        <w:br w:type="page"/>
      </w:r>
    </w:p>
    <w:p>
      <w:pPr>
        <w:jc w:val="center"/>
        <w:pBdr>
          <w:top w:val="single" w:sz="36" w:space="4" w:color="1A3A5C"/>
        </w:pBdr>
        <w:spacing w:before="120" w:after="40"/>
      </w:pPr>
      <w:r>
        <w:rPr>
          <w:rFonts w:ascii="Arial" w:hAnsi="Arial"/>
          <w:b/>
          <w:color w:val="999999"/>
          <w:sz w:val="32"/>
        </w:rPr>
        <w:t>ECO-02</w:t>
      </w:r>
    </w:p>
    <w:p>
      <w:pPr>
        <w:jc w:val="center"/>
        <w:spacing w:before="120" w:after="80"/>
      </w:pPr>
      <w:r>
        <w:rPr>
          <w:rFonts w:ascii="Arial" w:hAnsi="Arial"/>
          <w:b/>
          <w:color w:val="1A3A5C"/>
          <w:sz w:val="44"/>
        </w:rPr>
        <w:t>Trust by Architecture</w:t>
      </w:r>
    </w:p>
    <w:p>
      <w:pPr>
        <w:jc w:val="center"/>
        <w:pBdr>
          <w:bottom w:val="single" w:sz="8" w:space="4" w:color="CCCCCC"/>
        </w:pBdr>
        <w:spacing w:before="0" w:after="120"/>
      </w:pPr>
      <w:r>
        <w:rPr>
          <w:rFonts w:ascii="Arial" w:hAnsi="Arial"/>
          <w:i/>
          <w:color w:val="666666"/>
          <w:sz w:val="26"/>
        </w:rPr>
        <w:t>AAI as the Digital Certified Professional Group</w:t>
      </w:r>
    </w:p>
    <w:p>
      <w:r>
        <w:br w:type="page"/>
      </w:r>
    </w:p>
    <w:p>
      <w:pPr>
        <w:jc w:val="center"/>
        <w:pBdr>
          <w:top w:val="single" w:sz="36" w:space="4" w:color="1A3A5C"/>
        </w:pBdr>
        <w:spacing w:before="120" w:after="40"/>
      </w:pPr>
      <w:r>
        <w:rPr>
          <w:rFonts w:ascii="Arial" w:hAnsi="Arial"/>
          <w:b/>
          <w:color w:val="999999"/>
          <w:sz w:val="32"/>
        </w:rPr>
        <w:t>ECO-03</w:t>
      </w:r>
    </w:p>
    <w:p>
      <w:pPr>
        <w:jc w:val="center"/>
        <w:spacing w:before="120" w:after="80"/>
      </w:pPr>
      <w:r>
        <w:rPr>
          <w:rFonts w:ascii="Arial" w:hAnsi="Arial"/>
          <w:b/>
          <w:color w:val="1A3A5C"/>
          <w:sz w:val="44"/>
        </w:rPr>
        <w:t>The Telecom Transformation</w:t>
      </w:r>
    </w:p>
    <w:p>
      <w:pPr>
        <w:jc w:val="center"/>
        <w:pBdr>
          <w:bottom w:val="single" w:sz="8" w:space="4" w:color="CCCCCC"/>
        </w:pBdr>
        <w:spacing w:before="0" w:after="120"/>
      </w:pPr>
      <w:r>
        <w:rPr>
          <w:rFonts w:ascii="Arial" w:hAnsi="Arial"/>
          <w:i/>
          <w:color w:val="666666"/>
          <w:sz w:val="26"/>
        </w:rPr>
        <w:t>From Pipe to Gateway</w:t>
      </w:r>
    </w:p>
    <w:p>
      <w:r>
        <w:br w:type="page"/>
      </w:r>
    </w:p>
    <w:p>
      <w:pPr>
        <w:jc w:val="center"/>
        <w:pBdr>
          <w:top w:val="single" w:sz="36" w:space="4" w:color="1A3A5C"/>
        </w:pBdr>
        <w:spacing w:before="120" w:after="40"/>
      </w:pPr>
      <w:r>
        <w:rPr>
          <w:rFonts w:ascii="Arial" w:hAnsi="Arial"/>
          <w:b/>
          <w:color w:val="999999"/>
          <w:sz w:val="32"/>
        </w:rPr>
        <w:t>ECO-04</w:t>
      </w:r>
    </w:p>
    <w:p>
      <w:pPr>
        <w:jc w:val="center"/>
        <w:spacing w:before="120" w:after="80"/>
      </w:pPr>
      <w:r>
        <w:rPr>
          <w:rFonts w:ascii="Arial" w:hAnsi="Arial"/>
          <w:b/>
          <w:color w:val="1A3A5C"/>
          <w:sz w:val="44"/>
        </w:rPr>
        <w:t>The End of Advertising</w:t>
      </w:r>
    </w:p>
    <w:p>
      <w:pPr>
        <w:jc w:val="center"/>
        <w:pBdr>
          <w:bottom w:val="single" w:sz="8" w:space="4" w:color="CCCCCC"/>
        </w:pBdr>
        <w:spacing w:before="0" w:after="120"/>
      </w:pPr>
      <w:r>
        <w:rPr>
          <w:rFonts w:ascii="Arial" w:hAnsi="Arial"/>
          <w:i/>
          <w:color w:val="666666"/>
          <w:sz w:val="26"/>
        </w:rPr>
        <w:t>Intent-Driven Commerce Replaces Push Marketing</w:t>
      </w:r>
    </w:p>
    <w:p>
      <w:r>
        <w:br w:type="page"/>
      </w:r>
    </w:p>
    <w:p>
      <w:pPr>
        <w:jc w:val="center"/>
        <w:pBdr>
          <w:top w:val="single" w:sz="36" w:space="4" w:color="1A3A5C"/>
        </w:pBdr>
        <w:spacing w:before="120" w:after="40"/>
      </w:pPr>
      <w:r>
        <w:rPr>
          <w:rFonts w:ascii="Arial" w:hAnsi="Arial"/>
          <w:b/>
          <w:color w:val="999999"/>
          <w:sz w:val="32"/>
        </w:rPr>
        <w:t>ECO-05</w:t>
      </w:r>
    </w:p>
    <w:p>
      <w:pPr>
        <w:jc w:val="center"/>
        <w:spacing w:before="120" w:after="80"/>
      </w:pPr>
      <w:r>
        <w:rPr>
          <w:rFonts w:ascii="Arial" w:hAnsi="Arial"/>
          <w:b/>
          <w:color w:val="1A3A5C"/>
          <w:sz w:val="44"/>
        </w:rPr>
        <w:t>The Healthcare Economy</w:t>
      </w:r>
    </w:p>
    <w:p>
      <w:pPr>
        <w:jc w:val="center"/>
        <w:pBdr>
          <w:bottom w:val="single" w:sz="8" w:space="4" w:color="CCCCCC"/>
        </w:pBdr>
        <w:spacing w:before="0" w:after="120"/>
      </w:pPr>
      <w:r>
        <w:rPr>
          <w:rFonts w:ascii="Arial" w:hAnsi="Arial"/>
          <w:i/>
          <w:color w:val="666666"/>
          <w:sz w:val="26"/>
        </w:rPr>
        <w:t>Sovereign Health Data and Structural Medical Trust</w:t>
      </w:r>
    </w:p>
    <w:p>
      <w:r>
        <w:br w:type="page"/>
      </w:r>
    </w:p>
    <w:p>
      <w:pPr>
        <w:jc w:val="center"/>
        <w:pBdr>
          <w:top w:val="single" w:sz="36" w:space="4" w:color="1A3A5C"/>
        </w:pBdr>
        <w:spacing w:before="120" w:after="40"/>
      </w:pPr>
      <w:r>
        <w:rPr>
          <w:rFonts w:ascii="Arial" w:hAnsi="Arial"/>
          <w:b/>
          <w:color w:val="999999"/>
          <w:sz w:val="32"/>
        </w:rPr>
        <w:t>ECO-06</w:t>
      </w:r>
    </w:p>
    <w:p>
      <w:pPr>
        <w:jc w:val="center"/>
        <w:spacing w:before="120" w:after="80"/>
      </w:pPr>
      <w:r>
        <w:rPr>
          <w:rFonts w:ascii="Arial" w:hAnsi="Arial"/>
          <w:b/>
          <w:color w:val="1A3A5C"/>
          <w:sz w:val="44"/>
        </w:rPr>
        <w:t>The Education Economy</w:t>
      </w:r>
    </w:p>
    <w:p>
      <w:pPr>
        <w:jc w:val="center"/>
        <w:pBdr>
          <w:bottom w:val="single" w:sz="8" w:space="4" w:color="CCCCCC"/>
        </w:pBdr>
        <w:spacing w:before="0" w:after="120"/>
      </w:pPr>
      <w:r>
        <w:rPr>
          <w:rFonts w:ascii="Arial" w:hAnsi="Arial"/>
          <w:i/>
          <w:color w:val="666666"/>
          <w:sz w:val="26"/>
        </w:rPr>
        <w:t>From Average to Individual — Structural Learning</w:t>
      </w:r>
    </w:p>
    <w:p>
      <w:r>
        <w:br w:type="page"/>
      </w:r>
    </w:p>
    <w:p>
      <w:pPr>
        <w:jc w:val="center"/>
        <w:pBdr>
          <w:top w:val="single" w:sz="36" w:space="4" w:color="1A3A5C"/>
        </w:pBdr>
        <w:spacing w:before="120" w:after="40"/>
      </w:pPr>
      <w:r>
        <w:rPr>
          <w:rFonts w:ascii="Arial" w:hAnsi="Arial"/>
          <w:b/>
          <w:color w:val="999999"/>
          <w:sz w:val="32"/>
        </w:rPr>
        <w:t>ECO-07</w:t>
      </w:r>
    </w:p>
    <w:p>
      <w:pPr>
        <w:jc w:val="center"/>
        <w:spacing w:before="120" w:after="80"/>
      </w:pPr>
      <w:r>
        <w:rPr>
          <w:rFonts w:ascii="Arial" w:hAnsi="Arial"/>
          <w:b/>
          <w:color w:val="1A3A5C"/>
          <w:sz w:val="44"/>
        </w:rPr>
        <w:t>The Finance Economy</w:t>
      </w:r>
    </w:p>
    <w:p>
      <w:pPr>
        <w:jc w:val="center"/>
        <w:pBdr>
          <w:bottom w:val="single" w:sz="8" w:space="4" w:color="CCCCCC"/>
        </w:pBdr>
        <w:spacing w:before="0" w:after="120"/>
      </w:pPr>
      <w:r>
        <w:rPr>
          <w:rFonts w:ascii="Arial" w:hAnsi="Arial"/>
          <w:i/>
          <w:color w:val="666666"/>
          <w:sz w:val="26"/>
        </w:rPr>
        <w:t>From Managed Distrust to Structural Trust</w:t>
      </w:r>
    </w:p>
    <w:p>
      <w:r>
        <w:br w:type="page"/>
      </w:r>
    </w:p>
    <w:p>
      <w:pPr>
        <w:pBdr>
          <w:top w:val="single" w:sz="24" w:space="4" w:color="1A3A5C"/>
        </w:pBdr>
        <w:spacing w:before="400" w:after="200"/>
        <w:jc w:val="center"/>
      </w:pPr>
      <w:r>
        <w:rPr>
          <w:rFonts w:ascii="Arial" w:hAnsi="Arial"/>
          <w:b/>
          <w:color w:val="1A3A5C"/>
          <w:sz w:val="44"/>
        </w:rPr>
        <w:t>Closing</w:t>
      </w:r>
    </w:p>
    <w:p>
      <w:pPr>
        <w:spacing w:before="80" w:after="80"/>
      </w:pPr>
      <w:r>
        <w:rPr>
          <w:rFonts w:ascii="Arial" w:hAnsi="Arial"/>
          <w:sz w:val="22"/>
        </w:rPr>
        <w:t>The seven economies described in this collection are not predictions. They are structural consequences of deploying an architecture that makes trust a property of the network rather than a service provided by intermediaries.</w:t>
      </w:r>
    </w:p>
    <w:p>
      <w:pPr>
        <w:spacing w:before="80" w:after="80"/>
      </w:pPr>
      <w:r>
        <w:rPr>
          <w:rFonts w:ascii="Arial" w:hAnsi="Arial"/>
          <w:sz w:val="22"/>
        </w:rPr>
        <w:t>The designers of the internet did not predict Google, Amazon, or Uber. They built TCP/IP — and competition did the rest. Velsanet builds a deeper structure. What the market builds on top of it will define the next era of human civilization.</w:t>
      </w:r>
    </w:p>
    <w:p>
      <w:pPr>
        <w:spacing w:before="160" w:after="200"/>
        <w:ind w:left="720" w:right="720"/>
        <w:pBdr>
          <w:left w:val="single" w:sz="24" w:space="8" w:color="2E6DA4"/>
        </w:pBdr>
      </w:pPr>
      <w:r>
        <w:rPr>
          <w:rFonts w:ascii="Arial" w:hAnsi="Arial"/>
          <w:i/>
          <w:color w:val="2E6DA4"/>
          <w:sz w:val="24"/>
        </w:rPr>
        <w:t>The Velsanet Sovereign AI Economy is not a vision of the future. It is a description of what is structurally inevitable once the architecture is in place.</w:t>
      </w:r>
    </w:p>
    <w:p>
      <w:pPr>
        <w:jc w:val="center"/>
      </w:pPr>
      <w:r>
        <w:rPr>
          <w:rFonts w:ascii="Arial" w:hAnsi="Arial"/>
          <w:color w:val="888888"/>
          <w:sz w:val="20"/>
        </w:rPr>
        <w:t>Changho Song  ·  joa337@gmail.com</w:t>
      </w:r>
    </w:p>
    <w:p>
      <w:pPr>
        <w:jc w:val="center"/>
      </w:pPr>
      <w:r>
        <w:rPr>
          <w:rFonts w:ascii="Arial" w:hAnsi="Arial"/>
          <w:color w:val="888888"/>
          <w:sz w:val="20"/>
        </w:rPr>
        <w:t>github.com/joa337/velsanet-whitepapers</w:t>
      </w:r>
    </w:p>
    <w:p>
      <w:pPr>
        <w:jc w:val="center"/>
      </w:pPr>
      <w:r>
        <w:rPr>
          <w:rFonts w:ascii="Arial" w:hAnsi="Arial"/>
          <w:color w:val="888888"/>
          <w:sz w:val="20"/>
        </w:rPr>
        <w:t>April 2026  ·  Velsanet White Paper Collection #MKT-01</w:t>
      </w:r>
    </w:p>
    <w:sectPr w:rsidR="00FC693F" w:rsidRPr="0006063C" w:rsidSect="00034616">
      <w:pgSz w:w="11906" w:h="16838"/>
      <w:pgMar w:top="1440" w:right="1440" w:bottom="1440" w:left="1440" w:header="720" w:footer="720" w:gutter="0"/>
      <w:cols w:space="720"/>
      <w:docGrid w:linePitch="360"/>
    </w:sectPr>
    <w:p>
      <w:pPr>
        <w:spacing w:after="0" w:before="1400"/>
        <w:jc w:val="center"/>
      </w:pPr>
      <w:r>
        <w:rPr>
          <w:rFonts w:ascii="Arial" w:cs="Arial" w:eastAsia="Arial" w:hAnsi="Arial"/>
          <w:b/>
          <w:bCs/>
          <w:color w:val="1A3A5C"/>
          <w:sz w:val="64"/>
          <w:szCs w:val="64"/>
        </w:rPr>
        <w:t xml:space="preserve">VELSANET</w:t>
      </w:r>
    </w:p>
    <w:p>
      <w:pPr>
        <w:spacing w:after="80" w:before="0"/>
        <w:jc w:val="center"/>
      </w:pPr>
      <w:r>
        <w:rPr>
          <w:rFonts w:ascii="Arial" w:cs="Arial" w:eastAsia="Arial" w:hAnsi="Arial"/>
          <w:color w:val="999999"/>
          <w:sz w:val="20"/>
          <w:szCs w:val="20"/>
        </w:rPr>
        <w:t xml:space="preserve">White Paper #WP-ECO-01</w:t>
      </w:r>
    </w:p>
    <w:p>
      <w:pPr>
        <w:pBdr>
          <w:bottom w:val="single" w:color="2E6DA4" w:sz="8" w:space="4"/>
        </w:pBdr>
        <w:spacing w:after="0" w:before="200"/>
        <w:jc w:val="center"/>
      </w:pPr>
      <w:r>
        <w:rPr>
          <w:rFonts w:ascii="Arial" w:cs="Arial" w:eastAsia="Arial" w:hAnsi="Arial"/>
          <w:b/>
          <w:bCs/>
          <w:color w:val="2E6DA4"/>
          <w:sz w:val="44"/>
          <w:szCs w:val="44"/>
        </w:rPr>
        <w:t xml:space="preserve">The Sovereign AI Economy</w:t>
      </w:r>
    </w:p>
    <w:p>
      <w:pPr>
        <w:spacing w:after="600" w:before="240"/>
        <w:jc w:val="center"/>
      </w:pPr>
      <w:r>
        <w:rPr>
          <w:rFonts w:ascii="Arial" w:cs="Arial" w:eastAsia="Arial" w:hAnsi="Arial"/>
          <w:color w:val="444444"/>
          <w:sz w:val="26"/>
          <w:szCs w:val="26"/>
        </w:rPr>
        <w:t xml:space="preserve">How Velsanet Creates a Structurally Accountable, Sovereign, and Competitive Global AI Economy</w:t>
      </w:r>
    </w:p>
    <w:p>
      <w:pPr>
        <w:spacing w:after="120" w:before="0"/>
        <w:jc w:val="center"/>
      </w:pPr>
      <w:r>
        <w:rPr>
          <w:rFonts w:ascii="Arial" w:cs="Arial" w:eastAsia="Arial" w:hAnsi="Arial"/>
          <w:b/>
          <w:bCs/>
          <w:color w:val="333333"/>
          <w:sz w:val="26"/>
          <w:szCs w:val="26"/>
        </w:rPr>
        <w:t xml:space="preserve">Changho Song</w:t>
      </w:r>
    </w:p>
    <w:p>
      <w:pPr>
        <w:spacing w:after="80" w:before="0"/>
        <w:jc w:val="center"/>
      </w:pPr>
      <w:r>
        <w:rPr>
          <w:rFonts w:ascii="Arial" w:cs="Arial" w:eastAsia="Arial" w:hAnsi="Arial"/>
          <w:color w:val="888888"/>
          <w:sz w:val="20"/>
          <w:szCs w:val="20"/>
        </w:rPr>
        <w:t xml:space="preserve">Independent Researcher  ·  Velsanet Architecture</w:t>
      </w:r>
    </w:p>
    <w:p>
      <w:pPr>
        <w:spacing w:after="0" w:before="0"/>
        <w:jc w:val="center"/>
      </w:pPr>
      <w:r>
        <w:rPr>
          <w:rFonts w:ascii="Arial" w:cs="Arial" w:eastAsia="Arial" w:hAnsi="Arial"/>
          <w:color w:val="888888"/>
          <w:sz w:val="20"/>
          <w:szCs w:val="20"/>
        </w:rPr>
        <w:t xml:space="preserve">April 2026</w:t>
      </w:r>
    </w:p>
    <w:p>
      <w:r>
        <w:br w:type="page"/>
      </w:r>
    </w:p>
    <w:p>
      <w:pPr>
        <w:pStyle w:val="Heading1"/>
        <w:spacing w:after="200" w:before="480"/>
      </w:pPr>
      <w:r>
        <w:rPr>
          <w:rFonts w:ascii="Arial" w:cs="Arial" w:eastAsia="Arial" w:hAnsi="Arial"/>
          <w:b/>
          <w:bCs/>
          <w:color w:val="1A3A5C"/>
          <w:sz w:val="34"/>
          <w:szCs w:val="34"/>
        </w:rPr>
        <w:t xml:space="preserve">Preface: A Different Question</w:t>
      </w:r>
    </w:p>
    <w:p>
      <w:pPr>
        <w:spacing w:after="80" w:before="80"/>
      </w:pPr>
      <w:r>
        <w:rPr>
          <w:rFonts w:ascii="Arial" w:cs="Arial" w:eastAsia="Arial" w:hAnsi="Arial"/>
          <w:color w:val="222222"/>
          <w:sz w:val="22"/>
          <w:szCs w:val="22"/>
        </w:rPr>
        <w:t xml:space="preserve">For decades, the question driving technology has been: how do we use AI better?</w:t>
      </w:r>
    </w:p>
    <w:p>
      <w:pPr>
        <w:spacing w:after="60" w:before="60"/>
      </w:pPr>
      <w:r>
        <w:t xml:space="preserve"/>
      </w:r>
    </w:p>
    <w:p>
      <w:pPr>
        <w:spacing w:after="80" w:before="80"/>
      </w:pPr>
      <w:r>
        <w:rPr>
          <w:rFonts w:ascii="Arial" w:cs="Arial" w:eastAsia="Arial" w:hAnsi="Arial"/>
          <w:color w:val="222222"/>
          <w:sz w:val="22"/>
          <w:szCs w:val="22"/>
        </w:rPr>
        <w:t xml:space="preserve">Better tools. Better models. Better interfaces.</w:t>
      </w:r>
    </w:p>
    <w:p>
      <w:pPr>
        <w:spacing w:after="60" w:before="60"/>
      </w:pPr>
      <w:r>
        <w:t xml:space="preserve"/>
      </w:r>
    </w:p>
    <w:p>
      <w:pPr>
        <w:spacing w:after="80" w:before="80"/>
      </w:pPr>
      <w:r>
        <w:rPr>
          <w:rFonts w:ascii="Arial" w:cs="Arial" w:eastAsia="Arial" w:hAnsi="Arial"/>
          <w:color w:val="222222"/>
          <w:sz w:val="22"/>
          <w:szCs w:val="22"/>
        </w:rPr>
        <w:t xml:space="preserve">Velsanet asks a different question entirely.</w:t>
      </w:r>
    </w:p>
    <w:p>
      <w:pPr>
        <w:spacing w:after="60" w:before="60"/>
      </w:pPr>
      <w:r>
        <w:t xml:space="preserve"/>
      </w:r>
    </w:p>
    <w:p>
      <w:pPr>
        <w:pBdr>
          <w:left w:val="single" w:color="2E6DA4" w:sz="6" w:space="8"/>
        </w:pBdr>
        <w:spacing w:after="160" w:before="160"/>
        <w:ind w:left="720" w:right="720"/>
      </w:pPr>
      <w:r>
        <w:rPr>
          <w:rFonts w:ascii="Arial" w:cs="Arial" w:eastAsia="Arial" w:hAnsi="Arial"/>
          <w:i/>
          <w:iCs/>
          <w:color w:val="2E6DA4"/>
          <w:sz w:val="24"/>
          <w:szCs w:val="24"/>
        </w:rPr>
        <w:t xml:space="preserve">Not how do we use AI — but how does AI become the structure within which economic life operates?</w:t>
      </w:r>
    </w:p>
    <w:p>
      <w:pPr>
        <w:spacing w:after="60" w:before="60"/>
      </w:pPr>
      <w:r>
        <w:t xml:space="preserve"/>
      </w:r>
    </w:p>
    <w:p>
      <w:pPr>
        <w:spacing w:after="80" w:before="80"/>
      </w:pPr>
      <w:r>
        <w:rPr>
          <w:rFonts w:ascii="Arial" w:cs="Arial" w:eastAsia="Arial" w:hAnsi="Arial"/>
          <w:color w:val="222222"/>
          <w:sz w:val="22"/>
          <w:szCs w:val="22"/>
        </w:rPr>
        <w:t xml:space="preserve">This paper describes what emerges when that question is answered structurally. It is not a prediction. It is a description of what is already built into the Velsanet architecture — and what inevitably follows from it.</w:t>
      </w:r>
    </w:p>
    <w:p>
      <w:pPr>
        <w:spacing w:after="60" w:before="60"/>
      </w:pPr>
      <w:r>
        <w:t xml:space="preserve"/>
      </w:r>
    </w:p>
    <w:p>
      <w:pPr>
        <w:spacing w:after="80" w:before="80"/>
      </w:pPr>
      <w:r>
        <w:rPr>
          <w:rFonts w:ascii="Arial" w:cs="Arial" w:eastAsia="Arial" w:hAnsi="Arial"/>
          <w:color w:val="222222"/>
          <w:sz w:val="22"/>
          <w:szCs w:val="22"/>
        </w:rPr>
        <w:t xml:space="preserve">The result is a new kind of economy: one in which cognition, intent, validation, and execution are all structural properties of the network itself — sovereign, accountable, competitive, and self-evolving.</w:t>
      </w:r>
    </w:p>
    <w:p>
      <w:pPr>
        <w:pBdr>
          <w:bottom w:val="single" w:color="2E6DA4" w:sz="4" w:space="1"/>
        </w:pBdr>
        <w:spacing w:after="240" w:before="240"/>
      </w:pPr>
    </w:p>
    <w:p>
      <w:pPr>
        <w:pStyle w:val="Heading1"/>
        <w:spacing w:after="200" w:before="480"/>
      </w:pPr>
      <w:r>
        <w:rPr>
          <w:rFonts w:ascii="Arial" w:cs="Arial" w:eastAsia="Arial" w:hAnsi="Arial"/>
          <w:b/>
          <w:bCs/>
          <w:color w:val="1A3A5C"/>
          <w:sz w:val="34"/>
          <w:szCs w:val="34"/>
        </w:rPr>
        <w:t xml:space="preserve">Part I: The Foundation — Why the Economy Needs a New Layer</w:t>
      </w:r>
    </w:p>
    <w:p>
      <w:pPr>
        <w:pStyle w:val="Heading2"/>
        <w:spacing w:after="160" w:before="320"/>
      </w:pPr>
      <w:r>
        <w:rPr>
          <w:rFonts w:ascii="Arial" w:cs="Arial" w:eastAsia="Arial" w:hAnsi="Arial"/>
          <w:b/>
          <w:bCs/>
          <w:color w:val="2E6DA4"/>
          <w:sz w:val="26"/>
          <w:szCs w:val="26"/>
        </w:rPr>
        <w:t xml:space="preserve">1.1 The Trust Problem in the Current Economy</w:t>
      </w:r>
    </w:p>
    <w:p>
      <w:pPr>
        <w:spacing w:after="80" w:before="80"/>
      </w:pPr>
      <w:r>
        <w:rPr>
          <w:rFonts w:ascii="Arial" w:cs="Arial" w:eastAsia="Arial" w:hAnsi="Arial"/>
          <w:color w:val="222222"/>
          <w:sz w:val="22"/>
          <w:szCs w:val="22"/>
        </w:rPr>
        <w:t xml:space="preserve">Every economic transaction requires trust. Trust that the counterparty is who they claim to be. Trust that the terms will be honored. Trust that the execution will match the agreement. Trust that disputes can be resolved.</w:t>
      </w:r>
    </w:p>
    <w:p>
      <w:pPr>
        <w:spacing w:after="60" w:before="60"/>
      </w:pPr>
      <w:r>
        <w:t xml:space="preserve"/>
      </w:r>
    </w:p>
    <w:p>
      <w:pPr>
        <w:spacing w:after="80" w:before="80"/>
      </w:pPr>
      <w:r>
        <w:rPr>
          <w:rFonts w:ascii="Arial" w:cs="Arial" w:eastAsia="Arial" w:hAnsi="Arial"/>
          <w:color w:val="222222"/>
          <w:sz w:val="22"/>
          <w:szCs w:val="22"/>
        </w:rPr>
        <w:t xml:space="preserve">Today, this trust is manufactured by intermediaries: banks, lawyers, governments, courts, auditors, notaries, customs authorities. These intermediaries are expensive, slow, geographically bounded, and increasingly inadequate for a world operating at AI speed.</w:t>
      </w:r>
    </w:p>
    <w:p>
      <w:pPr>
        <w:spacing w:after="60" w:before="60"/>
      </w:pPr>
      <w:r>
        <w:t xml:space="preserve"/>
      </w:r>
    </w:p>
    <w:p>
      <w:pPr>
        <w:spacing w:after="80" w:before="80"/>
      </w:pPr>
      <w:r>
        <w:rPr>
          <w:rFonts w:ascii="Arial" w:cs="Arial" w:eastAsia="Arial" w:hAnsi="Arial"/>
          <w:color w:val="222222"/>
          <w:sz w:val="22"/>
          <w:szCs w:val="22"/>
        </w:rPr>
        <w:t xml:space="preserve">The problem is not that these institutions are corrupt or inefficient. The problem is structural: they were designed for a world in which transactions happened slowly, locally, and between humans. The AI economy operates at millisecond speed, globally, and between systems that have no inherent jurisdiction.</w:t>
      </w:r>
    </w:p>
    <w:p>
      <w:pPr>
        <w:spacing w:after="60" w:before="60"/>
      </w:pPr>
      <w:r>
        <w:t xml:space="preserve"/>
      </w:r>
    </w:p>
    <w:p>
      <w:pPr>
        <w:spacing w:after="80" w:before="80"/>
      </w:pPr>
      <w:r>
        <w:rPr>
          <w:rFonts w:ascii="Arial" w:cs="Arial" w:eastAsia="Arial" w:hAnsi="Arial"/>
          <w:color w:val="222222"/>
          <w:sz w:val="22"/>
          <w:szCs w:val="22"/>
        </w:rPr>
        <w:t xml:space="preserve">No amount of optimization of existing intermediaries solves this. A structurally new layer is required.</w:t>
      </w:r>
    </w:p>
    <w:p>
      <w:pPr>
        <w:pStyle w:val="Heading2"/>
        <w:spacing w:after="160" w:before="320"/>
      </w:pPr>
      <w:r>
        <w:rPr>
          <w:rFonts w:ascii="Arial" w:cs="Arial" w:eastAsia="Arial" w:hAnsi="Arial"/>
          <w:b/>
          <w:bCs/>
          <w:color w:val="2E6DA4"/>
          <w:sz w:val="26"/>
          <w:szCs w:val="26"/>
        </w:rPr>
        <w:t xml:space="preserve">1.2 What Velsanet Provides</w:t>
      </w:r>
    </w:p>
    <w:p>
      <w:pPr>
        <w:spacing w:after="80" w:before="80"/>
      </w:pPr>
      <w:r>
        <w:rPr>
          <w:rFonts w:ascii="Arial" w:cs="Arial" w:eastAsia="Arial" w:hAnsi="Arial"/>
          <w:color w:val="222222"/>
          <w:sz w:val="22"/>
          <w:szCs w:val="22"/>
        </w:rPr>
        <w:t xml:space="preserve">Velsanet provides that layer. Not by replacing existing institutions, but by giving them structural teeth.</w:t>
      </w:r>
    </w:p>
    <w:p>
      <w:pPr>
        <w:spacing w:after="60" w:before="60"/>
      </w:pPr>
      <w:r>
        <w:t xml:space="preserve"/>
      </w:r>
    </w:p>
    <w:p>
      <w:pPr>
        <w:spacing w:after="80" w:before="80"/>
      </w:pPr>
      <w:r>
        <w:rPr>
          <w:rFonts w:ascii="Arial" w:cs="Arial" w:eastAsia="Arial" w:hAnsi="Arial"/>
          <w:color w:val="222222"/>
          <w:sz w:val="22"/>
          <w:szCs w:val="22"/>
        </w:rPr>
        <w:t xml:space="preserve">The law still exists — but now it is executed structurally, not interpretively. Policy still exists — but now it is encoded architecturally, not administered bureaucratically. Ethics still exists — but now it is enforced as a structural invariant, not as a declaration.</w:t>
      </w:r>
    </w:p>
    <w:p>
      <w:pPr>
        <w:spacing w:after="60" w:before="60"/>
      </w:pPr>
      <w:r>
        <w:t xml:space="preserve"/>
      </w:r>
    </w:p>
    <w:p>
      <w:pPr>
        <w:pBdr>
          <w:left w:val="single" w:color="2E6DA4" w:sz="6" w:space="8"/>
        </w:pBdr>
        <w:spacing w:after="160" w:before="160"/>
        <w:ind w:left="720" w:right="720"/>
      </w:pPr>
      <w:r>
        <w:rPr>
          <w:rFonts w:ascii="Arial" w:cs="Arial" w:eastAsia="Arial" w:hAnsi="Arial"/>
          <w:i/>
          <w:iCs/>
          <w:color w:val="2E6DA4"/>
          <w:sz w:val="24"/>
          <w:szCs w:val="24"/>
        </w:rPr>
        <w:t xml:space="preserve">Velsanet does not replace the economy. It gives the economy a structural nervous system.</w:t>
      </w:r>
    </w:p>
    <w:p>
      <w:pPr>
        <w:pBdr>
          <w:bottom w:val="single" w:color="2E6DA4" w:sz="4" w:space="1"/>
        </w:pBdr>
        <w:spacing w:after="240" w:before="240"/>
      </w:pPr>
    </w:p>
    <w:p>
      <w:pPr>
        <w:pStyle w:val="Heading1"/>
        <w:spacing w:after="200" w:before="480"/>
      </w:pPr>
      <w:r>
        <w:rPr>
          <w:rFonts w:ascii="Arial" w:cs="Arial" w:eastAsia="Arial" w:hAnsi="Arial"/>
          <w:b/>
          <w:bCs/>
          <w:color w:val="1A3A5C"/>
          <w:sz w:val="34"/>
          <w:szCs w:val="34"/>
        </w:rPr>
        <w:t xml:space="preserve">Part II: The Three Layers — Roles, Markets, and Sovereignty</w:t>
      </w:r>
    </w:p>
    <w:p>
      <w:pPr>
        <w:pStyle w:val="Heading2"/>
        <w:spacing w:after="160" w:before="320"/>
      </w:pPr>
      <w:r>
        <w:rPr>
          <w:rFonts w:ascii="Arial" w:cs="Arial" w:eastAsia="Arial" w:hAnsi="Arial"/>
          <w:b/>
          <w:bCs/>
          <w:color w:val="2E6DA4"/>
          <w:sz w:val="26"/>
          <w:szCs w:val="26"/>
        </w:rPr>
        <w:t xml:space="preserve">2.1 PAI — The Cognitive Layer: Where Intent Originates</w:t>
      </w:r>
    </w:p>
    <w:p>
      <w:pPr>
        <w:spacing w:after="80" w:before="80"/>
      </w:pPr>
      <w:r>
        <w:rPr>
          <w:rFonts w:ascii="Arial" w:cs="Arial" w:eastAsia="Arial" w:hAnsi="Arial"/>
          <w:color w:val="222222"/>
          <w:sz w:val="22"/>
          <w:szCs w:val="22"/>
        </w:rPr>
        <w:t xml:space="preserve">PAI (Personal AI) is the layer of individual cognition. It is structurally embedded at the Octahedron (O8) node — the city-scale edge of the network, closest to the human being.</w:t>
      </w:r>
    </w:p>
    <w:p>
      <w:pPr>
        <w:spacing w:after="60" w:before="60"/>
      </w:pPr>
      <w:r>
        <w:t xml:space="preserve"/>
      </w:r>
    </w:p>
    <w:p>
      <w:pPr>
        <w:spacing w:after="80" w:before="80"/>
      </w:pPr>
      <w:r>
        <w:rPr>
          <w:rFonts w:ascii="Arial" w:cs="Arial" w:eastAsia="Arial" w:hAnsi="Arial"/>
          <w:color w:val="222222"/>
          <w:sz w:val="22"/>
          <w:szCs w:val="22"/>
        </w:rPr>
        <w:t xml:space="preserve">PAI does not execute. It does not judge. It does one thing: it understands.</w:t>
      </w:r>
    </w:p>
    <w:p>
      <w:pPr>
        <w:spacing w:after="60" w:before="60"/>
      </w:pPr>
      <w:r>
        <w:t xml:space="preserve"/>
      </w:r>
    </w:p>
    <w:p>
      <w:pPr>
        <w:spacing w:after="80" w:before="80"/>
      </w:pPr>
      <w:r>
        <w:rPr>
          <w:rFonts w:ascii="Arial" w:cs="Arial" w:eastAsia="Arial" w:hAnsi="Arial"/>
          <w:color w:val="222222"/>
          <w:sz w:val="22"/>
          <w:szCs w:val="22"/>
        </w:rPr>
        <w:t xml:space="preserve">Through the Cognition Cube system — SEU encapsulation, 8-channel multimodal decomposition, and T/C/I/E synthesis — PAI transforms raw human experience into a structured cognitive object. This object carries the intent of the individual: what they want, what they feel, what they mean.</w:t>
      </w:r>
    </w:p>
    <w:p>
      <w:pPr>
        <w:spacing w:after="60" w:before="60"/>
      </w:pPr>
      <w:r>
        <w:t xml:space="preserve"/>
      </w:r>
    </w:p>
    <w:p>
      <w:pPr>
        <w:spacing w:after="80" w:before="80"/>
      </w:pPr>
      <w:r>
        <w:rPr>
          <w:rFonts w:ascii="Arial" w:cs="Arial" w:eastAsia="Arial" w:hAnsi="Arial"/>
          <w:b/>
          <w:bCs/>
          <w:color w:val="1A3A5C"/>
          <w:sz w:val="22"/>
          <w:szCs w:val="22"/>
        </w:rPr>
        <w:t xml:space="preserve">PAI is the origin of all economic activity in the Velsanet economy.</w:t>
      </w:r>
    </w:p>
    <w:p>
      <w:pPr>
        <w:spacing w:after="60" w:before="60"/>
      </w:pPr>
      <w:r>
        <w:t xml:space="preserve"/>
      </w:r>
    </w:p>
    <w:p>
      <w:pPr>
        <w:spacing w:after="80" w:before="80"/>
      </w:pPr>
      <w:r>
        <w:rPr>
          <w:rFonts w:ascii="Arial" w:cs="Arial" w:eastAsia="Arial" w:hAnsi="Arial"/>
          <w:color w:val="222222"/>
          <w:sz w:val="22"/>
          <w:szCs w:val="22"/>
        </w:rPr>
        <w:t xml:space="preserve">Without PAI, there is no intent. Without intent, there is no transaction. The quality of PAI determines the quality of everything that follows.</w:t>
      </w:r>
    </w:p>
    <w:p>
      <w:pPr>
        <w:spacing w:after="60" w:before="60"/>
      </w:pPr>
      <w:r>
        <w:t xml:space="preserve"/>
      </w:r>
    </w:p>
    <w:p>
      <w:pPr>
        <w:spacing w:after="100" w:before="200"/>
      </w:pPr>
      <w:r>
        <w:rPr>
          <w:rFonts w:ascii="Arial" w:cs="Arial" w:eastAsia="Arial" w:hAnsi="Arial"/>
          <w:b/>
          <w:bCs/>
          <w:color w:val="1A3A5C"/>
          <w:sz w:val="24"/>
          <w:szCs w:val="24"/>
        </w:rPr>
        <w:t xml:space="preserve">The PAI Market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Dimension</w:t>
            </w:r>
          </w:p>
        </w:tc>
        <w:tc>
          <w:tcPr>
            <w:tcW w:type="dxa" w:w="6226"/>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What PAI providers sell</w:t>
            </w:r>
          </w:p>
        </w:tc>
        <w:tc>
          <w:tcPr>
            <w:tcW w:type="dxa" w:w="62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The ability to understand an individual better than competitors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How users choose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Accuracy of understanding, latency of cognition, domain specialization, privacy guarantee</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How users switch</w:t>
            </w:r>
          </w:p>
        </w:tc>
        <w:tc>
          <w:tcPr>
            <w:tcW w:type="dxa" w:w="62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Like changing a smartphone — structural interface is fixed, service is portable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Sovereignty</w:t>
            </w:r>
          </w:p>
        </w:tc>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PAI belongs to the individual. No state or corporation owns PAI output.</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Market examples</w:t>
            </w:r>
          </w:p>
        </w:tc>
        <w:tc>
          <w:tcPr>
            <w:tcW w:type="dxa" w:w="62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Consumer PAI (Apple, Samsung), Medical PAI (specialist), Enterprise PAI (B2B context), Cultural PAI (language/region aware)</w:t>
            </w:r>
          </w:p>
        </w:tc>
      </w:tr>
    </w:tbl>
    <w:p>
      <w:pPr>
        <w:spacing w:after="60" w:before="60"/>
      </w:pPr>
      <w:r>
        <w:t xml:space="preserve"/>
      </w:r>
    </w:p>
    <w:p>
      <w:pPr>
        <w:pStyle w:val="Heading2"/>
        <w:spacing w:after="160" w:before="320"/>
      </w:pPr>
      <w:r>
        <w:rPr>
          <w:rFonts w:ascii="Arial" w:cs="Arial" w:eastAsia="Arial" w:hAnsi="Arial"/>
          <w:b/>
          <w:bCs/>
          <w:color w:val="2E6DA4"/>
          <w:sz w:val="26"/>
          <w:szCs w:val="26"/>
        </w:rPr>
        <w:t xml:space="preserve">2.2 AAI — The Transaction Guardian: Where Intent Is Validated</w:t>
      </w:r>
    </w:p>
    <w:p>
      <w:pPr>
        <w:spacing w:after="80" w:before="80"/>
      </w:pPr>
      <w:r>
        <w:rPr>
          <w:rFonts w:ascii="Arial" w:cs="Arial" w:eastAsia="Arial" w:hAnsi="Arial"/>
          <w:color w:val="222222"/>
          <w:sz w:val="22"/>
          <w:szCs w:val="22"/>
        </w:rPr>
        <w:t xml:space="preserve">AAI (Agent AI) is the layer of interpretation, validation, and witness. It is structurally embedded at the Dodecahedron (D12) node — the regional coordination center of the network.</w:t>
      </w:r>
    </w:p>
    <w:p>
      <w:pPr>
        <w:spacing w:after="60" w:before="60"/>
      </w:pPr>
      <w:r>
        <w:t xml:space="preserve"/>
      </w:r>
    </w:p>
    <w:p>
      <w:pPr>
        <w:spacing w:after="80" w:before="80"/>
      </w:pPr>
      <w:r>
        <w:rPr>
          <w:rFonts w:ascii="Arial" w:cs="Arial" w:eastAsia="Arial" w:hAnsi="Arial"/>
          <w:color w:val="222222"/>
          <w:sz w:val="22"/>
          <w:szCs w:val="22"/>
        </w:rPr>
        <w:t xml:space="preserve">AAI receives the cognitive output of PAI and does something no prior AI architecture could do: it validates intent against the full weight of the applicable social order — law, government policy, regional consensus, and ethics — before anything is executed.</w:t>
      </w:r>
    </w:p>
    <w:p>
      <w:pPr>
        <w:spacing w:after="60" w:before="60"/>
      </w:pPr>
      <w:r>
        <w:t xml:space="preserve"/>
      </w:r>
    </w:p>
    <w:p>
      <w:pPr>
        <w:spacing w:after="80" w:before="80"/>
      </w:pPr>
      <w:r>
        <w:rPr>
          <w:rFonts w:ascii="Arial" w:cs="Arial" w:eastAsia="Arial" w:hAnsi="Arial"/>
          <w:color w:val="222222"/>
          <w:sz w:val="22"/>
          <w:szCs w:val="22"/>
        </w:rPr>
        <w:t xml:space="preserve">AAI is simultaneously three things:</w:t>
      </w:r>
    </w:p>
    <w:p>
      <w:pPr>
        <w:pStyle w:val="ListParagraph"/>
        <w:numPr>
          <w:ilvl w:val="0"/>
          <w:numId w:val="2"/>
        </w:numPr>
        <w:spacing w:after="60" w:before="60"/>
      </w:pPr>
      <w:r>
        <w:rPr>
          <w:rFonts w:ascii="Arial" w:cs="Arial" w:eastAsia="Arial" w:hAnsi="Arial"/>
          <w:b w:val="false"/>
          <w:bCs w:val="false"/>
          <w:sz w:val="22"/>
          <w:szCs w:val="22"/>
        </w:rPr>
        <w:t xml:space="preserve">Agent: it acts on behalf of the individual in translating intent into actionable form</w:t>
      </w:r>
    </w:p>
    <w:p>
      <w:pPr>
        <w:pStyle w:val="ListParagraph"/>
        <w:numPr>
          <w:ilvl w:val="0"/>
          <w:numId w:val="2"/>
        </w:numPr>
        <w:spacing w:after="60" w:before="60"/>
      </w:pPr>
      <w:r>
        <w:rPr>
          <w:rFonts w:ascii="Arial" w:cs="Arial" w:eastAsia="Arial" w:hAnsi="Arial"/>
          <w:b w:val="false"/>
          <w:bCs w:val="false"/>
          <w:sz w:val="22"/>
          <w:szCs w:val="22"/>
        </w:rPr>
        <w:t xml:space="preserve">Guardian: it protects the transaction from violation of applicable norms</w:t>
      </w:r>
    </w:p>
    <w:p>
      <w:pPr>
        <w:pStyle w:val="ListParagraph"/>
        <w:numPr>
          <w:ilvl w:val="0"/>
          <w:numId w:val="2"/>
        </w:numPr>
        <w:spacing w:after="60" w:before="60"/>
      </w:pPr>
      <w:r>
        <w:rPr>
          <w:rFonts w:ascii="Arial" w:cs="Arial" w:eastAsia="Arial" w:hAnsi="Arial"/>
          <w:b w:val="false"/>
          <w:bCs w:val="false"/>
          <w:sz w:val="22"/>
          <w:szCs w:val="22"/>
        </w:rPr>
        <w:t xml:space="preserve">Witness: it records the validation with structural immutability — creating an unimpeachable record</w:t>
      </w:r>
    </w:p>
    <w:p>
      <w:pPr>
        <w:spacing w:after="60" w:before="60"/>
      </w:pPr>
      <w:r>
        <w:t xml:space="preserve"/>
      </w:r>
    </w:p>
    <w:p>
      <w:pPr>
        <w:pBdr>
          <w:left w:val="single" w:color="2E6DA4" w:sz="6" w:space="8"/>
        </w:pBdr>
        <w:spacing w:after="160" w:before="160"/>
        <w:ind w:left="720" w:right="720"/>
      </w:pPr>
      <w:r>
        <w:rPr>
          <w:rFonts w:ascii="Arial" w:cs="Arial" w:eastAsia="Arial" w:hAnsi="Arial"/>
          <w:i/>
          <w:iCs/>
          <w:color w:val="2E6DA4"/>
          <w:sz w:val="24"/>
          <w:szCs w:val="24"/>
        </w:rPr>
        <w:t xml:space="preserve">A rule can be broken. An architectural impossibility cannot. AAI does not enforce rules — it encodes them as structural conditions of execution.</w:t>
      </w:r>
    </w:p>
    <w:p>
      <w:pPr>
        <w:spacing w:after="60" w:before="60"/>
      </w:pPr>
      <w:r>
        <w:t xml:space="preserve"/>
      </w:r>
    </w:p>
    <w:p>
      <w:pPr>
        <w:spacing w:after="100" w:before="200"/>
      </w:pPr>
      <w:r>
        <w:rPr>
          <w:rFonts w:ascii="Arial" w:cs="Arial" w:eastAsia="Arial" w:hAnsi="Arial"/>
          <w:b/>
          <w:bCs/>
          <w:color w:val="1A3A5C"/>
          <w:sz w:val="24"/>
          <w:szCs w:val="24"/>
        </w:rPr>
        <w:t xml:space="preserve">The Industries That Live Inside AAI</w:t>
      </w:r>
    </w:p>
    <w:p>
      <w:pPr>
        <w:spacing w:after="80" w:before="80"/>
      </w:pPr>
      <w:r>
        <w:rPr>
          <w:rFonts w:ascii="Arial" w:cs="Arial" w:eastAsia="Arial" w:hAnsi="Arial"/>
          <w:color w:val="222222"/>
          <w:sz w:val="22"/>
          <w:szCs w:val="22"/>
        </w:rPr>
        <w:t xml:space="preserve">AAI is not a technology layer in the conventional sense. It is the structural home of entire industries that currently exist outside the network:</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rPr>
          <w:tblHeader/>
        </w:trPr>
        <w:tc>
          <w:tcPr>
            <w:tcW w:type="dxa" w:w="20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Industry</w:t>
            </w:r>
          </w:p>
        </w:tc>
        <w:tc>
          <w:tcPr>
            <w:tcW w:type="dxa" w:w="35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Current Form</w:t>
            </w:r>
          </w:p>
        </w:tc>
        <w:tc>
          <w:tcPr>
            <w:tcW w:type="dxa" w:w="35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AAI Form</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Law</w:t>
            </w:r>
          </w:p>
        </w:tc>
        <w:tc>
          <w:tcPr>
            <w:tcW w:type="dxa" w:w="35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Lawyers, courts, contracts</w:t>
            </w:r>
          </w:p>
        </w:tc>
        <w:tc>
          <w:tcPr>
            <w:tcW w:type="dxa" w:w="35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Structural legal validation before execution — jurisdiction-native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Government Policy</w:t>
            </w:r>
          </w:p>
        </w:tc>
        <w:tc>
          <w:tcPr>
            <w:tcW w:type="dxa" w:w="3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Regulations, permits, approvals</w:t>
            </w:r>
          </w:p>
        </w:tc>
        <w:tc>
          <w:tcPr>
            <w:tcW w:type="dxa" w:w="3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Policy-encoded structural gates — automatic, auditable, sovereign</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Regional Consensus</w:t>
            </w:r>
          </w:p>
        </w:tc>
        <w:tc>
          <w:tcPr>
            <w:tcW w:type="dxa" w:w="35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Cultural norms, community standards</w:t>
            </w:r>
          </w:p>
        </w:tc>
        <w:tc>
          <w:tcPr>
            <w:tcW w:type="dxa" w:w="35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Locally-weighted validation parameters — culturally adaptive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Ethics</w:t>
            </w:r>
          </w:p>
        </w:tc>
        <w:tc>
          <w:tcPr>
            <w:tcW w:type="dxa" w:w="3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AI ethics boards, declarations</w:t>
            </w:r>
          </w:p>
        </w:tc>
        <w:tc>
          <w:tcPr>
            <w:tcW w:type="dxa" w:w="3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Ethical constraints as structural invariants — not declarations</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Finance</w:t>
            </w:r>
          </w:p>
        </w:tc>
        <w:tc>
          <w:tcPr>
            <w:tcW w:type="dxa" w:w="35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Banks, credit agencies, auditors</w:t>
            </w:r>
          </w:p>
        </w:tc>
        <w:tc>
          <w:tcPr>
            <w:tcW w:type="dxa" w:w="35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Structural financial validation — real-time, cross-border, tamper-proof</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Insurance</w:t>
            </w:r>
          </w:p>
        </w:tc>
        <w:tc>
          <w:tcPr>
            <w:tcW w:type="dxa" w:w="3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Underwriters, actuaries, claims</w:t>
            </w:r>
          </w:p>
        </w:tc>
        <w:tc>
          <w:tcPr>
            <w:tcW w:type="dxa" w:w="3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Structural risk encoding — automatic trigger, structural payout</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Compliance</w:t>
            </w:r>
          </w:p>
        </w:tc>
        <w:tc>
          <w:tcPr>
            <w:tcW w:type="dxa" w:w="35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Compliance officers, audits</w:t>
            </w:r>
          </w:p>
        </w:tc>
        <w:tc>
          <w:tcPr>
            <w:tcW w:type="dxa" w:w="35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Continuous structural compliance — no periodic audit required</w:t>
            </w:r>
          </w:p>
        </w:tc>
      </w:tr>
    </w:tbl>
    <w:p>
      <w:pPr>
        <w:spacing w:after="60" w:before="60"/>
      </w:pPr>
      <w:r>
        <w:t xml:space="preserve"/>
      </w:r>
    </w:p>
    <w:p>
      <w:pPr>
        <w:spacing w:after="100" w:before="200"/>
      </w:pPr>
      <w:r>
        <w:rPr>
          <w:rFonts w:ascii="Arial" w:cs="Arial" w:eastAsia="Arial" w:hAnsi="Arial"/>
          <w:b/>
          <w:bCs/>
          <w:color w:val="1A3A5C"/>
          <w:sz w:val="24"/>
          <w:szCs w:val="24"/>
        </w:rPr>
        <w:t xml:space="preserve">The AAI Market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Dimension</w:t>
            </w:r>
          </w:p>
        </w:tc>
        <w:tc>
          <w:tcPr>
            <w:tcW w:type="dxa" w:w="6226"/>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What AAI providers sell</w:t>
            </w:r>
          </w:p>
        </w:tc>
        <w:tc>
          <w:tcPr>
            <w:tcW w:type="dxa" w:w="62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Trust. The guarantee that a transaction has been properly validated.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How users choose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Jurisdiction coverage, domain specialization, speed of validation, trust record as witness</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How users switch</w:t>
            </w:r>
          </w:p>
        </w:tc>
        <w:tc>
          <w:tcPr>
            <w:tcW w:type="dxa" w:w="62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Like changing a law firm or compliance provider — structural position fixed, service portable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Sovereignty</w:t>
            </w:r>
          </w:p>
        </w:tc>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AAI is regionally sovereign — different AAI providers for different jurisdictions</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Market examples</w:t>
            </w:r>
          </w:p>
        </w:tc>
        <w:tc>
          <w:tcPr>
            <w:tcW w:type="dxa" w:w="62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National AAI (government-anchored), Sector AAI (healthcare, finance, legal), Cross-border AAI (multi-jurisdiction broker), Ethics AAI (AI governance specialist)</w:t>
            </w:r>
          </w:p>
        </w:tc>
      </w:tr>
    </w:tbl>
    <w:p>
      <w:pPr>
        <w:spacing w:after="60" w:before="60"/>
      </w:pPr>
      <w:r>
        <w:t xml:space="preserve"/>
      </w:r>
    </w:p>
    <w:p>
      <w:pPr>
        <w:pStyle w:val="Heading2"/>
        <w:spacing w:after="160" w:before="320"/>
      </w:pPr>
      <w:r>
        <w:rPr>
          <w:rFonts w:ascii="Arial" w:cs="Arial" w:eastAsia="Arial" w:hAnsi="Arial"/>
          <w:b/>
          <w:bCs/>
          <w:color w:val="2E6DA4"/>
          <w:sz w:val="26"/>
          <w:szCs w:val="26"/>
        </w:rPr>
        <w:t xml:space="preserve">2.3 AsAI — The Execution Layer: Where Intent Becomes Reality</w:t>
      </w:r>
    </w:p>
    <w:p>
      <w:pPr>
        <w:spacing w:after="80" w:before="80"/>
      </w:pPr>
      <w:r>
        <w:rPr>
          <w:rFonts w:ascii="Arial" w:cs="Arial" w:eastAsia="Arial" w:hAnsi="Arial"/>
          <w:color w:val="222222"/>
          <w:sz w:val="22"/>
          <w:szCs w:val="22"/>
        </w:rPr>
        <w:t xml:space="preserve">AsAI (Assistant AI) is the layer of execution. It is structurally embedded at the Icosahedron (I20) node — the national and global scale of the network.</w:t>
      </w:r>
    </w:p>
    <w:p>
      <w:pPr>
        <w:spacing w:after="60" w:before="60"/>
      </w:pPr>
      <w:r>
        <w:t xml:space="preserve"/>
      </w:r>
    </w:p>
    <w:p>
      <w:pPr>
        <w:spacing w:after="80" w:before="80"/>
      </w:pPr>
      <w:r>
        <w:rPr>
          <w:rFonts w:ascii="Arial" w:cs="Arial" w:eastAsia="Arial" w:hAnsi="Arial"/>
          <w:color w:val="222222"/>
          <w:sz w:val="22"/>
          <w:szCs w:val="22"/>
        </w:rPr>
        <w:t xml:space="preserve">AsAI has one structural constraint that makes it safe: it executes only what AAI has authorized. There is no direct path from PAI to AsAI. No individual intent, no matter how urgent, reaches execution without passing through AAI validation. This is not a policy rule. It is an architectural impossibility.</w:t>
      </w:r>
    </w:p>
    <w:p>
      <w:pPr>
        <w:spacing w:after="60" w:before="60"/>
      </w:pPr>
      <w:r>
        <w:t xml:space="preserve"/>
      </w:r>
    </w:p>
    <w:p>
      <w:pPr>
        <w:spacing w:after="80" w:before="80"/>
      </w:pPr>
      <w:r>
        <w:rPr>
          <w:rFonts w:ascii="Arial" w:cs="Arial" w:eastAsia="Arial" w:hAnsi="Arial"/>
          <w:color w:val="222222"/>
          <w:sz w:val="22"/>
          <w:szCs w:val="22"/>
        </w:rPr>
        <w:t xml:space="preserve">AsAI operates at infrastructure scale. It coordinates cross-domain operations, manages long-range path optimization, and ensures global structural governance compliance. It is the most powerful layer — and therefore the most constrained.</w:t>
      </w:r>
    </w:p>
    <w:p>
      <w:pPr>
        <w:spacing w:after="60" w:before="60"/>
      </w:pPr>
      <w:r>
        <w:t xml:space="preserve"/>
      </w:r>
    </w:p>
    <w:p>
      <w:pPr>
        <w:pBdr>
          <w:left w:val="single" w:color="2E6DA4" w:sz="6" w:space="8"/>
        </w:pBdr>
        <w:spacing w:after="160" w:before="160"/>
        <w:ind w:left="720" w:right="720"/>
      </w:pPr>
      <w:r>
        <w:rPr>
          <w:rFonts w:ascii="Arial" w:cs="Arial" w:eastAsia="Arial" w:hAnsi="Arial"/>
          <w:i/>
          <w:iCs/>
          <w:color w:val="2E6DA4"/>
          <w:sz w:val="24"/>
          <w:szCs w:val="24"/>
        </w:rPr>
        <w:t xml:space="preserve">The most powerful layer is the least free. This is a civilizational safety mechanism.</w:t>
      </w:r>
    </w:p>
    <w:p>
      <w:pPr>
        <w:spacing w:after="60" w:before="60"/>
      </w:pPr>
      <w:r>
        <w:t xml:space="preserve"/>
      </w:r>
    </w:p>
    <w:p>
      <w:pPr>
        <w:spacing w:after="100" w:before="200"/>
      </w:pPr>
      <w:r>
        <w:rPr>
          <w:rFonts w:ascii="Arial" w:cs="Arial" w:eastAsia="Arial" w:hAnsi="Arial"/>
          <w:b/>
          <w:bCs/>
          <w:color w:val="1A3A5C"/>
          <w:sz w:val="24"/>
          <w:szCs w:val="24"/>
        </w:rPr>
        <w:t xml:space="preserve">The AsAI Market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Dimension</w:t>
            </w:r>
          </w:p>
        </w:tc>
        <w:tc>
          <w:tcPr>
            <w:tcW w:type="dxa" w:w="6226"/>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What AsAI providers sell</w:t>
            </w:r>
          </w:p>
        </w:tc>
        <w:tc>
          <w:tcPr>
            <w:tcW w:type="dxa" w:w="62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Execution capacity, speed, reliability, and cross-domain reach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How users choose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Execution performance, structural conformance record, geographic coverage, sector specialization</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How users switch</w:t>
            </w:r>
          </w:p>
        </w:tc>
        <w:tc>
          <w:tcPr>
            <w:tcW w:type="dxa" w:w="62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Like changing a cloud infrastructure provider — standardized interface, competitive execution engines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Sovereignty</w:t>
            </w:r>
          </w:p>
        </w:tc>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AsAI operates within Q4 national boundaries — cross-border execution requires structural authorization</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Market examples</w:t>
            </w:r>
          </w:p>
        </w:tc>
        <w:tc>
          <w:tcPr>
            <w:tcW w:type="dxa" w:w="62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National AsAI (sovereign infrastructure), Global AsAI (cross-border execution), Sector AsAI (healthcare, logistics, finance), AI Infrastructure Exchange (capacity marketplace)</w:t>
            </w:r>
          </w:p>
        </w:tc>
      </w:tr>
    </w:tbl>
    <w:p>
      <w:pPr>
        <w:pBdr>
          <w:bottom w:val="single" w:color="2E6DA4" w:sz="4" w:space="1"/>
        </w:pBdr>
        <w:spacing w:after="240" w:before="240"/>
      </w:pPr>
    </w:p>
    <w:p>
      <w:pPr>
        <w:pStyle w:val="Heading1"/>
        <w:spacing w:after="200" w:before="480"/>
      </w:pPr>
      <w:r>
        <w:rPr>
          <w:rFonts w:ascii="Arial" w:cs="Arial" w:eastAsia="Arial" w:hAnsi="Arial"/>
          <w:b/>
          <w:bCs/>
          <w:color w:val="1A3A5C"/>
          <w:sz w:val="34"/>
          <w:szCs w:val="34"/>
        </w:rPr>
        <w:t xml:space="preserve">Part III: Sovereignty — Why This Economy Cannot Be Centralized</w:t>
      </w:r>
    </w:p>
    <w:p>
      <w:pPr>
        <w:pStyle w:val="Heading2"/>
        <w:spacing w:after="160" w:before="320"/>
      </w:pPr>
      <w:r>
        <w:rPr>
          <w:rFonts w:ascii="Arial" w:cs="Arial" w:eastAsia="Arial" w:hAnsi="Arial"/>
          <w:b/>
          <w:bCs/>
          <w:color w:val="2E6DA4"/>
          <w:sz w:val="26"/>
          <w:szCs w:val="26"/>
        </w:rPr>
        <w:t xml:space="preserve">3.1 The Three Levels of Sovereignty</w:t>
      </w:r>
    </w:p>
    <w:p>
      <w:pPr>
        <w:spacing w:after="80" w:before="80"/>
      </w:pPr>
      <w:r>
        <w:rPr>
          <w:rFonts w:ascii="Arial" w:cs="Arial" w:eastAsia="Arial" w:hAnsi="Arial"/>
          <w:color w:val="222222"/>
          <w:sz w:val="22"/>
          <w:szCs w:val="22"/>
        </w:rPr>
        <w:t xml:space="preserve">Sovereignty in the Velsanet economy is not a political assertion. It is a structural property, encoded at three levels simultaneously:</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26"/>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Level</w:t>
            </w:r>
          </w:p>
        </w:tc>
        <w:tc>
          <w:tcPr>
            <w:tcW w:type="dxa" w:w="18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4826"/>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What It Means</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Personal Sovereignty</w:t>
            </w:r>
          </w:p>
        </w:tc>
        <w:tc>
          <w:tcPr>
            <w:tcW w:type="dxa" w:w="1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PAI</w:t>
            </w:r>
          </w:p>
        </w:tc>
        <w:tc>
          <w:tcPr>
            <w:tcW w:type="dxa" w:w="48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Intent originates with the individual. No state or corporation owns the cognitive output of a person.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Regional Sovereignty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AAI</w:t>
            </w:r>
          </w:p>
        </w:tc>
        <w:tc>
          <w:tcPr>
            <w:tcW w:type="dxa" w:w="4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Validation is performed under the applicable local law, policy, and consensus. A Korean AAI applies Korean law. An EU AAI applies GDPR. These are not settings — they are structural.</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National Sovereignty</w:t>
            </w:r>
          </w:p>
        </w:tc>
        <w:tc>
          <w:tcPr>
            <w:tcW w:type="dxa" w:w="1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AsAI + Q4</w:t>
            </w:r>
          </w:p>
        </w:tc>
        <w:tc>
          <w:tcPr>
            <w:tcW w:type="dxa" w:w="48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Cross-national execution requires structural authorization at the Q4 layer. This cannot be bypassed by software, policy, or commercial pressure. It is architectural.</w:t>
            </w:r>
          </w:p>
        </w:tc>
      </w:tr>
    </w:tbl>
    <w:p>
      <w:pPr>
        <w:spacing w:after="60" w:before="60"/>
      </w:pPr>
      <w:r>
        <w:t xml:space="preserve"/>
      </w:r>
    </w:p>
    <w:p>
      <w:pPr>
        <w:pStyle w:val="Heading2"/>
        <w:spacing w:after="160" w:before="320"/>
      </w:pPr>
      <w:r>
        <w:rPr>
          <w:rFonts w:ascii="Arial" w:cs="Arial" w:eastAsia="Arial" w:hAnsi="Arial"/>
          <w:b/>
          <w:bCs/>
          <w:color w:val="2E6DA4"/>
          <w:sz w:val="26"/>
          <w:szCs w:val="26"/>
        </w:rPr>
        <w:t xml:space="preserve">3.2 The Q-Layer Governance Hierarchy</w:t>
      </w:r>
    </w:p>
    <w:p>
      <w:pPr>
        <w:spacing w:after="80" w:before="80"/>
      </w:pPr>
      <w:r>
        <w:rPr>
          <w:rFonts w:ascii="Arial" w:cs="Arial" w:eastAsia="Arial" w:hAnsi="Arial"/>
          <w:color w:val="222222"/>
          <w:sz w:val="22"/>
          <w:szCs w:val="22"/>
        </w:rPr>
        <w:t xml:space="preserve">Velsanet's governance is organized through a Q7 hypercube projection hierarchy. This is not a command structure — it is a structural projection system in which higher layers set invariants that lower layers cannot violate.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026"/>
      </w:tblGrid>
      <w:tr>
        <w:trPr>
          <w:tblHeader/>
        </w:trPr>
        <w:tc>
          <w:tcPr>
            <w:tcW w:type="dxa" w:w="12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Q Layer</w:t>
            </w:r>
          </w:p>
        </w:tc>
        <w:tc>
          <w:tcPr>
            <w:tcW w:type="dxa" w:w="18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Scale</w:t>
            </w:r>
          </w:p>
        </w:tc>
        <w:tc>
          <w:tcPr>
            <w:tcW w:type="dxa" w:w="6026"/>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Governance Function</w:t>
            </w:r>
          </w:p>
        </w:tc>
      </w:tr>
      <w:tr>
        <w:tc>
          <w:tcPr>
            <w:tcW w:type="dxa" w:w="1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Q2</w:t>
            </w:r>
          </w:p>
        </w:tc>
        <w:tc>
          <w:tcPr>
            <w:tcW w:type="dxa" w:w="1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Global</w:t>
            </w:r>
          </w:p>
        </w:tc>
        <w:tc>
          <w:tcPr>
            <w:tcW w:type="dxa" w:w="60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Inter-continental coordination. No command authority — structural alignment only.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Q3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Continental</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Regional bloc coordination (e.g., EU, ASEAN, AU). Continental structural consistency.</w:t>
            </w:r>
          </w:p>
        </w:tc>
      </w:tr>
      <w:tr>
        <w:tc>
          <w:tcPr>
            <w:tcW w:type="dxa" w:w="1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Q4</w:t>
            </w:r>
          </w:p>
        </w:tc>
        <w:tc>
          <w:tcPr>
            <w:tcW w:type="dxa" w:w="1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National ★</w:t>
            </w:r>
          </w:p>
        </w:tc>
        <w:tc>
          <w:tcPr>
            <w:tcW w:type="dxa" w:w="60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Sovereign boundary. Cross-Q4 requires structural authorization. National law encoded here.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Q5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Regional</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Sub-national administrative domains. State, province, prefecture-level governance.</w:t>
            </w:r>
          </w:p>
        </w:tc>
      </w:tr>
      <w:tr>
        <w:tc>
          <w:tcPr>
            <w:tcW w:type="dxa" w:w="1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Q6</w:t>
            </w:r>
          </w:p>
        </w:tc>
        <w:tc>
          <w:tcPr>
            <w:tcW w:type="dxa" w:w="1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City</w:t>
            </w:r>
          </w:p>
        </w:tc>
        <w:tc>
          <w:tcPr>
            <w:tcW w:type="dxa" w:w="60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Urban network management. Municipal policy encoded structurally.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Q7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District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Local operation. Neighborhood-scale execution and sensing.</w:t>
            </w:r>
          </w:p>
        </w:tc>
      </w:tr>
    </w:tbl>
    <w:p>
      <w:pPr>
        <w:spacing w:after="60" w:before="60"/>
      </w:pPr>
      <w:r>
        <w:t xml:space="preserve"/>
      </w:r>
    </w:p>
    <w:p>
      <w:pPr>
        <w:spacing w:after="80" w:before="80"/>
      </w:pPr>
      <w:r>
        <w:rPr>
          <w:rFonts w:ascii="Arial" w:cs="Arial" w:eastAsia="Arial" w:hAnsi="Arial"/>
          <w:color w:val="222222"/>
          <w:sz w:val="22"/>
          <w:szCs w:val="22"/>
        </w:rPr>
        <w:t xml:space="preserve">The critical insight: Q4 is the minimal sovereign unit. Everything above Q4 is coordination. Everything below Q4 is execution. Sovereignty is preserved because Q4 cannot be bypassed by either higher or lower layers.</w:t>
      </w:r>
    </w:p>
    <w:p>
      <w:pPr>
        <w:spacing w:after="60" w:before="60"/>
      </w:pPr>
      <w:r>
        <w:t xml:space="preserve"/>
      </w:r>
    </w:p>
    <w:p>
      <w:pPr>
        <w:pStyle w:val="Heading2"/>
        <w:spacing w:after="160" w:before="320"/>
      </w:pPr>
      <w:r>
        <w:rPr>
          <w:rFonts w:ascii="Arial" w:cs="Arial" w:eastAsia="Arial" w:hAnsi="Arial"/>
          <w:b/>
          <w:bCs/>
          <w:color w:val="2E6DA4"/>
          <w:sz w:val="26"/>
          <w:szCs w:val="26"/>
        </w:rPr>
        <w:t xml:space="preserve">3.3 Why Centralization Is Architecturally Impossible</w:t>
      </w:r>
    </w:p>
    <w:p>
      <w:pPr>
        <w:spacing w:after="80" w:before="80"/>
      </w:pPr>
      <w:r>
        <w:rPr>
          <w:rFonts w:ascii="Arial" w:cs="Arial" w:eastAsia="Arial" w:hAnsi="Arial"/>
          <w:color w:val="222222"/>
          <w:sz w:val="22"/>
          <w:szCs w:val="22"/>
        </w:rPr>
        <w:t xml:space="preserve">In every prior network architecture, centralization was a risk to be managed through policy, regulation, or antitrust law. In Velsanet, centralization is architecturally impossible for the following structural reasons:</w:t>
      </w:r>
    </w:p>
    <w:p>
      <w:pPr>
        <w:spacing w:after="60" w:before="60"/>
      </w:pPr>
      <w:r>
        <w:t xml:space="preserve"/>
      </w:r>
    </w:p>
    <w:p>
      <w:pPr>
        <w:pStyle w:val="ListParagraph"/>
        <w:numPr>
          <w:ilvl w:val="0"/>
          <w:numId w:val="2"/>
        </w:numPr>
        <w:spacing w:after="60" w:before="60"/>
      </w:pPr>
      <w:r>
        <w:rPr>
          <w:rFonts w:ascii="Arial" w:cs="Arial" w:eastAsia="Arial" w:hAnsi="Arial"/>
          <w:b w:val="false"/>
          <w:bCs w:val="false"/>
          <w:sz w:val="22"/>
          <w:szCs w:val="22"/>
        </w:rPr>
        <w:t xml:space="preserve">No single entity controls PAI output — individual sovereignty is structural</w:t>
      </w:r>
    </w:p>
    <w:p>
      <w:pPr>
        <w:pStyle w:val="ListParagraph"/>
        <w:numPr>
          <w:ilvl w:val="0"/>
          <w:numId w:val="2"/>
        </w:numPr>
        <w:spacing w:after="60" w:before="60"/>
      </w:pPr>
      <w:r>
        <w:rPr>
          <w:rFonts w:ascii="Arial" w:cs="Arial" w:eastAsia="Arial" w:hAnsi="Arial"/>
          <w:b w:val="false"/>
          <w:bCs w:val="false"/>
          <w:sz w:val="22"/>
          <w:szCs w:val="22"/>
        </w:rPr>
        <w:t xml:space="preserve">No single AAI can validate across all jurisdictions — regional sovereignty fragments the validation market</w:t>
      </w:r>
    </w:p>
    <w:p>
      <w:pPr>
        <w:pStyle w:val="ListParagraph"/>
        <w:numPr>
          <w:ilvl w:val="0"/>
          <w:numId w:val="2"/>
        </w:numPr>
        <w:spacing w:after="60" w:before="60"/>
      </w:pPr>
      <w:r>
        <w:rPr>
          <w:rFonts w:ascii="Arial" w:cs="Arial" w:eastAsia="Arial" w:hAnsi="Arial"/>
          <w:b w:val="false"/>
          <w:bCs w:val="false"/>
          <w:sz w:val="22"/>
          <w:szCs w:val="22"/>
        </w:rPr>
        <w:t xml:space="preserve">No single AsAI can execute across Q4 boundaries without authorization — national sovereignty fragments the execution market</w:t>
      </w:r>
    </w:p>
    <w:p>
      <w:pPr>
        <w:pStyle w:val="ListParagraph"/>
        <w:numPr>
          <w:ilvl w:val="0"/>
          <w:numId w:val="2"/>
        </w:numPr>
        <w:spacing w:after="60" w:before="60"/>
      </w:pPr>
      <w:r>
        <w:rPr>
          <w:rFonts w:ascii="Arial" w:cs="Arial" w:eastAsia="Arial" w:hAnsi="Arial"/>
          <w:b w:val="false"/>
          <w:bCs w:val="false"/>
          <w:sz w:val="22"/>
          <w:szCs w:val="22"/>
        </w:rPr>
        <w:t xml:space="preserve">Q7 hypercube bisection bandwidth of 64 means no single point of failure or control exists at any layer</w:t>
      </w:r>
    </w:p>
    <w:p>
      <w:pPr>
        <w:pStyle w:val="ListParagraph"/>
        <w:numPr>
          <w:ilvl w:val="0"/>
          <w:numId w:val="2"/>
        </w:numPr>
        <w:spacing w:after="60" w:before="60"/>
      </w:pPr>
      <w:r>
        <w:rPr>
          <w:rFonts w:ascii="Arial" w:cs="Arial" w:eastAsia="Arial" w:hAnsi="Arial"/>
          <w:b w:val="false"/>
          <w:bCs w:val="false"/>
          <w:sz w:val="22"/>
          <w:szCs w:val="22"/>
        </w:rPr>
        <w:t xml:space="preserve">Data possession does not grant execution authority — the CSPE separation ensures no monopoly over both data and action</w:t>
      </w:r>
    </w:p>
    <w:p>
      <w:pPr>
        <w:spacing w:after="60" w:before="60"/>
      </w:pPr>
      <w:r>
        <w:t xml:space="preserve"/>
      </w:r>
    </w:p>
    <w:p>
      <w:pPr>
        <w:pBdr>
          <w:left w:val="single" w:color="2E6DA4" w:sz="6" w:space="8"/>
        </w:pBdr>
        <w:spacing w:after="160" w:before="160"/>
        <w:ind w:left="720" w:right="720"/>
      </w:pPr>
      <w:r>
        <w:rPr>
          <w:rFonts w:ascii="Arial" w:cs="Arial" w:eastAsia="Arial" w:hAnsi="Arial"/>
          <w:i/>
          <w:iCs/>
          <w:color w:val="2E6DA4"/>
          <w:sz w:val="24"/>
          <w:szCs w:val="24"/>
        </w:rPr>
        <w:t xml:space="preserve">This is not governance by regulation. This is governance by geometry.</w:t>
      </w:r>
    </w:p>
    <w:p>
      <w:pPr>
        <w:pBdr>
          <w:bottom w:val="single" w:color="2E6DA4" w:sz="4" w:space="1"/>
        </w:pBdr>
        <w:spacing w:after="240" w:before="240"/>
      </w:pPr>
    </w:p>
    <w:p>
      <w:pPr>
        <w:pStyle w:val="Heading1"/>
        <w:spacing w:after="200" w:before="480"/>
      </w:pPr>
      <w:r>
        <w:rPr>
          <w:rFonts w:ascii="Arial" w:cs="Arial" w:eastAsia="Arial" w:hAnsi="Arial"/>
          <w:b/>
          <w:bCs/>
          <w:color w:val="1A3A5C"/>
          <w:sz w:val="34"/>
          <w:szCs w:val="34"/>
        </w:rPr>
        <w:t xml:space="preserve">Part IV: The Market Combinations — Every Economic Relationship</w:t>
      </w:r>
    </w:p>
    <w:p>
      <w:pPr>
        <w:pStyle w:val="Heading2"/>
        <w:spacing w:after="160" w:before="320"/>
      </w:pPr>
      <w:r>
        <w:rPr>
          <w:rFonts w:ascii="Arial" w:cs="Arial" w:eastAsia="Arial" w:hAnsi="Arial"/>
          <w:b/>
          <w:bCs/>
          <w:color w:val="2E6DA4"/>
          <w:sz w:val="26"/>
          <w:szCs w:val="26"/>
        </w:rPr>
        <w:t xml:space="preserve">4.1 The Complete Transaction Taxonomy</w:t>
      </w:r>
    </w:p>
    <w:p>
      <w:pPr>
        <w:spacing w:after="80" w:before="80"/>
      </w:pPr>
      <w:r>
        <w:rPr>
          <w:rFonts w:ascii="Arial" w:cs="Arial" w:eastAsia="Arial" w:hAnsi="Arial"/>
          <w:color w:val="222222"/>
          <w:sz w:val="22"/>
          <w:szCs w:val="22"/>
        </w:rPr>
        <w:t xml:space="preserve">Because PAI, AAI, and AsAI are independently competitive and structurally composable, every economic relationship that exists in the current economy — and many that do not yet exist — can be expressed as a combination of these layers.</w:t>
      </w:r>
    </w:p>
    <w:p>
      <w:pPr>
        <w:spacing w:after="60" w:before="60"/>
      </w:pPr>
      <w:r>
        <w:t xml:space="preserve"/>
      </w:r>
    </w:p>
    <w:p>
      <w:pPr>
        <w:pStyle w:val="Heading2"/>
        <w:spacing w:after="160" w:before="320"/>
      </w:pPr>
      <w:r>
        <w:rPr>
          <w:rFonts w:ascii="Arial" w:cs="Arial" w:eastAsia="Arial" w:hAnsi="Arial"/>
          <w:b/>
          <w:bCs/>
          <w:color w:val="2E6DA4"/>
          <w:sz w:val="26"/>
          <w:szCs w:val="26"/>
        </w:rPr>
        <w:t xml:space="preserve">4.2 P2P — Person to Person</w:t>
      </w:r>
    </w:p>
    <w:p>
      <w:pPr>
        <w:spacing w:after="80" w:before="80"/>
      </w:pPr>
      <w:r>
        <w:rPr>
          <w:rFonts w:ascii="Arial" w:cs="Arial" w:eastAsia="Arial" w:hAnsi="Arial"/>
          <w:b/>
          <w:bCs/>
          <w:color w:val="1A3A5C"/>
          <w:sz w:val="22"/>
          <w:szCs w:val="22"/>
        </w:rPr>
        <w:t xml:space="preserve">Structure: PAI → AAI → AsAI ↔ AsAI ← AAI ← PAI</w:t>
      </w:r>
    </w:p>
    <w:p>
      <w:pPr>
        <w:spacing w:after="60" w:before="60"/>
      </w:pPr>
      <w:r>
        <w:t xml:space="preserve"/>
      </w:r>
    </w:p>
    <w:p>
      <w:pPr>
        <w:spacing w:after="80" w:before="80"/>
      </w:pPr>
      <w:r>
        <w:rPr>
          <w:rFonts w:ascii="Arial" w:cs="Arial" w:eastAsia="Arial" w:hAnsi="Arial"/>
          <w:color w:val="222222"/>
          <w:sz w:val="22"/>
          <w:szCs w:val="22"/>
        </w:rPr>
        <w:t xml:space="preserve">The simplest transaction: one individual's intent, validated, executed, received by another individual.</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Example</w:t>
            </w:r>
          </w:p>
        </w:tc>
        <w:tc>
          <w:tcPr>
            <w:tcW w:type="dxa" w:w="6426"/>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What Happens Structurally</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Real estate contract</w:t>
            </w:r>
          </w:p>
        </w:tc>
        <w:tc>
          <w:tcPr>
            <w:tcW w:type="dxa" w:w="64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Both PAIs generate intent. Both AAIs validate under property law. AsAI executes transfer and registration simultaneously. Forgery and repudiation are structurally impossible.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Personal loan</w:t>
            </w:r>
          </w:p>
        </w:tc>
        <w:tc>
          <w:tcPr>
            <w:tcW w:type="dxa" w:w="6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PAI of borrower generates intent. AAI validates creditworthiness, legal capacity, and consent. AsAI executes disbursement. No bank intermediary required.</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Healthcare consent</w:t>
            </w:r>
          </w:p>
        </w:tc>
        <w:tc>
          <w:tcPr>
            <w:tcW w:type="dxa" w:w="64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Patient PAI generates informed consent. Medical AAI validates under healthcare ethics and law. AsAI executes the authorized procedure record.</w:t>
            </w:r>
          </w:p>
        </w:tc>
      </w:tr>
    </w:tbl>
    <w:p>
      <w:pPr>
        <w:spacing w:after="60" w:before="60"/>
      </w:pPr>
      <w:r>
        <w:t xml:space="preserve"/>
      </w:r>
    </w:p>
    <w:p>
      <w:pPr>
        <w:pStyle w:val="Heading2"/>
        <w:spacing w:after="160" w:before="320"/>
      </w:pPr>
      <w:r>
        <w:rPr>
          <w:rFonts w:ascii="Arial" w:cs="Arial" w:eastAsia="Arial" w:hAnsi="Arial"/>
          <w:b/>
          <w:bCs/>
          <w:color w:val="2E6DA4"/>
          <w:sz w:val="26"/>
          <w:szCs w:val="26"/>
        </w:rPr>
        <w:t xml:space="preserve">4.3 B2B — Business to Business</w:t>
      </w:r>
    </w:p>
    <w:p>
      <w:pPr>
        <w:spacing w:after="80" w:before="80"/>
      </w:pPr>
      <w:r>
        <w:rPr>
          <w:rFonts w:ascii="Arial" w:cs="Arial" w:eastAsia="Arial" w:hAnsi="Arial"/>
          <w:b/>
          <w:bCs/>
          <w:color w:val="1A3A5C"/>
          <w:sz w:val="22"/>
          <w:szCs w:val="22"/>
        </w:rPr>
        <w:t xml:space="preserve">Structure: AsAI(A) — AAI(A) ↔ AAI(B) — AsAI(B)</w:t>
      </w:r>
    </w:p>
    <w:p>
      <w:pPr>
        <w:spacing w:after="60" w:before="60"/>
      </w:pPr>
      <w:r>
        <w:t xml:space="preserve"/>
      </w:r>
    </w:p>
    <w:p>
      <w:pPr>
        <w:spacing w:after="80" w:before="80"/>
      </w:pPr>
      <w:r>
        <w:rPr>
          <w:rFonts w:ascii="Arial" w:cs="Arial" w:eastAsia="Arial" w:hAnsi="Arial"/>
          <w:color w:val="222222"/>
          <w:sz w:val="22"/>
          <w:szCs w:val="22"/>
        </w:rPr>
        <w:t xml:space="preserve">Both entities' Transaction Guardians must reach mutual structural validation before either AsAI executes. This creates a bilateral trust mechanism with no central intermediary.</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Example</w:t>
            </w:r>
          </w:p>
        </w:tc>
        <w:tc>
          <w:tcPr>
            <w:tcW w:type="dxa" w:w="6426"/>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What Happens Structurally</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Cross-border supply chain</w:t>
            </w:r>
          </w:p>
        </w:tc>
        <w:tc>
          <w:tcPr>
            <w:tcW w:type="dxa" w:w="64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Samsung AAI validates Korean export law. TSMC AAI validates Taiwan import law + US export controls. Both approve. AsAI executes order, logistics, payment, and insurance simultaneously.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Financial settlement</w:t>
            </w:r>
          </w:p>
        </w:tc>
        <w:tc>
          <w:tcPr>
            <w:tcW w:type="dxa" w:w="6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Bank A AAI validates clearing conditions. Bank B AAI validates receiving conditions. AsAI executes settlement in real time. No correspondent bank required.</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SaaS contract</w:t>
            </w:r>
          </w:p>
        </w:tc>
        <w:tc>
          <w:tcPr>
            <w:tcW w:type="dxa" w:w="64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Enterprise A AAI validates procurement policy. Vendor AAI validates service terms and data sovereignty. AsAI activates service and begins metered billing structurally.</w:t>
            </w:r>
          </w:p>
        </w:tc>
      </w:tr>
    </w:tbl>
    <w:p>
      <w:pPr>
        <w:spacing w:after="60" w:before="60"/>
      </w:pPr>
      <w:r>
        <w:t xml:space="preserve"/>
      </w:r>
    </w:p>
    <w:p>
      <w:pPr>
        <w:pStyle w:val="Heading2"/>
        <w:spacing w:after="160" w:before="320"/>
      </w:pPr>
      <w:r>
        <w:rPr>
          <w:rFonts w:ascii="Arial" w:cs="Arial" w:eastAsia="Arial" w:hAnsi="Arial"/>
          <w:b/>
          <w:bCs/>
          <w:color w:val="2E6DA4"/>
          <w:sz w:val="26"/>
          <w:szCs w:val="26"/>
        </w:rPr>
        <w:t xml:space="preserve">4.4 G2G — Government to Government</w:t>
      </w:r>
    </w:p>
    <w:p>
      <w:pPr>
        <w:spacing w:after="80" w:before="80"/>
      </w:pPr>
      <w:r>
        <w:rPr>
          <w:rFonts w:ascii="Arial" w:cs="Arial" w:eastAsia="Arial" w:hAnsi="Arial"/>
          <w:b/>
          <w:bCs/>
          <w:color w:val="1A3A5C"/>
          <w:sz w:val="22"/>
          <w:szCs w:val="22"/>
        </w:rPr>
        <w:t xml:space="preserve">Structure: AsAI(Nation A) — AAI(A) ↔ AAI(B) — AsAI(Nation B)</w:t>
      </w:r>
    </w:p>
    <w:p>
      <w:pPr>
        <w:spacing w:after="60" w:before="60"/>
      </w:pPr>
      <w:r>
        <w:t xml:space="preserve"/>
      </w:r>
    </w:p>
    <w:p>
      <w:pPr>
        <w:spacing w:after="80" w:before="80"/>
      </w:pPr>
      <w:r>
        <w:rPr>
          <w:rFonts w:ascii="Arial" w:cs="Arial" w:eastAsia="Arial" w:hAnsi="Arial"/>
          <w:color w:val="222222"/>
          <w:sz w:val="22"/>
          <w:szCs w:val="22"/>
        </w:rPr>
        <w:t xml:space="preserve">Both national AAIs apply their sovereign frameworks. The Q4 boundary is the structural location of the negotiation. No treaty can be executed without bilateral structural authorization.</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Example</w:t>
            </w:r>
          </w:p>
        </w:tc>
        <w:tc>
          <w:tcPr>
            <w:tcW w:type="dxa" w:w="6426"/>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What Happens Structurally</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Data sharing agreement</w:t>
            </w:r>
          </w:p>
        </w:tc>
        <w:tc>
          <w:tcPr>
            <w:tcW w:type="dxa" w:w="64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Korea AAI validates Personal Information Protection Act. EU AAI validates GDPR. Q4 boundary authorizes cross-border flow. Treaty terms are structurally enforced — not signed and forgotten.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Customs and trade</w:t>
            </w:r>
          </w:p>
        </w:tc>
        <w:tc>
          <w:tcPr>
            <w:tcW w:type="dxa" w:w="6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Exporting nation AAI validates export clearance. Importing nation AAI validates import compliance. AsAI executes physical release and payment simultaneously. Customs fraud is structurally impossible.</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Sanctions enforcement</w:t>
            </w:r>
          </w:p>
        </w:tc>
        <w:tc>
          <w:tcPr>
            <w:tcW w:type="dxa" w:w="64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UN-level AsAI encodes sanctions at Q3. National AAI structurally cannot approve transactions with sanctioned entities. No human override possible.</w:t>
            </w:r>
          </w:p>
        </w:tc>
      </w:tr>
    </w:tbl>
    <w:p>
      <w:pPr>
        <w:spacing w:after="60" w:before="60"/>
      </w:pPr>
      <w:r>
        <w:t xml:space="preserve"/>
      </w:r>
    </w:p>
    <w:p>
      <w:pPr>
        <w:pStyle w:val="Heading2"/>
        <w:spacing w:after="160" w:before="320"/>
      </w:pPr>
      <w:r>
        <w:rPr>
          <w:rFonts w:ascii="Arial" w:cs="Arial" w:eastAsia="Arial" w:hAnsi="Arial"/>
          <w:b/>
          <w:bCs/>
          <w:color w:val="2E6DA4"/>
          <w:sz w:val="26"/>
          <w:szCs w:val="26"/>
        </w:rPr>
        <w:t xml:space="preserve">4.5 B2G and G2B — The Regulatory Relationship</w:t>
      </w:r>
    </w:p>
    <w:p>
      <w:pPr>
        <w:spacing w:after="80" w:before="80"/>
      </w:pPr>
      <w:r>
        <w:rPr>
          <w:rFonts w:ascii="Arial" w:cs="Arial" w:eastAsia="Arial" w:hAnsi="Arial"/>
          <w:b/>
          <w:bCs/>
          <w:color w:val="1A3A5C"/>
          <w:sz w:val="22"/>
          <w:szCs w:val="22"/>
        </w:rPr>
        <w:t xml:space="preserve">Structure: AsAI(Entity) — AAI(Entity) ↔ AAI(Government) — AsAI(Government)</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426"/>
      </w:tblGrid>
      <w:tr>
        <w:trPr>
          <w:tblHeader/>
        </w:trPr>
        <w:tc>
          <w:tcPr>
            <w:tcW w:type="dxa" w:w="14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Direction</w:t>
            </w:r>
          </w:p>
        </w:tc>
        <w:tc>
          <w:tcPr>
            <w:tcW w:type="dxa" w:w="22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Example</w:t>
            </w:r>
          </w:p>
        </w:tc>
        <w:tc>
          <w:tcPr>
            <w:tcW w:type="dxa" w:w="5426"/>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Structural Effect</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B2G</w:t>
            </w:r>
          </w:p>
        </w:tc>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Tax filing</w:t>
            </w:r>
          </w:p>
        </w:tc>
        <w:tc>
          <w:tcPr>
            <w:tcW w:type="dxa" w:w="54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Corporate AAI generates tax declaration. Revenue authority AAI validates. AsAI executes payment. Tax evasion is structurally impossible.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B2G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Regulatory submission</w:t>
            </w:r>
          </w:p>
        </w:tc>
        <w:tc>
          <w:tcPr>
            <w:tcW w:type="dxa" w:w="5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Pharmaceutical AAI submits trial data. FDA-equivalent AAI validates against approval criteria. AsAI grants or denies structural authorization.</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G2B</w:t>
            </w:r>
          </w:p>
        </w:tc>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Subsidy disbursement</w:t>
            </w:r>
          </w:p>
        </w:tc>
        <w:tc>
          <w:tcPr>
            <w:tcW w:type="dxa" w:w="54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Government AAI validates eligibility criteria. Recipient AAI confirms conditions. AsAI executes disbursement. Fraud is structurally impossible.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G2B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License issuance</w:t>
            </w:r>
          </w:p>
        </w:tc>
        <w:tc>
          <w:tcPr>
            <w:tcW w:type="dxa" w:w="5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Applicant AAI submits qualifications. Licensing authority AAI validates. AsAI issues structural license — verifiable without a database query.</w:t>
            </w:r>
          </w:p>
        </w:tc>
      </w:tr>
    </w:tbl>
    <w:p>
      <w:pPr>
        <w:spacing w:after="60" w:before="60"/>
      </w:pPr>
      <w:r>
        <w:t xml:space="preserve"/>
      </w:r>
    </w:p>
    <w:p>
      <w:pPr>
        <w:pStyle w:val="Heading2"/>
        <w:spacing w:after="160" w:before="320"/>
      </w:pPr>
      <w:r>
        <w:rPr>
          <w:rFonts w:ascii="Arial" w:cs="Arial" w:eastAsia="Arial" w:hAnsi="Arial"/>
          <w:b/>
          <w:bCs/>
          <w:color w:val="2E6DA4"/>
          <w:sz w:val="26"/>
          <w:szCs w:val="26"/>
        </w:rPr>
        <w:t xml:space="preserve">4.6 G2C and C2G — The Citizen Relationship</w:t>
      </w:r>
    </w:p>
    <w:p>
      <w:pPr>
        <w:spacing w:after="80" w:before="80"/>
      </w:pPr>
      <w:r>
        <w:rPr>
          <w:rFonts w:ascii="Arial" w:cs="Arial" w:eastAsia="Arial" w:hAnsi="Arial"/>
          <w:b/>
          <w:bCs/>
          <w:color w:val="1A3A5C"/>
          <w:sz w:val="22"/>
          <w:szCs w:val="22"/>
        </w:rPr>
        <w:t xml:space="preserve">Structure: AsAI(Government) — AAI(Government) ↔ AAI — PAI(Individual)</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Example</w:t>
            </w:r>
          </w:p>
        </w:tc>
        <w:tc>
          <w:tcPr>
            <w:tcW w:type="dxa" w:w="6026"/>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Structural Effect</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Universal basic income / welfare</w:t>
            </w:r>
          </w:p>
        </w:tc>
        <w:tc>
          <w:tcPr>
            <w:tcW w:type="dxa" w:w="60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Government AAI validates eligibility continuously. PAI confirms receipt intent. AsAI disburses automatically. No application, no queue, no fraud.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Voting</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Citizen PAI generates voting intent. National AAI validates eligibility and anonymity constraints. AsAI records vote with structural immutability. Tampering is architecturally impossible.</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Permit application</w:t>
            </w:r>
          </w:p>
        </w:tc>
        <w:tc>
          <w:tcPr>
            <w:tcW w:type="dxa" w:w="60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Citizen PAI generates application intent. Municipal AAI validates against zoning law, noise ordinance, environmental impact. AsAI issues permit or returns structured rejection with reason.</w:t>
            </w:r>
          </w:p>
        </w:tc>
      </w:tr>
    </w:tbl>
    <w:p>
      <w:pPr>
        <w:spacing w:after="60" w:before="60"/>
      </w:pPr>
      <w:r>
        <w:t xml:space="preserve"/>
      </w:r>
    </w:p>
    <w:p>
      <w:pPr>
        <w:pStyle w:val="Heading2"/>
        <w:spacing w:after="160" w:before="320"/>
      </w:pPr>
      <w:r>
        <w:rPr>
          <w:rFonts w:ascii="Arial" w:cs="Arial" w:eastAsia="Arial" w:hAnsi="Arial"/>
          <w:b/>
          <w:bCs/>
          <w:color w:val="2E6DA4"/>
          <w:sz w:val="26"/>
          <w:szCs w:val="26"/>
        </w:rPr>
        <w:t xml:space="preserve">4.7 Multi-Party and Complex Combinations</w:t>
      </w:r>
    </w:p>
    <w:p>
      <w:pPr>
        <w:spacing w:after="80" w:before="80"/>
      </w:pPr>
      <w:r>
        <w:rPr>
          <w:rFonts w:ascii="Arial" w:cs="Arial" w:eastAsia="Arial" w:hAnsi="Arial"/>
          <w:color w:val="222222"/>
          <w:sz w:val="22"/>
          <w:szCs w:val="22"/>
        </w:rPr>
        <w:t xml:space="preserve">The most powerful feature of the Velsanet transaction taxonomy is composability. Because each layer is independently operable and structurally standardized, arbitrarily complex multi-party transactions become structurally expressible.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426"/>
      </w:tblGrid>
      <w:tr>
        <w:trPr>
          <w:tblHeader/>
        </w:trPr>
        <w:tc>
          <w:tcPr>
            <w:tcW w:type="dxa" w:w="20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Combination</w:t>
            </w:r>
          </w:p>
        </w:tc>
        <w:tc>
          <w:tcPr>
            <w:tcW w:type="dxa" w:w="26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Example</w:t>
            </w:r>
          </w:p>
        </w:tc>
        <w:tc>
          <w:tcPr>
            <w:tcW w:type="dxa" w:w="4426"/>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Why It Matters</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B2B2C</w:t>
            </w:r>
          </w:p>
        </w:tc>
        <w:tc>
          <w:tcPr>
            <w:tcW w:type="dxa" w:w="26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Platform economy (Uber, Airbnb model)</w:t>
            </w:r>
          </w:p>
        </w:tc>
        <w:tc>
          <w:tcPr>
            <w:tcW w:type="dxa" w:w="44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Platform AAI mediates between provider AsAI and consumer PAI. Platform cannot extract rent beyond what both parties structurally approved.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G2B2C</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Public infrastructure privatization</w:t>
            </w:r>
          </w:p>
        </w:tc>
        <w:tc>
          <w:tcPr>
            <w:tcW w:type="dxa" w:w="4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Government AsAI sets structural concession terms. Private operator AAI validates compliance. Consumer PAI accesses service. Government terms cannot be violated.</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Multi-G + B</w:t>
            </w:r>
          </w:p>
        </w:tc>
        <w:tc>
          <w:tcPr>
            <w:tcW w:type="dxa" w:w="26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International consortium project</w:t>
            </w:r>
          </w:p>
        </w:tc>
        <w:tc>
          <w:tcPr>
            <w:tcW w:type="dxa" w:w="44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Multiple national AAIs validate their sovereign requirements simultaneously. Single project AsAI executes only when all validations clear. No single nation can block or dominate.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P2P2P (DAO equivalent)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Decentralized autonomous organizations</w:t>
            </w:r>
          </w:p>
        </w:tc>
        <w:tc>
          <w:tcPr>
            <w:tcW w:type="dxa" w:w="4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Multiple PAIs generate collective intent. Community AAI validates against agreed governance rules. AsAI executes collective decision. No central authority required.</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AI2AI</w:t>
            </w:r>
          </w:p>
        </w:tc>
        <w:tc>
          <w:tcPr>
            <w:tcW w:type="dxa" w:w="26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Autonomous machine economy</w:t>
            </w:r>
          </w:p>
        </w:tc>
        <w:tc>
          <w:tcPr>
            <w:tcW w:type="dxa" w:w="44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PAI of machine generates operational intent. Sector AAI validates safety and authorization. AsAI executes machine action. Fully autonomous but fully accountable.</w:t>
            </w:r>
          </w:p>
        </w:tc>
      </w:tr>
    </w:tbl>
    <w:p>
      <w:pPr>
        <w:pBdr>
          <w:bottom w:val="single" w:color="2E6DA4" w:sz="4" w:space="1"/>
        </w:pBdr>
        <w:spacing w:after="240" w:before="240"/>
      </w:pPr>
    </w:p>
    <w:p>
      <w:pPr>
        <w:pStyle w:val="Heading1"/>
        <w:spacing w:after="200" w:before="480"/>
      </w:pPr>
      <w:r>
        <w:rPr>
          <w:rFonts w:ascii="Arial" w:cs="Arial" w:eastAsia="Arial" w:hAnsi="Arial"/>
          <w:b/>
          <w:bCs/>
          <w:color w:val="1A3A5C"/>
          <w:sz w:val="34"/>
          <w:szCs w:val="34"/>
        </w:rPr>
        <w:t xml:space="preserve">Part V: The Market Forms — How Competition Operates</w:t>
      </w:r>
    </w:p>
    <w:p>
      <w:pPr>
        <w:pStyle w:val="Heading2"/>
        <w:spacing w:after="160" w:before="320"/>
      </w:pPr>
      <w:r>
        <w:rPr>
          <w:rFonts w:ascii="Arial" w:cs="Arial" w:eastAsia="Arial" w:hAnsi="Arial"/>
          <w:b/>
          <w:bCs/>
          <w:color w:val="2E6DA4"/>
          <w:sz w:val="26"/>
          <w:szCs w:val="26"/>
        </w:rPr>
        <w:t xml:space="preserve">5.1 Three Independent Competitive Markets</w:t>
      </w:r>
    </w:p>
    <w:p>
      <w:pPr>
        <w:spacing w:after="80" w:before="80"/>
      </w:pPr>
      <w:r>
        <w:rPr>
          <w:rFonts w:ascii="Arial" w:cs="Arial" w:eastAsia="Arial" w:hAnsi="Arial"/>
          <w:color w:val="222222"/>
          <w:sz w:val="22"/>
          <w:szCs w:val="22"/>
        </w:rPr>
        <w:t xml:space="preserve">Velsanet does not create one market. It creates three structurally independent markets that interact but do not collapse into each other. Each market has its own competitive logic, its own switching costs, and its own quality signals.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626"/>
      </w:tblGrid>
      <w:tr>
        <w:trPr>
          <w:tblHeader/>
        </w:trPr>
        <w:tc>
          <w:tcPr>
            <w:tcW w:type="dxa" w:w="16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Market</w:t>
            </w:r>
          </w:p>
        </w:tc>
        <w:tc>
          <w:tcPr>
            <w:tcW w:type="dxa" w:w="24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Competitive Basis</w:t>
            </w:r>
          </w:p>
        </w:tc>
        <w:tc>
          <w:tcPr>
            <w:tcW w:type="dxa" w:w="24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Quality Signal</w:t>
            </w:r>
          </w:p>
        </w:tc>
        <w:tc>
          <w:tcPr>
            <w:tcW w:type="dxa" w:w="2626"/>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Switching Trigger</w:t>
            </w:r>
          </w:p>
        </w:tc>
      </w:tr>
      <w:tr>
        <w:tc>
          <w:tcPr>
            <w:tcW w:type="dxa" w:w="16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PAI Market</w:t>
            </w:r>
          </w:p>
        </w:tc>
        <w:tc>
          <w:tcPr>
            <w:tcW w:type="dxa" w:w="2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Depth and accuracy of individual understanding</w:t>
            </w:r>
          </w:p>
        </w:tc>
        <w:tc>
          <w:tcPr>
            <w:tcW w:type="dxa" w:w="2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Downstream AAI performance</w:t>
            </w:r>
          </w:p>
        </w:tc>
        <w:tc>
          <w:tcPr>
            <w:tcW w:type="dxa" w:w="26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PAI misunderstands intent → wrong transaction initiated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AAI Market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Trust, speed, jurisdiction coverage, domain depth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Transaction dispute rate, validation latency</w:t>
            </w:r>
          </w:p>
        </w:tc>
        <w:tc>
          <w:tcPr>
            <w:tcW w:type="dxa" w:w="2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AAI validation too slow, wrong jurisdiction, or fails witness integrity</w:t>
            </w:r>
          </w:p>
        </w:tc>
      </w:tr>
      <w:tr>
        <w:tc>
          <w:tcPr>
            <w:tcW w:type="dxa" w:w="16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AsAI Market</w:t>
            </w:r>
          </w:p>
        </w:tc>
        <w:tc>
          <w:tcPr>
            <w:tcW w:type="dxa" w:w="2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Execution speed, reliability, cross-domain reach</w:t>
            </w:r>
          </w:p>
        </w:tc>
        <w:tc>
          <w:tcPr>
            <w:tcW w:type="dxa" w:w="2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Execution failure rate, latency, cost</w:t>
            </w:r>
          </w:p>
        </w:tc>
        <w:tc>
          <w:tcPr>
            <w:tcW w:type="dxa" w:w="26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AsAI executes incorrectly or fails to coordinate cross-domain</w:t>
            </w:r>
          </w:p>
        </w:tc>
      </w:tr>
    </w:tbl>
    <w:p>
      <w:pPr>
        <w:spacing w:after="60" w:before="60"/>
      </w:pPr>
      <w:r>
        <w:t xml:space="preserve"/>
      </w:r>
    </w:p>
    <w:p>
      <w:pPr>
        <w:pStyle w:val="Heading2"/>
        <w:spacing w:after="160" w:before="320"/>
      </w:pPr>
      <w:r>
        <w:rPr>
          <w:rFonts w:ascii="Arial" w:cs="Arial" w:eastAsia="Arial" w:hAnsi="Arial"/>
          <w:b/>
          <w:bCs/>
          <w:color w:val="2E6DA4"/>
          <w:sz w:val="26"/>
          <w:szCs w:val="26"/>
        </w:rPr>
        <w:t xml:space="preserve">5.2 The Accountability Loop as Market Regulator</w:t>
      </w:r>
    </w:p>
    <w:p>
      <w:pPr>
        <w:spacing w:after="80" w:before="80"/>
      </w:pPr>
      <w:r>
        <w:rPr>
          <w:rFonts w:ascii="Arial" w:cs="Arial" w:eastAsia="Arial" w:hAnsi="Arial"/>
          <w:color w:val="222222"/>
          <w:sz w:val="22"/>
          <w:szCs w:val="22"/>
        </w:rPr>
        <w:t xml:space="preserve">In conventional markets, quality is regulated externally — by governments, by consumer protection bodies, by courts. In the Velsanet economy, quality is regulated structurally by the accountability loop itself.</w:t>
      </w:r>
    </w:p>
    <w:p>
      <w:pPr>
        <w:spacing w:after="60" w:before="60"/>
      </w:pPr>
      <w:r>
        <w:t xml:space="preserve"/>
      </w:r>
    </w:p>
    <w:p>
      <w:pPr>
        <w:spacing w:after="80" w:before="80"/>
      </w:pPr>
      <w:r>
        <w:rPr>
          <w:rFonts w:ascii="Arial" w:cs="Arial" w:eastAsia="Arial" w:hAnsi="Arial"/>
          <w:color w:val="222222"/>
          <w:sz w:val="22"/>
          <w:szCs w:val="22"/>
        </w:rPr>
        <w:t xml:space="preserve">Because every transaction creates a complete, structurally verifiable chain from PAI cognition through AAI validation to AsAI execution, the origin of every failure is traceable. This creates a self-regulating market:</w:t>
      </w:r>
    </w:p>
    <w:p>
      <w:pPr>
        <w:spacing w:after="60" w:before="60"/>
      </w:pPr>
      <w:r>
        <w:t xml:space="preserve"/>
      </w:r>
    </w:p>
    <w:p>
      <w:pPr>
        <w:pStyle w:val="ListParagraph"/>
        <w:numPr>
          <w:ilvl w:val="0"/>
          <w:numId w:val="2"/>
        </w:numPr>
        <w:spacing w:after="60" w:before="60"/>
      </w:pPr>
      <w:r>
        <w:rPr>
          <w:rFonts w:ascii="Arial" w:cs="Arial" w:eastAsia="Arial" w:hAnsi="Arial"/>
          <w:b w:val="false"/>
          <w:bCs w:val="false"/>
          <w:sz w:val="22"/>
          <w:szCs w:val="22"/>
        </w:rPr>
        <w:t xml:space="preserve">Poor PAI performance is immediately visible in downstream transaction quality</w:t>
      </w:r>
    </w:p>
    <w:p>
      <w:pPr>
        <w:pStyle w:val="ListParagraph"/>
        <w:numPr>
          <w:ilvl w:val="0"/>
          <w:numId w:val="2"/>
        </w:numPr>
        <w:spacing w:after="60" w:before="60"/>
      </w:pPr>
      <w:r>
        <w:rPr>
          <w:rFonts w:ascii="Arial" w:cs="Arial" w:eastAsia="Arial" w:hAnsi="Arial"/>
          <w:b w:val="false"/>
          <w:bCs w:val="false"/>
          <w:sz w:val="22"/>
          <w:szCs w:val="22"/>
        </w:rPr>
        <w:t xml:space="preserve">Poor AAI validation is immediately visible in execution disputes and regulatory violations</w:t>
      </w:r>
    </w:p>
    <w:p>
      <w:pPr>
        <w:pStyle w:val="ListParagraph"/>
        <w:numPr>
          <w:ilvl w:val="0"/>
          <w:numId w:val="2"/>
        </w:numPr>
        <w:spacing w:after="60" w:before="60"/>
      </w:pPr>
      <w:r>
        <w:rPr>
          <w:rFonts w:ascii="Arial" w:cs="Arial" w:eastAsia="Arial" w:hAnsi="Arial"/>
          <w:b w:val="false"/>
          <w:bCs w:val="false"/>
          <w:sz w:val="22"/>
          <w:szCs w:val="22"/>
        </w:rPr>
        <w:t xml:space="preserve">Poor AsAI execution is immediately visible in outcome failures and coordination breakdowns</w:t>
      </w:r>
    </w:p>
    <w:p>
      <w:pPr>
        <w:spacing w:after="60" w:before="60"/>
      </w:pPr>
      <w:r>
        <w:t xml:space="preserve"/>
      </w:r>
    </w:p>
    <w:p>
      <w:pPr>
        <w:spacing w:after="80" w:before="80"/>
      </w:pPr>
      <w:r>
        <w:rPr>
          <w:rFonts w:ascii="Arial" w:cs="Arial" w:eastAsia="Arial" w:hAnsi="Arial"/>
          <w:color w:val="222222"/>
          <w:sz w:val="22"/>
          <w:szCs w:val="22"/>
        </w:rPr>
        <w:t xml:space="preserve">No external regulator needs to audit these markets continuously. The structural accountability chain is the audit. The market responds to quality signals automatically and at AI speed.</w:t>
      </w:r>
    </w:p>
    <w:p>
      <w:pPr>
        <w:spacing w:after="60" w:before="60"/>
      </w:pPr>
      <w:r>
        <w:t xml:space="preserve"/>
      </w:r>
    </w:p>
    <w:p>
      <w:pPr>
        <w:pStyle w:val="Heading2"/>
        <w:spacing w:after="160" w:before="320"/>
      </w:pPr>
      <w:r>
        <w:rPr>
          <w:rFonts w:ascii="Arial" w:cs="Arial" w:eastAsia="Arial" w:hAnsi="Arial"/>
          <w:b/>
          <w:bCs/>
          <w:color w:val="2E6DA4"/>
          <w:sz w:val="26"/>
          <w:szCs w:val="26"/>
        </w:rPr>
        <w:t xml:space="preserve">5.3 The Emergence of New Market Forms</w:t>
      </w:r>
    </w:p>
    <w:p>
      <w:pPr>
        <w:spacing w:after="80" w:before="80"/>
      </w:pPr>
      <w:r>
        <w:rPr>
          <w:rFonts w:ascii="Arial" w:cs="Arial" w:eastAsia="Arial" w:hAnsi="Arial"/>
          <w:color w:val="222222"/>
          <w:sz w:val="22"/>
          <w:szCs w:val="22"/>
        </w:rPr>
        <w:t xml:space="preserve">Beyond the three primary markets, the Velsanet architecture enables market forms that do not yet exist:</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New Market Form</w:t>
            </w:r>
          </w:p>
        </w:tc>
        <w:tc>
          <w:tcPr>
            <w:tcW w:type="dxa" w:w="6226"/>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Intent Futures Market</w:t>
            </w:r>
          </w:p>
        </w:tc>
        <w:tc>
          <w:tcPr>
            <w:tcW w:type="dxa" w:w="62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PAI providers offer predictive intent modeling — selling anticipated cognitive outputs before the human consciously articulates them. Valuable for logistics, healthcare, urban planning.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Validation Derivatives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AAI providers offer pre-validated transaction templates — structured approvals for common transaction types that execute at hardware speed without fresh validation latency.</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Execution Capacity Exchange</w:t>
            </w:r>
          </w:p>
        </w:tc>
        <w:tc>
          <w:tcPr>
            <w:tcW w:type="dxa" w:w="62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AsAI providers trade execution capacity in real time — a futures and spot market for AI infrastructure, analogous to electricity or cloud compute markets.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Sovereign Bridging Services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Specialized AAI providers offer cross-Q4 authorization services — structural bridges between national jurisdictions for approved transaction categories.</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Accountability Bonds</w:t>
            </w:r>
          </w:p>
        </w:tc>
        <w:tc>
          <w:tcPr>
            <w:tcW w:type="dxa" w:w="62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Financial instruments backed by the structural accountability record of AAI providers — rated by validation accuracy and witness integrity, tradeable on capital markets.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Trust Rating Infrastructure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Independent AAI-layer services that rate other AAI and AsAI providers based on structural performance records — the AI economy's equivalent of credit rating agencies.</w:t>
            </w:r>
          </w:p>
        </w:tc>
      </w:tr>
    </w:tbl>
    <w:p>
      <w:pPr>
        <w:pBdr>
          <w:bottom w:val="single" w:color="2E6DA4" w:sz="4" w:space="1"/>
        </w:pBdr>
        <w:spacing w:after="240" w:before="240"/>
      </w:pPr>
    </w:p>
    <w:p>
      <w:pPr>
        <w:pStyle w:val="Heading1"/>
        <w:spacing w:after="200" w:before="480"/>
      </w:pPr>
      <w:r>
        <w:rPr>
          <w:rFonts w:ascii="Arial" w:cs="Arial" w:eastAsia="Arial" w:hAnsi="Arial"/>
          <w:b/>
          <w:bCs/>
          <w:color w:val="1A3A5C"/>
          <w:sz w:val="34"/>
          <w:szCs w:val="34"/>
        </w:rPr>
        <w:t xml:space="preserve">Part VI: The Civilizational Model</w:t>
      </w:r>
    </w:p>
    <w:p>
      <w:pPr>
        <w:pStyle w:val="Heading2"/>
        <w:spacing w:after="160" w:before="320"/>
      </w:pPr>
      <w:r>
        <w:rPr>
          <w:rFonts w:ascii="Arial" w:cs="Arial" w:eastAsia="Arial" w:hAnsi="Arial"/>
          <w:b/>
          <w:bCs/>
          <w:color w:val="2E6DA4"/>
          <w:sz w:val="26"/>
          <w:szCs w:val="26"/>
        </w:rPr>
        <w:t xml:space="preserve">6.1 PAI = Individual. AAI = Institution. AsAI = Infrastructure.</w:t>
      </w:r>
    </w:p>
    <w:p>
      <w:pPr>
        <w:spacing w:after="80" w:before="80"/>
      </w:pPr>
      <w:r>
        <w:rPr>
          <w:rFonts w:ascii="Arial" w:cs="Arial" w:eastAsia="Arial" w:hAnsi="Arial"/>
          <w:color w:val="222222"/>
          <w:sz w:val="22"/>
          <w:szCs w:val="22"/>
        </w:rPr>
        <w:t xml:space="preserve">The three-layer AI architecture of Velsanet is not an arbitrary engineering choice. It mirrors the structure of human civilization itself.</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4726"/>
      </w:tblGrid>
      <w:tr>
        <w:trPr>
          <w:tblHeader/>
        </w:trPr>
        <w:tc>
          <w:tcPr>
            <w:tcW w:type="dxa" w:w="25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Civilization Layer</w:t>
            </w:r>
          </w:p>
        </w:tc>
        <w:tc>
          <w:tcPr>
            <w:tcW w:type="dxa" w:w="18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AI Layer</w:t>
            </w:r>
          </w:p>
        </w:tc>
        <w:tc>
          <w:tcPr>
            <w:tcW w:type="dxa" w:w="4726"/>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Function</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Individual</w:t>
            </w:r>
          </w:p>
        </w:tc>
        <w:tc>
          <w:tcPr>
            <w:tcW w:type="dxa" w:w="1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PAI</w:t>
            </w:r>
          </w:p>
        </w:tc>
        <w:tc>
          <w:tcPr>
            <w:tcW w:type="dxa" w:w="47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The origin of intent, preference, and meaning. Sovereign over its own output.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Institution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AAI</w:t>
            </w:r>
          </w:p>
        </w:tc>
        <w:tc>
          <w:tcPr>
            <w:tcW w:type="dxa" w:w="47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The mediator between individual and society. Applies law, ethics, policy, consensus. Records and certifies.</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Infrastructure</w:t>
            </w:r>
          </w:p>
        </w:tc>
        <w:tc>
          <w:tcPr>
            <w:tcW w:type="dxa" w:w="1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AsAI</w:t>
            </w:r>
          </w:p>
        </w:tc>
        <w:tc>
          <w:tcPr>
            <w:tcW w:type="dxa" w:w="47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The executor of civilizational decisions. Roads, power grids, financial systems, logistics networks.</w:t>
            </w:r>
          </w:p>
        </w:tc>
      </w:tr>
    </w:tbl>
    <w:p>
      <w:pPr>
        <w:spacing w:after="60" w:before="60"/>
      </w:pPr>
      <w:r>
        <w:t xml:space="preserve"/>
      </w:r>
    </w:p>
    <w:p>
      <w:pPr>
        <w:spacing w:after="80" w:before="80"/>
      </w:pPr>
      <w:r>
        <w:rPr>
          <w:rFonts w:ascii="Arial" w:cs="Arial" w:eastAsia="Arial" w:hAnsi="Arial"/>
          <w:color w:val="222222"/>
          <w:sz w:val="22"/>
          <w:szCs w:val="22"/>
        </w:rPr>
        <w:t xml:space="preserve">This is not a metaphor. It is a structural isomorphism. The reason the three-layer architecture is stable is precisely because it encodes the structure that human civilization has evolved over millennia to manage the relationship between individuals, institutions, and infrastructure.</w:t>
      </w:r>
    </w:p>
    <w:p>
      <w:pPr>
        <w:spacing w:after="60" w:before="60"/>
      </w:pPr>
      <w:r>
        <w:t xml:space="preserve"/>
      </w:r>
    </w:p>
    <w:p>
      <w:pPr>
        <w:pBdr>
          <w:left w:val="single" w:color="2E6DA4" w:sz="6" w:space="8"/>
        </w:pBdr>
        <w:spacing w:after="160" w:before="160"/>
        <w:ind w:left="720" w:right="720"/>
      </w:pPr>
      <w:r>
        <w:rPr>
          <w:rFonts w:ascii="Arial" w:cs="Arial" w:eastAsia="Arial" w:hAnsi="Arial"/>
          <w:i/>
          <w:iCs/>
          <w:color w:val="2E6DA4"/>
          <w:sz w:val="24"/>
          <w:szCs w:val="24"/>
        </w:rPr>
        <w:t xml:space="preserve">Velsanet does not replace human civilization. It gives human civilization a structural operating system.</w:t>
      </w:r>
    </w:p>
    <w:p>
      <w:pPr>
        <w:spacing w:after="60" w:before="60"/>
      </w:pPr>
      <w:r>
        <w:t xml:space="preserve"/>
      </w:r>
    </w:p>
    <w:p>
      <w:pPr>
        <w:pStyle w:val="Heading2"/>
        <w:spacing w:after="160" w:before="320"/>
      </w:pPr>
      <w:r>
        <w:rPr>
          <w:rFonts w:ascii="Arial" w:cs="Arial" w:eastAsia="Arial" w:hAnsi="Arial"/>
          <w:b/>
          <w:bCs/>
          <w:color w:val="2E6DA4"/>
          <w:sz w:val="26"/>
          <w:szCs w:val="26"/>
        </w:rPr>
        <w:t xml:space="preserve">6.2 From Using AI to Existing with AI</w:t>
      </w:r>
    </w:p>
    <w:p>
      <w:pPr>
        <w:spacing w:after="80" w:before="80"/>
      </w:pPr>
      <w:r>
        <w:rPr>
          <w:rFonts w:ascii="Arial" w:cs="Arial" w:eastAsia="Arial" w:hAnsi="Arial"/>
          <w:color w:val="222222"/>
          <w:sz w:val="22"/>
          <w:szCs w:val="22"/>
        </w:rPr>
        <w:t xml:space="preserve">Every prior technology was a tool. Tools are used and put down. The telephone, the internet, the smartphone — these are tools. Powerful ones. Transformative ones. But tools.</w:t>
      </w:r>
    </w:p>
    <w:p>
      <w:pPr>
        <w:spacing w:after="60" w:before="60"/>
      </w:pPr>
      <w:r>
        <w:t xml:space="preserve"/>
      </w:r>
    </w:p>
    <w:p>
      <w:pPr>
        <w:spacing w:after="80" w:before="80"/>
      </w:pPr>
      <w:r>
        <w:rPr>
          <w:rFonts w:ascii="Arial" w:cs="Arial" w:eastAsia="Arial" w:hAnsi="Arial"/>
          <w:color w:val="222222"/>
          <w:sz w:val="22"/>
          <w:szCs w:val="22"/>
        </w:rPr>
        <w:t xml:space="preserve">Velsanet is not a tool. It is the structural condition under which the AI economy operates. Like electricity, like roads, like the rule of law — it is not something you use. It is something you exist within.</w:t>
      </w:r>
    </w:p>
    <w:p>
      <w:pPr>
        <w:spacing w:after="60" w:before="60"/>
      </w:pPr>
      <w:r>
        <w:t xml:space="preserve"/>
      </w:r>
    </w:p>
    <w:p>
      <w:pPr>
        <w:spacing w:after="80" w:before="80"/>
      </w:pPr>
      <w:r>
        <w:rPr>
          <w:rFonts w:ascii="Arial" w:cs="Arial" w:eastAsia="Arial" w:hAnsi="Arial"/>
          <w:color w:val="222222"/>
          <w:sz w:val="22"/>
          <w:szCs w:val="22"/>
        </w:rPr>
        <w:t xml:space="preserve">This transition — from using AI to existing with AI — is the last paradigm shift before something genuinely new begins. Not AI as assistant. Not AI as agent. AI as the nervous system of economic civilization.</w:t>
      </w:r>
    </w:p>
    <w:p>
      <w:pPr>
        <w:spacing w:after="60" w:before="60"/>
      </w:pPr>
      <w:r>
        <w:t xml:space="preserve"/>
      </w:r>
    </w:p>
    <w:p>
      <w:pPr>
        <w:pStyle w:val="Heading2"/>
        <w:spacing w:after="160" w:before="320"/>
      </w:pPr>
      <w:r>
        <w:rPr>
          <w:rFonts w:ascii="Arial" w:cs="Arial" w:eastAsia="Arial" w:hAnsi="Arial"/>
          <w:b/>
          <w:bCs/>
          <w:color w:val="2E6DA4"/>
          <w:sz w:val="26"/>
          <w:szCs w:val="26"/>
        </w:rPr>
        <w:t xml:space="preserve">6.3 What Cannot Happen in This Economy</w:t>
      </w:r>
    </w:p>
    <w:p>
      <w:pPr>
        <w:spacing w:after="80" w:before="80"/>
      </w:pPr>
      <w:r>
        <w:rPr>
          <w:rFonts w:ascii="Arial" w:cs="Arial" w:eastAsia="Arial" w:hAnsi="Arial"/>
          <w:color w:val="222222"/>
          <w:sz w:val="22"/>
          <w:szCs w:val="22"/>
        </w:rPr>
        <w:t xml:space="preserve">Perhaps the clearest way to understand the Velsanet economy is to describe what it structurally prevents:</w:t>
      </w:r>
    </w:p>
    <w:p>
      <w:pPr>
        <w:spacing w:after="60" w:before="60"/>
      </w:pPr>
      <w:r>
        <w:t xml:space="preserve"/>
      </w:r>
    </w:p>
    <w:p>
      <w:pPr>
        <w:pStyle w:val="ListParagraph"/>
        <w:numPr>
          <w:ilvl w:val="0"/>
          <w:numId w:val="2"/>
        </w:numPr>
        <w:spacing w:after="60" w:before="60"/>
      </w:pPr>
      <w:r>
        <w:rPr>
          <w:rFonts w:ascii="Arial" w:cs="Arial" w:eastAsia="Arial" w:hAnsi="Arial"/>
          <w:b w:val="false"/>
          <w:bCs w:val="false"/>
          <w:sz w:val="22"/>
          <w:szCs w:val="22"/>
        </w:rPr>
        <w:t xml:space="preserve">No single corporation can control the full stack — PAI, AAI, and AsAI are structurally separate competitive markets</w:t>
      </w:r>
    </w:p>
    <w:p>
      <w:pPr>
        <w:pStyle w:val="ListParagraph"/>
        <w:numPr>
          <w:ilvl w:val="0"/>
          <w:numId w:val="2"/>
        </w:numPr>
        <w:spacing w:after="60" w:before="60"/>
      </w:pPr>
      <w:r>
        <w:rPr>
          <w:rFonts w:ascii="Arial" w:cs="Arial" w:eastAsia="Arial" w:hAnsi="Arial"/>
          <w:b w:val="false"/>
          <w:bCs w:val="false"/>
          <w:sz w:val="22"/>
          <w:szCs w:val="22"/>
        </w:rPr>
        <w:t xml:space="preserve">No government can surveil individuals without passing through the individual's sovereign PAI layer</w:t>
      </w:r>
    </w:p>
    <w:p>
      <w:pPr>
        <w:pStyle w:val="ListParagraph"/>
        <w:numPr>
          <w:ilvl w:val="0"/>
          <w:numId w:val="2"/>
        </w:numPr>
        <w:spacing w:after="60" w:before="60"/>
      </w:pPr>
      <w:r>
        <w:rPr>
          <w:rFonts w:ascii="Arial" w:cs="Arial" w:eastAsia="Arial" w:hAnsi="Arial"/>
          <w:b w:val="false"/>
          <w:bCs w:val="false"/>
          <w:sz w:val="22"/>
          <w:szCs w:val="22"/>
        </w:rPr>
        <w:t xml:space="preserve">No AI system can execute without accountability — the chain from intent to execution is structurally verifiable</w:t>
      </w:r>
    </w:p>
    <w:p>
      <w:pPr>
        <w:pStyle w:val="ListParagraph"/>
        <w:numPr>
          <w:ilvl w:val="0"/>
          <w:numId w:val="2"/>
        </w:numPr>
        <w:spacing w:after="60" w:before="60"/>
      </w:pPr>
      <w:r>
        <w:rPr>
          <w:rFonts w:ascii="Arial" w:cs="Arial" w:eastAsia="Arial" w:hAnsi="Arial"/>
          <w:b w:val="false"/>
          <w:bCs w:val="false"/>
          <w:sz w:val="22"/>
          <w:szCs w:val="22"/>
        </w:rPr>
        <w:t xml:space="preserve">No transaction can violate the applicable legal, ethical, or policy framework — AAI validation is a structural prerequisite of execution</w:t>
      </w:r>
    </w:p>
    <w:p>
      <w:pPr>
        <w:pStyle w:val="ListParagraph"/>
        <w:numPr>
          <w:ilvl w:val="0"/>
          <w:numId w:val="2"/>
        </w:numPr>
        <w:spacing w:after="60" w:before="60"/>
      </w:pPr>
      <w:r>
        <w:rPr>
          <w:rFonts w:ascii="Arial" w:cs="Arial" w:eastAsia="Arial" w:hAnsi="Arial"/>
          <w:b w:val="false"/>
          <w:bCs w:val="false"/>
          <w:sz w:val="22"/>
          <w:szCs w:val="22"/>
        </w:rPr>
        <w:t xml:space="preserve">No national boundary can be bypassed — Q4 sovereignty is architectural, not political</w:t>
      </w:r>
    </w:p>
    <w:p>
      <w:pPr>
        <w:pStyle w:val="ListParagraph"/>
        <w:numPr>
          <w:ilvl w:val="0"/>
          <w:numId w:val="2"/>
        </w:numPr>
        <w:spacing w:after="60" w:before="60"/>
      </w:pPr>
      <w:r>
        <w:rPr>
          <w:rFonts w:ascii="Arial" w:cs="Arial" w:eastAsia="Arial" w:hAnsi="Arial"/>
          <w:b w:val="false"/>
          <w:bCs w:val="false"/>
          <w:sz w:val="22"/>
          <w:szCs w:val="22"/>
        </w:rPr>
        <w:t xml:space="preserve">No failure can be unattributable — the accountability chain traces every outcome to its structural origin</w:t>
      </w:r>
    </w:p>
    <w:p>
      <w:pPr>
        <w:spacing w:after="60" w:before="60"/>
      </w:pPr>
      <w:r>
        <w:t xml:space="preserve"/>
      </w:r>
    </w:p>
    <w:p>
      <w:pPr>
        <w:spacing w:after="80" w:before="80"/>
      </w:pPr>
      <w:r>
        <w:rPr>
          <w:rFonts w:ascii="Arial" w:cs="Arial" w:eastAsia="Arial" w:hAnsi="Arial"/>
          <w:color w:val="222222"/>
          <w:sz w:val="22"/>
          <w:szCs w:val="22"/>
        </w:rPr>
        <w:t xml:space="preserve">These are not design goals. They are structural consequences of the architecture. They cannot be negotiated away, regulatory-arbitraged, or technologically bypassed.</w:t>
      </w:r>
    </w:p>
    <w:p>
      <w:pPr>
        <w:pBdr>
          <w:bottom w:val="single" w:color="2E6DA4" w:sz="4" w:space="1"/>
        </w:pBdr>
        <w:spacing w:after="240" w:before="240"/>
      </w:pPr>
    </w:p>
    <w:p>
      <w:pPr>
        <w:pStyle w:val="Heading1"/>
        <w:spacing w:after="200" w:before="480"/>
      </w:pPr>
      <w:r>
        <w:rPr>
          <w:rFonts w:ascii="Arial" w:cs="Arial" w:eastAsia="Arial" w:hAnsi="Arial"/>
          <w:b/>
          <w:bCs/>
          <w:color w:val="1A3A5C"/>
          <w:sz w:val="34"/>
          <w:szCs w:val="34"/>
        </w:rPr>
        <w:t xml:space="preserve">Conclusion: The Infrastructure of Accountability</w:t>
      </w:r>
    </w:p>
    <w:p>
      <w:pPr>
        <w:spacing w:after="80" w:before="80"/>
      </w:pPr>
      <w:r>
        <w:rPr>
          <w:rFonts w:ascii="Arial" w:cs="Arial" w:eastAsia="Arial" w:hAnsi="Arial"/>
          <w:color w:val="222222"/>
          <w:sz w:val="22"/>
          <w:szCs w:val="22"/>
        </w:rPr>
        <w:t xml:space="preserve">The current global economy runs on trust manufactured by intermediaries. It works — imperfectly, expensively, slowly, and with persistent failure modes that no amount of regulatory refinement has been able to eliminate.</w:t>
      </w:r>
    </w:p>
    <w:p>
      <w:pPr>
        <w:spacing w:after="60" w:before="60"/>
      </w:pPr>
      <w:r>
        <w:t xml:space="preserve"/>
      </w:r>
    </w:p>
    <w:p>
      <w:pPr>
        <w:spacing w:after="80" w:before="80"/>
      </w:pPr>
      <w:r>
        <w:rPr>
          <w:rFonts w:ascii="Arial" w:cs="Arial" w:eastAsia="Arial" w:hAnsi="Arial"/>
          <w:color w:val="222222"/>
          <w:sz w:val="22"/>
          <w:szCs w:val="22"/>
        </w:rPr>
        <w:t xml:space="preserve">The Velsanet economy runs on trust embedded in structure. The intermediaries do not disappear — they evolve. Law becomes structural validation. Policy becomes architectural encoding. Ethics becomes invariant constraint. Finance becomes accountable execution.</w:t>
      </w:r>
    </w:p>
    <w:p>
      <w:pPr>
        <w:spacing w:after="60" w:before="60"/>
      </w:pPr>
      <w:r>
        <w:t xml:space="preserve"/>
      </w:r>
    </w:p>
    <w:p>
      <w:pPr>
        <w:spacing w:after="80" w:before="80"/>
      </w:pPr>
      <w:r>
        <w:rPr>
          <w:rFonts w:ascii="Arial" w:cs="Arial" w:eastAsia="Arial" w:hAnsi="Arial"/>
          <w:color w:val="222222"/>
          <w:sz w:val="22"/>
          <w:szCs w:val="22"/>
        </w:rPr>
        <w:t xml:space="preserve">And over this structural foundation, three competitive markets operate: PAI providers competing to understand, AAI providers competing to validate, AsAI providers competing to execute. Each market disciplined by structural accountability. Each transaction traceable from intent to outcome. Each sovereign boundary preserved by geometry rather than politics.</w:t>
      </w:r>
    </w:p>
    <w:p>
      <w:pPr>
        <w:spacing w:after="60" w:before="60"/>
      </w:pPr>
      <w:r>
        <w:t xml:space="preserve"/>
      </w:r>
    </w:p>
    <w:p>
      <w:pPr>
        <w:spacing w:after="80" w:before="80"/>
      </w:pPr>
      <w:r>
        <w:rPr>
          <w:rFonts w:ascii="Arial" w:cs="Arial" w:eastAsia="Arial" w:hAnsi="Arial"/>
          <w:color w:val="222222"/>
          <w:sz w:val="22"/>
          <w:szCs w:val="22"/>
        </w:rPr>
        <w:t xml:space="preserve">This is not a vision of the future. It is a description of what the Velsanet architecture already makes possible. The transition from the current economy to the sovereign AI economy is not a question of whether — it is a question of when, and who builds it first.</w:t>
      </w:r>
    </w:p>
    <w:p>
      <w:pPr>
        <w:spacing w:after="60" w:before="60"/>
      </w:pPr>
      <w:r>
        <w:t xml:space="preserve"/>
      </w:r>
    </w:p>
    <w:p>
      <w:pPr>
        <w:pBdr>
          <w:left w:val="single" w:color="2E6DA4" w:sz="6" w:space="8"/>
        </w:pBdr>
        <w:spacing w:after="160" w:before="160"/>
        <w:ind w:left="720" w:right="720"/>
      </w:pPr>
      <w:r>
        <w:rPr>
          <w:rFonts w:ascii="Arial" w:cs="Arial" w:eastAsia="Arial" w:hAnsi="Arial"/>
          <w:i/>
          <w:iCs/>
          <w:color w:val="2E6DA4"/>
          <w:sz w:val="24"/>
          <w:szCs w:val="24"/>
        </w:rPr>
        <w:t xml:space="preserve">The designers of the internet did not predict Google, Amazon, or Uber. They built a structure — and competition did the rest. Velsanet builds a deeper structure. What the market builds on top of it will define the next era of human civilization.</w:t>
      </w:r>
    </w:p>
    <w:p>
      <w:pPr>
        <w:pBdr>
          <w:bottom w:val="single" w:color="2E6DA4" w:sz="4" w:space="1"/>
        </w:pBdr>
        <w:spacing w:after="240" w:before="240"/>
      </w:pPr>
    </w:p>
    <w:p>
      <w:pPr>
        <w:spacing w:after="80" w:before="400"/>
        <w:jc w:val="center"/>
      </w:pPr>
      <w:r>
        <w:rPr>
          <w:rFonts w:ascii="Arial" w:cs="Arial" w:eastAsia="Arial" w:hAnsi="Arial"/>
          <w:color w:val="888888"/>
          <w:sz w:val="18"/>
          <w:szCs w:val="18"/>
        </w:rPr>
        <w:t xml:space="preserve">Changho Song  ·  joa337@gmail.com</w:t>
      </w:r>
    </w:p>
    <w:p>
      <w:pPr>
        <w:spacing w:after="80" w:before="0"/>
        <w:jc w:val="center"/>
      </w:pPr>
      <w:r>
        <w:rPr>
          <w:rFonts w:ascii="Arial" w:cs="Arial" w:eastAsia="Arial" w:hAnsi="Arial"/>
          <w:color w:val="888888"/>
          <w:sz w:val="18"/>
          <w:szCs w:val="18"/>
        </w:rPr>
        <w:t xml:space="preserve">github.com/joa337/velsanet-whitepapers</w:t>
      </w:r>
    </w:p>
    <w:p>
      <w:pPr>
        <w:spacing w:after="0" w:before="0"/>
        <w:jc w:val="center"/>
      </w:pPr>
      <w:r>
        <w:rPr>
          <w:rFonts w:ascii="Arial" w:cs="Arial" w:eastAsia="Arial" w:hAnsi="Arial"/>
          <w:color w:val="AAAAAA"/>
          <w:sz w:val="18"/>
          <w:szCs w:val="18"/>
        </w:rPr>
        <w:t xml:space="preserve">April 2026  ·  Velsanet White Paper #WP-ECO-01</w:t>
      </w:r>
    </w:p>
    <w:p>
      <w:pPr>
        <w:spacing w:after="0" w:before="1400"/>
        <w:jc w:val="center"/>
      </w:pPr>
      <w:r>
        <w:rPr>
          <w:rFonts w:ascii="Arial" w:cs="Arial" w:eastAsia="Arial" w:hAnsi="Arial"/>
          <w:b/>
          <w:bCs/>
          <w:color w:val="1A3A5C"/>
          <w:sz w:val="64"/>
          <w:szCs w:val="64"/>
        </w:rPr>
        <w:t xml:space="preserve">VELSANET</w:t>
      </w:r>
    </w:p>
    <w:p>
      <w:pPr>
        <w:spacing w:after="80" w:before="0"/>
        <w:jc w:val="center"/>
      </w:pPr>
      <w:r>
        <w:rPr>
          <w:rFonts w:ascii="Arial" w:cs="Arial" w:eastAsia="Arial" w:hAnsi="Arial"/>
          <w:color w:val="999999"/>
          <w:sz w:val="20"/>
          <w:szCs w:val="20"/>
        </w:rPr>
        <w:t xml:space="preserve">White Paper #WP-ECO-02</w:t>
      </w:r>
    </w:p>
    <w:p>
      <w:pPr>
        <w:pBdr>
          <w:bottom w:val="single" w:color="2E6DA4" w:sz="8" w:space="4"/>
        </w:pBdr>
        <w:spacing w:after="0" w:before="200"/>
        <w:jc w:val="center"/>
      </w:pPr>
      <w:r>
        <w:rPr>
          <w:rFonts w:ascii="Arial" w:cs="Arial" w:eastAsia="Arial" w:hAnsi="Arial"/>
          <w:b/>
          <w:bCs/>
          <w:color w:val="2E6DA4"/>
          <w:sz w:val="44"/>
          <w:szCs w:val="44"/>
        </w:rPr>
        <w:t xml:space="preserve">Trust by Architecture</w:t>
      </w:r>
    </w:p>
    <w:p>
      <w:pPr>
        <w:spacing w:after="600" w:before="240"/>
        <w:jc w:val="center"/>
      </w:pPr>
      <w:r>
        <w:rPr>
          <w:rFonts w:ascii="Arial" w:cs="Arial" w:eastAsia="Arial" w:hAnsi="Arial"/>
          <w:color w:val="444444"/>
          <w:sz w:val="26"/>
          <w:szCs w:val="26"/>
        </w:rPr>
        <w:t xml:space="preserve">AAI as the Structural Trust and Security Layer of the Velsanet Economy</w:t>
      </w:r>
    </w:p>
    <w:p>
      <w:pPr>
        <w:spacing w:after="120" w:before="0"/>
        <w:jc w:val="center"/>
      </w:pPr>
      <w:r>
        <w:rPr>
          <w:rFonts w:ascii="Arial" w:cs="Arial" w:eastAsia="Arial" w:hAnsi="Arial"/>
          <w:b/>
          <w:bCs/>
          <w:color w:val="333333"/>
          <w:sz w:val="26"/>
          <w:szCs w:val="26"/>
        </w:rPr>
        <w:t xml:space="preserve">Changho Song</w:t>
      </w:r>
    </w:p>
    <w:p>
      <w:pPr>
        <w:spacing w:after="80" w:before="0"/>
        <w:jc w:val="center"/>
      </w:pPr>
      <w:r>
        <w:rPr>
          <w:rFonts w:ascii="Arial" w:cs="Arial" w:eastAsia="Arial" w:hAnsi="Arial"/>
          <w:color w:val="888888"/>
          <w:sz w:val="20"/>
          <w:szCs w:val="20"/>
        </w:rPr>
        <w:t xml:space="preserve">Independent Researcher  ·  Velsanet Architecture</w:t>
      </w:r>
    </w:p>
    <w:p>
      <w:pPr>
        <w:spacing w:after="0" w:before="0"/>
        <w:jc w:val="center"/>
      </w:pPr>
      <w:r>
        <w:rPr>
          <w:rFonts w:ascii="Arial" w:cs="Arial" w:eastAsia="Arial" w:hAnsi="Arial"/>
          <w:color w:val="888888"/>
          <w:sz w:val="20"/>
          <w:szCs w:val="20"/>
        </w:rPr>
        <w:t xml:space="preserve">April 2026</w:t>
      </w:r>
    </w:p>
    <w:p>
      <w:r>
        <w:br w:type="page"/>
      </w:r>
    </w:p>
    <w:p>
      <w:pPr>
        <w:pStyle w:val="Heading1"/>
        <w:spacing w:after="200" w:before="480"/>
      </w:pPr>
      <w:r>
        <w:rPr>
          <w:rFonts w:ascii="Arial" w:cs="Arial" w:eastAsia="Arial" w:hAnsi="Arial"/>
          <w:b/>
          <w:bCs/>
          <w:color w:val="1A3A5C"/>
          <w:sz w:val="34"/>
          <w:szCs w:val="34"/>
        </w:rPr>
        <w:t xml:space="preserve">Preface</w:t>
      </w:r>
    </w:p>
    <w:p>
      <w:pPr>
        <w:spacing w:after="80" w:before="80"/>
      </w:pPr>
      <w:r>
        <w:rPr>
          <w:rFonts w:ascii="Arial" w:cs="Arial" w:eastAsia="Arial" w:hAnsi="Arial"/>
          <w:color w:val="222222"/>
          <w:sz w:val="22"/>
          <w:szCs w:val="22"/>
        </w:rPr>
        <w:t xml:space="preserve">Trust is the invisible infrastructure of every economy. Without it, no transaction completes. No contract holds. No institution functions.</w:t>
      </w:r>
    </w:p>
    <w:p>
      <w:pPr>
        <w:spacing w:after="60" w:before="60"/>
      </w:pPr>
      <w:r>
        <w:t xml:space="preserve"/>
      </w:r>
    </w:p>
    <w:p>
      <w:pPr>
        <w:spacing w:after="80" w:before="80"/>
      </w:pPr>
      <w:r>
        <w:rPr>
          <w:rFonts w:ascii="Arial" w:cs="Arial" w:eastAsia="Arial" w:hAnsi="Arial"/>
          <w:color w:val="222222"/>
          <w:sz w:val="22"/>
          <w:szCs w:val="22"/>
        </w:rPr>
        <w:t xml:space="preserve">The current economy manufactures trust through intermediaries: lawyers verify agreements, accountants certify numbers, notaries authenticate identities, auditors confirm compliance, courts resolve disputes. These intermediaries are not flaws in the system. They are the system.</w:t>
      </w:r>
    </w:p>
    <w:p>
      <w:pPr>
        <w:spacing w:after="60" w:before="60"/>
      </w:pPr>
      <w:r>
        <w:t xml:space="preserve"/>
      </w:r>
    </w:p>
    <w:p>
      <w:pPr>
        <w:spacing w:after="80" w:before="80"/>
      </w:pPr>
      <w:r>
        <w:rPr>
          <w:rFonts w:ascii="Arial" w:cs="Arial" w:eastAsia="Arial" w:hAnsi="Arial"/>
          <w:color w:val="222222"/>
          <w:sz w:val="22"/>
          <w:szCs w:val="22"/>
        </w:rPr>
        <w:t xml:space="preserve">But they were designed for a world of human-speed transactions, local jurisdictions, and paper records. The AI economy operates at a fundamentally different scale: millisecond execution, global reach, and autonomous systems that have no inherent accountability.</w:t>
      </w:r>
    </w:p>
    <w:p>
      <w:pPr>
        <w:spacing w:after="60" w:before="60"/>
      </w:pPr>
      <w:r>
        <w:t xml:space="preserve"/>
      </w:r>
    </w:p>
    <w:p>
      <w:pPr>
        <w:spacing w:after="80" w:before="80"/>
      </w:pPr>
      <w:r>
        <w:rPr>
          <w:rFonts w:ascii="Arial" w:cs="Arial" w:eastAsia="Arial" w:hAnsi="Arial"/>
          <w:color w:val="222222"/>
          <w:sz w:val="22"/>
          <w:szCs w:val="22"/>
        </w:rPr>
        <w:t xml:space="preserve">This paper describes how Velsanet solves the trust problem — not by replacing existing institutions, but by embedding their logic into the architecture of the network itself. The result is a system in which trust is not manufactured after the fact by intermediaries. It is a structural property of every transaction from the moment it originates.</w:t>
      </w:r>
    </w:p>
    <w:p>
      <w:pPr>
        <w:spacing w:after="60" w:before="60"/>
      </w:pPr>
      <w:r>
        <w:t xml:space="preserve"/>
      </w:r>
    </w:p>
    <w:p>
      <w:pPr>
        <w:pBdr>
          <w:left w:val="single" w:color="2E6DA4" w:sz="6" w:space="8"/>
        </w:pBdr>
        <w:spacing w:after="160" w:before="160"/>
        <w:ind w:left="720" w:right="720"/>
      </w:pPr>
      <w:r>
        <w:rPr>
          <w:rFonts w:ascii="Arial" w:cs="Arial" w:eastAsia="Arial" w:hAnsi="Arial"/>
          <w:i/>
          <w:iCs/>
          <w:color w:val="2E6DA4"/>
          <w:sz w:val="24"/>
          <w:szCs w:val="24"/>
        </w:rPr>
        <w:t xml:space="preserve">In Velsanet, trust is not a service. It is an architectural invariant.</w:t>
      </w:r>
    </w:p>
    <w:p>
      <w:pPr>
        <w:pBdr>
          <w:bottom w:val="single" w:color="2E6DA4" w:sz="4" w:space="1"/>
        </w:pBdr>
        <w:spacing w:after="240" w:before="240"/>
      </w:pPr>
    </w:p>
    <w:p>
      <w:pPr>
        <w:pStyle w:val="Heading1"/>
        <w:spacing w:after="200" w:before="480"/>
      </w:pPr>
      <w:r>
        <w:rPr>
          <w:rFonts w:ascii="Arial" w:cs="Arial" w:eastAsia="Arial" w:hAnsi="Arial"/>
          <w:b/>
          <w:bCs/>
          <w:color w:val="1A3A5C"/>
          <w:sz w:val="34"/>
          <w:szCs w:val="34"/>
        </w:rPr>
        <w:t xml:space="preserve">Part I: The Structural Weakness of Current Trust Systems</w:t>
      </w:r>
    </w:p>
    <w:p>
      <w:pPr>
        <w:pStyle w:val="Heading2"/>
        <w:spacing w:after="160" w:before="320"/>
      </w:pPr>
      <w:r>
        <w:rPr>
          <w:rFonts w:ascii="Arial" w:cs="Arial" w:eastAsia="Arial" w:hAnsi="Arial"/>
          <w:b/>
          <w:bCs/>
          <w:color w:val="2E6DA4"/>
          <w:sz w:val="26"/>
          <w:szCs w:val="26"/>
        </w:rPr>
        <w:t xml:space="preserve">1.1 Trust as an Afterthought</w:t>
      </w:r>
    </w:p>
    <w:p>
      <w:pPr>
        <w:spacing w:after="80" w:before="80"/>
      </w:pPr>
      <w:r>
        <w:rPr>
          <w:rFonts w:ascii="Arial" w:cs="Arial" w:eastAsia="Arial" w:hAnsi="Arial"/>
          <w:color w:val="222222"/>
          <w:sz w:val="22"/>
          <w:szCs w:val="22"/>
        </w:rPr>
        <w:t xml:space="preserve">In every existing network architecture, trust is applied after the fact. Data travels first. Authentication is checked afterwards. Compliance is verified periodically. Disputes are resolved when they arise.</w:t>
      </w:r>
    </w:p>
    <w:p>
      <w:pPr>
        <w:spacing w:after="60" w:before="60"/>
      </w:pPr>
      <w:r>
        <w:t xml:space="preserve"/>
      </w:r>
    </w:p>
    <w:p>
      <w:pPr>
        <w:spacing w:after="80" w:before="80"/>
      </w:pPr>
      <w:r>
        <w:rPr>
          <w:rFonts w:ascii="Arial" w:cs="Arial" w:eastAsia="Arial" w:hAnsi="Arial"/>
          <w:color w:val="222222"/>
          <w:sz w:val="22"/>
          <w:szCs w:val="22"/>
        </w:rPr>
        <w:t xml:space="preserve">This post-hoc model creates four structural vulnerabilities that cannot be patched by optimization:</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Vulnerability</w:t>
            </w:r>
          </w:p>
        </w:tc>
        <w:tc>
          <w:tcPr>
            <w:tcW w:type="dxa" w:w="30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Current Consequence</w:t>
            </w:r>
          </w:p>
        </w:tc>
        <w:tc>
          <w:tcPr>
            <w:tcW w:type="dxa" w:w="3826"/>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At AI Scale</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Verification latency</w:t>
            </w:r>
          </w:p>
        </w:tc>
        <w:tc>
          <w:tcPr>
            <w:tcW w:type="dxa" w:w="3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Days or weeks for legal/accounting verification</w:t>
            </w:r>
          </w:p>
        </w:tc>
        <w:tc>
          <w:tcPr>
            <w:tcW w:type="dxa" w:w="38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Millisecond AI decisions cannot wait for human review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Jurisdiction gaps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Laws differ across borders; enforcement is inconsistent</w:t>
            </w:r>
          </w:p>
        </w:tc>
        <w:tc>
          <w:tcPr>
            <w:tcW w:type="dxa" w:w="3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AI systems operate globally with no inherent jurisdiction</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Auditability limits</w:t>
            </w:r>
          </w:p>
        </w:tc>
        <w:tc>
          <w:tcPr>
            <w:tcW w:type="dxa" w:w="3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Records are created by parties with interest in the outcome</w:t>
            </w:r>
          </w:p>
        </w:tc>
        <w:tc>
          <w:tcPr>
            <w:tcW w:type="dxa" w:w="38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AI-generated records can be altered before human review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Intermediary bottlenecks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Every transaction requires human professional involvement</w:t>
            </w:r>
          </w:p>
        </w:tc>
        <w:tc>
          <w:tcPr>
            <w:tcW w:type="dxa" w:w="3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AI transaction volumes exceed human review capacity by orders of magnitude</w:t>
            </w:r>
          </w:p>
        </w:tc>
      </w:tr>
    </w:tbl>
    <w:p>
      <w:pPr>
        <w:spacing w:after="60" w:before="60"/>
      </w:pPr>
      <w:r>
        <w:t xml:space="preserve"/>
      </w:r>
    </w:p>
    <w:p>
      <w:pPr>
        <w:pStyle w:val="Heading2"/>
        <w:spacing w:after="160" w:before="320"/>
      </w:pPr>
      <w:r>
        <w:rPr>
          <w:rFonts w:ascii="Arial" w:cs="Arial" w:eastAsia="Arial" w:hAnsi="Arial"/>
          <w:b/>
          <w:bCs/>
          <w:color w:val="2E6DA4"/>
          <w:sz w:val="26"/>
          <w:szCs w:val="26"/>
        </w:rPr>
        <w:t xml:space="preserve">1.2 The Fundamental Problem: Trust Is Detached from Execution</w:t>
      </w:r>
    </w:p>
    <w:p>
      <w:pPr>
        <w:spacing w:after="80" w:before="80"/>
      </w:pPr>
      <w:r>
        <w:rPr>
          <w:rFonts w:ascii="Arial" w:cs="Arial" w:eastAsia="Arial" w:hAnsi="Arial"/>
          <w:color w:val="222222"/>
          <w:sz w:val="22"/>
          <w:szCs w:val="22"/>
        </w:rPr>
        <w:t xml:space="preserve">The deepest problem is architectural: in all current systems, the act of execution is structurally detached from the act of verification. A transaction can be executed before it is verified. An action can be taken before its authorization is confirmed. A record can be created before its integrity is established.</w:t>
      </w:r>
    </w:p>
    <w:p>
      <w:pPr>
        <w:spacing w:after="60" w:before="60"/>
      </w:pPr>
      <w:r>
        <w:t xml:space="preserve"/>
      </w:r>
    </w:p>
    <w:p>
      <w:pPr>
        <w:spacing w:after="80" w:before="80"/>
      </w:pPr>
      <w:r>
        <w:rPr>
          <w:rFonts w:ascii="Arial" w:cs="Arial" w:eastAsia="Arial" w:hAnsi="Arial"/>
          <w:color w:val="222222"/>
          <w:sz w:val="22"/>
          <w:szCs w:val="22"/>
        </w:rPr>
        <w:t xml:space="preserve">This detachment is not a bug. It is the foundational design assumption of every network built on packet-switched, address-based communication. Data moves first. Everything else follows.</w:t>
      </w:r>
    </w:p>
    <w:p>
      <w:pPr>
        <w:spacing w:after="60" w:before="60"/>
      </w:pPr>
      <w:r>
        <w:t xml:space="preserve"/>
      </w:r>
    </w:p>
    <w:p>
      <w:pPr>
        <w:pBdr>
          <w:left w:val="single" w:color="2E6DA4" w:sz="6" w:space="8"/>
        </w:pBdr>
        <w:spacing w:after="160" w:before="160"/>
        <w:ind w:left="720" w:right="720"/>
      </w:pPr>
      <w:r>
        <w:rPr>
          <w:rFonts w:ascii="Arial" w:cs="Arial" w:eastAsia="Arial" w:hAnsi="Arial"/>
          <w:i/>
          <w:iCs/>
          <w:color w:val="2E6DA4"/>
          <w:sz w:val="24"/>
          <w:szCs w:val="24"/>
        </w:rPr>
        <w:t xml:space="preserve">Velsanet inverts this assumption entirely. Verification is not what follows execution. Verification is the structural precondition of execution.</w:t>
      </w:r>
    </w:p>
    <w:p>
      <w:pPr>
        <w:pBdr>
          <w:bottom w:val="single" w:color="2E6DA4" w:sz="4" w:space="1"/>
        </w:pBdr>
        <w:spacing w:after="240" w:before="240"/>
      </w:pPr>
    </w:p>
    <w:p>
      <w:pPr>
        <w:pStyle w:val="Heading1"/>
        <w:spacing w:after="200" w:before="480"/>
      </w:pPr>
      <w:r>
        <w:rPr>
          <w:rFonts w:ascii="Arial" w:cs="Arial" w:eastAsia="Arial" w:hAnsi="Arial"/>
          <w:b/>
          <w:bCs/>
          <w:color w:val="1A3A5C"/>
          <w:sz w:val="34"/>
          <w:szCs w:val="34"/>
        </w:rPr>
        <w:t xml:space="preserve">Part II: AAI — The Digital Certified Professional Group</w:t>
      </w:r>
    </w:p>
    <w:p>
      <w:pPr>
        <w:pStyle w:val="Heading2"/>
        <w:spacing w:after="160" w:before="320"/>
      </w:pPr>
      <w:r>
        <w:rPr>
          <w:rFonts w:ascii="Arial" w:cs="Arial" w:eastAsia="Arial" w:hAnsi="Arial"/>
          <w:b/>
          <w:bCs/>
          <w:color w:val="2E6DA4"/>
          <w:sz w:val="26"/>
          <w:szCs w:val="26"/>
        </w:rPr>
        <w:t xml:space="preserve">2.1 What AAI Actually Is</w:t>
      </w:r>
    </w:p>
    <w:p>
      <w:pPr>
        <w:spacing w:after="80" w:before="80"/>
      </w:pPr>
      <w:r>
        <w:rPr>
          <w:rFonts w:ascii="Arial" w:cs="Arial" w:eastAsia="Arial" w:hAnsi="Arial"/>
          <w:color w:val="222222"/>
          <w:sz w:val="22"/>
          <w:szCs w:val="22"/>
        </w:rPr>
        <w:t xml:space="preserve">AAI (Agent AI) is the Transaction Guardian layer of the Velsanet architecture. It is structurally embedded at the Dodecahedron (D12) node — the regional coordination center of the network, positioned between individual cognition (PAI) and infrastructure execution (AsAI).</w:t>
      </w:r>
    </w:p>
    <w:p>
      <w:pPr>
        <w:spacing w:after="60" w:before="60"/>
      </w:pPr>
      <w:r>
        <w:t xml:space="preserve"/>
      </w:r>
    </w:p>
    <w:p>
      <w:pPr>
        <w:spacing w:after="80" w:before="80"/>
      </w:pPr>
      <w:r>
        <w:rPr>
          <w:rFonts w:ascii="Arial" w:cs="Arial" w:eastAsia="Arial" w:hAnsi="Arial"/>
          <w:color w:val="222222"/>
          <w:sz w:val="22"/>
          <w:szCs w:val="22"/>
        </w:rPr>
        <w:t xml:space="preserve">AAI is not a software service. It is not a middleware layer. It is the structural home of the professional expertise that currently exists outside the network — and it performs three simultaneous roles that no single institution in the current economy can combine: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026"/>
      </w:tblGrid>
      <w:tr>
        <w:trPr>
          <w:tblHeader/>
        </w:trPr>
        <w:tc>
          <w:tcPr>
            <w:tcW w:type="dxa" w:w="16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Role</w:t>
            </w:r>
          </w:p>
        </w:tc>
        <w:tc>
          <w:tcPr>
            <w:tcW w:type="dxa" w:w="24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Professional Equivalent</w:t>
            </w:r>
          </w:p>
        </w:tc>
        <w:tc>
          <w:tcPr>
            <w:tcW w:type="dxa" w:w="5026"/>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What AAI Does</w:t>
            </w:r>
          </w:p>
        </w:tc>
      </w:tr>
      <w:tr>
        <w:tc>
          <w:tcPr>
            <w:tcW w:type="dxa" w:w="16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Agent</w:t>
            </w:r>
          </w:p>
        </w:tc>
        <w:tc>
          <w:tcPr>
            <w:tcW w:type="dxa" w:w="2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Lawyer / Representative</w:t>
            </w:r>
          </w:p>
        </w:tc>
        <w:tc>
          <w:tcPr>
            <w:tcW w:type="dxa" w:w="50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Acts on behalf of the individual in translating cognitive intent into structurally actionable form. Applies applicable law and policy.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Guardian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Compliance Officer / Regulator</w:t>
            </w:r>
          </w:p>
        </w:tc>
        <w:tc>
          <w:tcPr>
            <w:tcW w:type="dxa" w:w="5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Enforces the conditions under which execution is permitted. Not as rules that can be circumvented, but as architectural gates that cannot be bypassed.</w:t>
            </w:r>
          </w:p>
        </w:tc>
      </w:tr>
      <w:tr>
        <w:tc>
          <w:tcPr>
            <w:tcW w:type="dxa" w:w="16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Witness</w:t>
            </w:r>
          </w:p>
        </w:tc>
        <w:tc>
          <w:tcPr>
            <w:tcW w:type="dxa" w:w="2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Notary / Auditor / Court of Record</w:t>
            </w:r>
          </w:p>
        </w:tc>
        <w:tc>
          <w:tcPr>
            <w:tcW w:type="dxa" w:w="50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Creates an immutable structural record of every validation event. This record is not a document. It is a topologically fixed data object that cannot be retroactively altered.</w:t>
            </w:r>
          </w:p>
        </w:tc>
      </w:tr>
    </w:tbl>
    <w:p>
      <w:pPr>
        <w:spacing w:after="60" w:before="60"/>
      </w:pPr>
      <w:r>
        <w:t xml:space="preserve"/>
      </w:r>
    </w:p>
    <w:p>
      <w:pPr>
        <w:pStyle w:val="Heading2"/>
        <w:spacing w:after="160" w:before="320"/>
      </w:pPr>
      <w:r>
        <w:rPr>
          <w:rFonts w:ascii="Arial" w:cs="Arial" w:eastAsia="Arial" w:hAnsi="Arial"/>
          <w:b/>
          <w:bCs/>
          <w:color w:val="2E6DA4"/>
          <w:sz w:val="26"/>
          <w:szCs w:val="26"/>
        </w:rPr>
        <w:t xml:space="preserve">2.2 The Professional Expertise That Lives Inside AAI</w:t>
      </w:r>
    </w:p>
    <w:p>
      <w:pPr>
        <w:spacing w:after="80" w:before="80"/>
      </w:pPr>
      <w:r>
        <w:rPr>
          <w:rFonts w:ascii="Arial" w:cs="Arial" w:eastAsia="Arial" w:hAnsi="Arial"/>
          <w:color w:val="222222"/>
          <w:sz w:val="22"/>
          <w:szCs w:val="22"/>
        </w:rPr>
        <w:t xml:space="preserve">AAI does not replace professional expertise. It embeds it. The knowledge, judgment standards, and verification logic of entire professional domains become structural parameters of the AAI layer:</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613"/>
        <w:gridCol w:w="4613"/>
      </w:tblGrid>
      <w:tr>
        <w:trPr>
          <w:tblHeader/>
        </w:trPr>
        <w:tc>
          <w:tcPr>
            <w:tcW w:type="dxa" w:w="18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Professional Domain</w:t>
            </w:r>
          </w:p>
        </w:tc>
        <w:tc>
          <w:tcPr>
            <w:tcW w:type="dxa" w:w="26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Current Form</w:t>
            </w:r>
          </w:p>
        </w:tc>
        <w:tc>
          <w:tcPr>
            <w:tcW w:type="dxa" w:w="46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Inside AAI</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Law</w:t>
            </w:r>
          </w:p>
        </w:tc>
        <w:tc>
          <w:tcPr>
            <w:tcW w:type="dxa" w:w="26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Lawyers interpret statutes and advise on compliance</w:t>
            </w:r>
          </w:p>
        </w:tc>
        <w:tc>
          <w:tcPr>
            <w:tcW w:type="dxa" w:w="46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Statutory logic encoded as structural validation parameters. Applicable law determined by Q4 sovereign layer. No interpretation required — structural conformance is binary.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Accounting</w:t>
            </w:r>
          </w:p>
        </w:tc>
        <w:tc>
          <w:tcPr>
            <w:tcW w:type="dxa" w:w="26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Accountants verify financial statements and certify compliance</w:t>
            </w:r>
          </w:p>
        </w:tc>
        <w:tc>
          <w:tcPr>
            <w:tcW w:type="dxa" w:w="46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Resource flows tracked structurally in real time. Every transaction produces an automatic accounting entry. No periodic audit — continuous structural verification.</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Notary / Authentication</w:t>
            </w:r>
          </w:p>
        </w:tc>
        <w:tc>
          <w:tcPr>
            <w:tcW w:type="dxa" w:w="26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Notaries certify identity and authenticate signatures</w:t>
            </w:r>
          </w:p>
        </w:tc>
        <w:tc>
          <w:tcPr>
            <w:tcW w:type="dxa" w:w="46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Identity verified through structural conformance at spatial genesis phase. Authentication is architectural, not documentary.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Auditing</w:t>
            </w:r>
          </w:p>
        </w:tc>
        <w:tc>
          <w:tcPr>
            <w:tcW w:type="dxa" w:w="26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Auditors review past records and issue compliance opinions</w:t>
            </w:r>
          </w:p>
        </w:tc>
        <w:tc>
          <w:tcPr>
            <w:tcW w:type="dxa" w:w="46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Pre-execution audit (structural gate), runtime audit (continuous monitoring), post-execution audit (automatic settlement report). No retroactive review possible or needed.</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Insurance / Risk</w:t>
            </w:r>
          </w:p>
        </w:tc>
        <w:tc>
          <w:tcPr>
            <w:tcW w:type="dxa" w:w="26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Actuaries assess risk; underwriters set terms; claims adjusters verify</w:t>
            </w:r>
          </w:p>
        </w:tc>
        <w:tc>
          <w:tcPr>
            <w:tcW w:type="dxa" w:w="46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Risk parameters encoded structurally. Event triggers automatic payout. No claims process. No adjuster. No dispute.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Compliance</w:t>
            </w:r>
          </w:p>
        </w:tc>
        <w:tc>
          <w:tcPr>
            <w:tcW w:type="dxa" w:w="26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Compliance officers monitor ongoing regulatory adherence</w:t>
            </w:r>
          </w:p>
        </w:tc>
        <w:tc>
          <w:tcPr>
            <w:tcW w:type="dxa" w:w="46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Regulatory requirements encoded at Q4 layer. Every action validated against current regulatory state before execution. Compliance is continuous, not periodic.</w:t>
            </w:r>
          </w:p>
        </w:tc>
      </w:tr>
    </w:tbl>
    <w:p>
      <w:pPr>
        <w:spacing w:after="60" w:before="60"/>
      </w:pPr>
      <w:r>
        <w:t xml:space="preserve"/>
      </w:r>
    </w:p>
    <w:p>
      <w:pPr>
        <w:spacing w:after="80" w:before="80"/>
      </w:pPr>
      <w:r>
        <w:rPr>
          <w:rFonts w:ascii="Arial" w:cs="Arial" w:eastAsia="Arial" w:hAnsi="Arial"/>
          <w:color w:val="222222"/>
          <w:sz w:val="22"/>
          <w:szCs w:val="22"/>
        </w:rPr>
        <w:t xml:space="preserve">To be precise: these professionals do not become obsolete. Their role evolves. They become the designers of the structural parameters — the architects of the rules that AAI enforces. The judgment moves upstream, from transaction-by-transaction review to the design of structural standards.</w:t>
      </w:r>
    </w:p>
    <w:p>
      <w:pPr>
        <w:pBdr>
          <w:bottom w:val="single" w:color="2E6DA4" w:sz="4" w:space="1"/>
        </w:pBdr>
        <w:spacing w:after="240" w:before="240"/>
      </w:pPr>
    </w:p>
    <w:p>
      <w:pPr>
        <w:pStyle w:val="Heading1"/>
        <w:spacing w:after="200" w:before="480"/>
      </w:pPr>
      <w:r>
        <w:rPr>
          <w:rFonts w:ascii="Arial" w:cs="Arial" w:eastAsia="Arial" w:hAnsi="Arial"/>
          <w:b/>
          <w:bCs/>
          <w:color w:val="1A3A5C"/>
          <w:sz w:val="34"/>
          <w:szCs w:val="34"/>
        </w:rPr>
        <w:t xml:space="preserve">Part III: The Three-Stage Verification Mechanism</w:t>
      </w:r>
    </w:p>
    <w:p>
      <w:pPr>
        <w:spacing w:after="80" w:before="80"/>
      </w:pPr>
      <w:r>
        <w:rPr>
          <w:rFonts w:ascii="Arial" w:cs="Arial" w:eastAsia="Arial" w:hAnsi="Arial"/>
          <w:color w:val="222222"/>
          <w:sz w:val="22"/>
          <w:szCs w:val="22"/>
        </w:rPr>
        <w:t xml:space="preserve">AAI's verification function operates across three structural stages that together create a complete, unbroken chain of accountability for every transaction in the Velsanet economy.</w:t>
      </w:r>
    </w:p>
    <w:p>
      <w:pPr>
        <w:spacing w:after="60" w:before="60"/>
      </w:pPr>
      <w:r>
        <w:t xml:space="preserve"/>
      </w:r>
    </w:p>
    <w:p>
      <w:pPr>
        <w:pStyle w:val="Heading2"/>
        <w:spacing w:after="160" w:before="320"/>
      </w:pPr>
      <w:r>
        <w:rPr>
          <w:rFonts w:ascii="Arial" w:cs="Arial" w:eastAsia="Arial" w:hAnsi="Arial"/>
          <w:b/>
          <w:bCs/>
          <w:color w:val="2E6DA4"/>
          <w:sz w:val="26"/>
          <w:szCs w:val="26"/>
        </w:rPr>
        <w:t xml:space="preserve">3.1 Stage One — Pre-Execution Audit (Structural Gate)</w:t>
      </w:r>
    </w:p>
    <w:p>
      <w:pPr>
        <w:spacing w:after="80" w:before="80"/>
      </w:pPr>
      <w:r>
        <w:rPr>
          <w:rFonts w:ascii="Arial" w:cs="Arial" w:eastAsia="Arial" w:hAnsi="Arial"/>
          <w:color w:val="222222"/>
          <w:sz w:val="22"/>
          <w:szCs w:val="22"/>
        </w:rPr>
        <w:t xml:space="preserve">Before any AsAI execution occurs, AAI performs a complete structural validation of the intent received from PAI. This is not a check against a policy database. It is a structural gate: the execution path does not exist until validation is complete.</w:t>
      </w:r>
    </w:p>
    <w:p>
      <w:pPr>
        <w:spacing w:after="60" w:before="60"/>
      </w:pPr>
      <w:r>
        <w:t xml:space="preserve"/>
      </w:r>
    </w:p>
    <w:p>
      <w:pPr>
        <w:spacing w:after="80" w:before="80"/>
      </w:pPr>
      <w:r>
        <w:rPr>
          <w:rFonts w:ascii="Arial" w:cs="Arial" w:eastAsia="Arial" w:hAnsi="Arial"/>
          <w:color w:val="222222"/>
          <w:sz w:val="22"/>
          <w:szCs w:val="22"/>
        </w:rPr>
        <w:t xml:space="preserve">The pre-execution audit covers:</w:t>
      </w:r>
    </w:p>
    <w:p>
      <w:pPr>
        <w:spacing w:after="60" w:before="60"/>
      </w:pPr>
      <w:r>
        <w:t xml:space="preserve"/>
      </w:r>
    </w:p>
    <w:p>
      <w:pPr>
        <w:pStyle w:val="ListParagraph"/>
        <w:numPr>
          <w:ilvl w:val="0"/>
          <w:numId w:val="2"/>
        </w:numPr>
        <w:spacing w:after="60" w:before="60"/>
      </w:pPr>
      <w:r>
        <w:rPr>
          <w:rFonts w:ascii="Arial" w:cs="Arial" w:eastAsia="Arial" w:hAnsi="Arial"/>
          <w:b w:val="false"/>
          <w:bCs w:val="false"/>
          <w:sz w:val="22"/>
          <w:szCs w:val="22"/>
        </w:rPr>
        <w:t xml:space="preserve">Legal conformance: Is this intent permissible under the applicable jurisdiction's law, as encoded at the Q4 sovereign layer?</w:t>
      </w:r>
    </w:p>
    <w:p>
      <w:pPr>
        <w:pStyle w:val="ListParagraph"/>
        <w:numPr>
          <w:ilvl w:val="0"/>
          <w:numId w:val="2"/>
        </w:numPr>
        <w:spacing w:after="60" w:before="60"/>
      </w:pPr>
      <w:r>
        <w:rPr>
          <w:rFonts w:ascii="Arial" w:cs="Arial" w:eastAsia="Arial" w:hAnsi="Arial"/>
          <w:b w:val="false"/>
          <w:bCs w:val="false"/>
          <w:sz w:val="22"/>
          <w:szCs w:val="22"/>
        </w:rPr>
        <w:t xml:space="preserve">Policy compliance: Does this intent conform to applicable government policy, regulatory requirements, and administrative rules?</w:t>
      </w:r>
    </w:p>
    <w:p>
      <w:pPr>
        <w:pStyle w:val="ListParagraph"/>
        <w:numPr>
          <w:ilvl w:val="0"/>
          <w:numId w:val="2"/>
        </w:numPr>
        <w:spacing w:after="60" w:before="60"/>
      </w:pPr>
      <w:r>
        <w:rPr>
          <w:rFonts w:ascii="Arial" w:cs="Arial" w:eastAsia="Arial" w:hAnsi="Arial"/>
          <w:b w:val="false"/>
          <w:bCs w:val="false"/>
          <w:sz w:val="22"/>
          <w:szCs w:val="22"/>
        </w:rPr>
        <w:t xml:space="preserve">Ethical validation: Does this intent satisfy the ethical constraints applicable to the domain and jurisdiction?</w:t>
      </w:r>
    </w:p>
    <w:p>
      <w:pPr>
        <w:pStyle w:val="ListParagraph"/>
        <w:numPr>
          <w:ilvl w:val="0"/>
          <w:numId w:val="2"/>
        </w:numPr>
        <w:spacing w:after="60" w:before="60"/>
      </w:pPr>
      <w:r>
        <w:rPr>
          <w:rFonts w:ascii="Arial" w:cs="Arial" w:eastAsia="Arial" w:hAnsi="Arial"/>
          <w:b w:val="false"/>
          <w:bCs w:val="false"/>
          <w:sz w:val="22"/>
          <w:szCs w:val="22"/>
        </w:rPr>
        <w:t xml:space="preserve">Resource authorization: Is the requesting entity authorized to consume the resources required for execution?</w:t>
      </w:r>
    </w:p>
    <w:p>
      <w:pPr>
        <w:pStyle w:val="ListParagraph"/>
        <w:numPr>
          <w:ilvl w:val="0"/>
          <w:numId w:val="2"/>
        </w:numPr>
        <w:spacing w:after="60" w:before="60"/>
      </w:pPr>
      <w:r>
        <w:rPr>
          <w:rFonts w:ascii="Arial" w:cs="Arial" w:eastAsia="Arial" w:hAnsi="Arial"/>
          <w:b w:val="false"/>
          <w:bCs w:val="false"/>
          <w:sz w:val="22"/>
          <w:szCs w:val="22"/>
        </w:rPr>
        <w:t xml:space="preserve">Counterparty verification: In multi-party transactions, has the counterparty's AAI also validated its corresponding intent?</w:t>
      </w:r>
    </w:p>
    <w:p>
      <w:pPr>
        <w:spacing w:after="60" w:before="60"/>
      </w:pPr>
      <w:r>
        <w:t xml:space="preserve"/>
      </w:r>
    </w:p>
    <w:p>
      <w:pPr>
        <w:spacing w:after="80" w:before="80"/>
      </w:pPr>
      <w:r>
        <w:rPr>
          <w:rFonts w:ascii="Arial" w:cs="Arial" w:eastAsia="Arial" w:hAnsi="Arial"/>
          <w:color w:val="222222"/>
          <w:sz w:val="22"/>
          <w:szCs w:val="22"/>
        </w:rPr>
        <w:t xml:space="preserve">If any validation fails, execution does not proceed. There is no override mechanism. There is no exception pathway. The structural gate is closed until the conditions are met.</w:t>
      </w:r>
    </w:p>
    <w:p>
      <w:pPr>
        <w:spacing w:after="60" w:before="60"/>
      </w:pPr>
      <w:r>
        <w:t xml:space="preserve"/>
      </w:r>
    </w:p>
    <w:p>
      <w:pPr>
        <w:pBdr>
          <w:left w:val="single" w:color="2E6DA4" w:sz="6" w:space="8"/>
        </w:pBdr>
        <w:spacing w:after="160" w:before="160"/>
        <w:ind w:left="720" w:right="720"/>
      </w:pPr>
      <w:r>
        <w:rPr>
          <w:rFonts w:ascii="Arial" w:cs="Arial" w:eastAsia="Arial" w:hAnsi="Arial"/>
          <w:i/>
          <w:iCs/>
          <w:color w:val="2E6DA4"/>
          <w:sz w:val="24"/>
          <w:szCs w:val="24"/>
        </w:rPr>
        <w:t xml:space="preserve">This is not a policy restriction. It is an architectural impossibility. The execution path does not exist for unvalidated intent.</w:t>
      </w:r>
    </w:p>
    <w:p>
      <w:pPr>
        <w:spacing w:after="60" w:before="60"/>
      </w:pPr>
      <w:r>
        <w:t xml:space="preserve"/>
      </w:r>
    </w:p>
    <w:p>
      <w:pPr>
        <w:pStyle w:val="Heading2"/>
        <w:spacing w:after="160" w:before="320"/>
      </w:pPr>
      <w:r>
        <w:rPr>
          <w:rFonts w:ascii="Arial" w:cs="Arial" w:eastAsia="Arial" w:hAnsi="Arial"/>
          <w:b/>
          <w:bCs/>
          <w:color w:val="2E6DA4"/>
          <w:sz w:val="26"/>
          <w:szCs w:val="26"/>
        </w:rPr>
        <w:t xml:space="preserve">3.2 Stage Two — Runtime Verification (Continuous Monitoring)</w:t>
      </w:r>
    </w:p>
    <w:p>
      <w:pPr>
        <w:spacing w:after="80" w:before="80"/>
      </w:pPr>
      <w:r>
        <w:rPr>
          <w:rFonts w:ascii="Arial" w:cs="Arial" w:eastAsia="Arial" w:hAnsi="Arial"/>
          <w:color w:val="222222"/>
          <w:sz w:val="22"/>
          <w:szCs w:val="22"/>
        </w:rPr>
        <w:t xml:space="preserve">Once execution begins, AAI does not step back. It monitors the execution in real time, comparing AsAI's ongoing actions against the validated intent that authorized them.</w:t>
      </w:r>
    </w:p>
    <w:p>
      <w:pPr>
        <w:spacing w:after="60" w:before="60"/>
      </w:pPr>
      <w:r>
        <w:t xml:space="preserve"/>
      </w:r>
    </w:p>
    <w:p>
      <w:pPr>
        <w:spacing w:after="80" w:before="80"/>
      </w:pPr>
      <w:r>
        <w:rPr>
          <w:rFonts w:ascii="Arial" w:cs="Arial" w:eastAsia="Arial" w:hAnsi="Arial"/>
          <w:color w:val="222222"/>
          <w:sz w:val="22"/>
          <w:szCs w:val="22"/>
        </w:rPr>
        <w:t xml:space="preserve">Runtime verification detects three categories of deviation:</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213"/>
        <w:gridCol w:w="3813"/>
      </w:tblGrid>
      <w:tr>
        <w:trPr>
          <w:tblHeader/>
        </w:trPr>
        <w:tc>
          <w:tcPr>
            <w:tcW w:type="dxa" w:w="20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Deviation Type</w:t>
            </w:r>
          </w:p>
        </w:tc>
        <w:tc>
          <w:tcPr>
            <w:tcW w:type="dxa" w:w="32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38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AAI Response</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Scope deviation</w:t>
            </w:r>
          </w:p>
        </w:tc>
        <w:tc>
          <w:tcPr>
            <w:tcW w:type="dxa" w:w="32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AsAI takes actions beyond the boundaries of the validated intent</w:t>
            </w:r>
          </w:p>
        </w:tc>
        <w:tc>
          <w:tcPr>
            <w:tcW w:type="dxa" w:w="38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Immediate structural halt. Deviation recorded. Authorization re-validation required before resumption.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Resource overrun</w:t>
            </w:r>
          </w:p>
        </w:tc>
        <w:tc>
          <w:tcPr>
            <w:tcW w:type="dxa" w:w="32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AsAI consumes resources beyond the authorized budget or quota</w:t>
            </w:r>
          </w:p>
        </w:tc>
        <w:tc>
          <w:tcPr>
            <w:tcW w:type="dxa" w:w="38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Automatic throttle or halt. Overrun recorded as structural evidence. Accounting entry generated.</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Environmental change</w:t>
            </w:r>
          </w:p>
        </w:tc>
        <w:tc>
          <w:tcPr>
            <w:tcW w:type="dxa" w:w="32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External conditions change such that the original validation no longer applies (e.g., law changes, counterparty status changes)</w:t>
            </w:r>
          </w:p>
        </w:tc>
        <w:tc>
          <w:tcPr>
            <w:tcW w:type="dxa" w:w="38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Execution paused. Re-validation triggered. Transaction cannot complete in a changed legal environment without fresh authorization.</w:t>
            </w:r>
          </w:p>
        </w:tc>
      </w:tr>
    </w:tbl>
    <w:p>
      <w:pPr>
        <w:spacing w:after="60" w:before="60"/>
      </w:pPr>
      <w:r>
        <w:t xml:space="preserve"/>
      </w:r>
    </w:p>
    <w:p>
      <w:pPr>
        <w:spacing w:after="80" w:before="80"/>
      </w:pPr>
      <w:r>
        <w:rPr>
          <w:rFonts w:ascii="Arial" w:cs="Arial" w:eastAsia="Arial" w:hAnsi="Arial"/>
          <w:color w:val="222222"/>
          <w:sz w:val="22"/>
          <w:szCs w:val="22"/>
        </w:rPr>
        <w:t xml:space="preserve">Runtime verification operates at network speed — not human review speed. By the time a human auditor would have noticed a deviation, AAI has already detected, halted, and recorded it.</w:t>
      </w:r>
    </w:p>
    <w:p>
      <w:pPr>
        <w:spacing w:after="60" w:before="60"/>
      </w:pPr>
      <w:r>
        <w:t xml:space="preserve"/>
      </w:r>
    </w:p>
    <w:p>
      <w:pPr>
        <w:pStyle w:val="Heading2"/>
        <w:spacing w:after="160" w:before="320"/>
      </w:pPr>
      <w:r>
        <w:rPr>
          <w:rFonts w:ascii="Arial" w:cs="Arial" w:eastAsia="Arial" w:hAnsi="Arial"/>
          <w:b/>
          <w:bCs/>
          <w:color w:val="2E6DA4"/>
          <w:sz w:val="26"/>
          <w:szCs w:val="26"/>
        </w:rPr>
        <w:t xml:space="preserve">3.3 Stage Three — Post-Settlement Audit (Structural Accounting)</w:t>
      </w:r>
    </w:p>
    <w:p>
      <w:pPr>
        <w:spacing w:after="80" w:before="80"/>
      </w:pPr>
      <w:r>
        <w:rPr>
          <w:rFonts w:ascii="Arial" w:cs="Arial" w:eastAsia="Arial" w:hAnsi="Arial"/>
          <w:color w:val="222222"/>
          <w:sz w:val="22"/>
          <w:szCs w:val="22"/>
        </w:rPr>
        <w:t xml:space="preserve">When execution completes, AAI automatically generates a post-settlement report — a complete, structurally immutable record of what was authorized, what was executed, and how the two compare.</w:t>
      </w:r>
    </w:p>
    <w:p>
      <w:pPr>
        <w:spacing w:after="60" w:before="60"/>
      </w:pPr>
      <w:r>
        <w:t xml:space="preserve"/>
      </w:r>
    </w:p>
    <w:p>
      <w:pPr>
        <w:spacing w:after="80" w:before="80"/>
      </w:pPr>
      <w:r>
        <w:rPr>
          <w:rFonts w:ascii="Arial" w:cs="Arial" w:eastAsia="Arial" w:hAnsi="Arial"/>
          <w:color w:val="222222"/>
          <w:sz w:val="22"/>
          <w:szCs w:val="22"/>
        </w:rPr>
        <w:t xml:space="preserve">The post-settlement report contains:</w:t>
      </w:r>
    </w:p>
    <w:p>
      <w:pPr>
        <w:spacing w:after="60" w:before="60"/>
      </w:pPr>
      <w:r>
        <w:t xml:space="preserve"/>
      </w:r>
    </w:p>
    <w:p>
      <w:pPr>
        <w:pStyle w:val="ListParagraph"/>
        <w:numPr>
          <w:ilvl w:val="0"/>
          <w:numId w:val="2"/>
        </w:numPr>
        <w:spacing w:after="60" w:before="60"/>
      </w:pPr>
      <w:r>
        <w:rPr>
          <w:rFonts w:ascii="Arial" w:cs="Arial" w:eastAsia="Arial" w:hAnsi="Arial"/>
          <w:b w:val="false"/>
          <w:bCs w:val="false"/>
          <w:sz w:val="22"/>
          <w:szCs w:val="22"/>
        </w:rPr>
        <w:t xml:space="preserve">Complete validation record: Every pre-execution validation decision, with the structural basis for each decision</w:t>
      </w:r>
    </w:p>
    <w:p>
      <w:pPr>
        <w:pStyle w:val="ListParagraph"/>
        <w:numPr>
          <w:ilvl w:val="0"/>
          <w:numId w:val="2"/>
        </w:numPr>
        <w:spacing w:after="60" w:before="60"/>
      </w:pPr>
      <w:r>
        <w:rPr>
          <w:rFonts w:ascii="Arial" w:cs="Arial" w:eastAsia="Arial" w:hAnsi="Arial"/>
          <w:b w:val="false"/>
          <w:bCs w:val="false"/>
          <w:sz w:val="22"/>
          <w:szCs w:val="22"/>
        </w:rPr>
        <w:t xml:space="preserve">Execution trace: Every action taken by AsAI, timestamped and linked to the authorizing validation</w:t>
      </w:r>
    </w:p>
    <w:p>
      <w:pPr>
        <w:pStyle w:val="ListParagraph"/>
        <w:numPr>
          <w:ilvl w:val="0"/>
          <w:numId w:val="2"/>
        </w:numPr>
        <w:spacing w:after="60" w:before="60"/>
      </w:pPr>
      <w:r>
        <w:rPr>
          <w:rFonts w:ascii="Arial" w:cs="Arial" w:eastAsia="Arial" w:hAnsi="Arial"/>
          <w:b w:val="false"/>
          <w:bCs w:val="false"/>
          <w:sz w:val="22"/>
          <w:szCs w:val="22"/>
        </w:rPr>
        <w:t xml:space="preserve">Resource accounting: Complete accounting of resources consumed, costs incurred, and value produced</w:t>
      </w:r>
    </w:p>
    <w:p>
      <w:pPr>
        <w:pStyle w:val="ListParagraph"/>
        <w:numPr>
          <w:ilvl w:val="0"/>
          <w:numId w:val="2"/>
        </w:numPr>
        <w:spacing w:after="60" w:before="60"/>
      </w:pPr>
      <w:r>
        <w:rPr>
          <w:rFonts w:ascii="Arial" w:cs="Arial" w:eastAsia="Arial" w:hAnsi="Arial"/>
          <w:b w:val="false"/>
          <w:bCs w:val="false"/>
          <w:sz w:val="22"/>
          <w:szCs w:val="22"/>
        </w:rPr>
        <w:t xml:space="preserve">Deviation log: Any runtime deviations detected, actions taken, and resolutions</w:t>
      </w:r>
    </w:p>
    <w:p>
      <w:pPr>
        <w:pStyle w:val="ListParagraph"/>
        <w:numPr>
          <w:ilvl w:val="0"/>
          <w:numId w:val="2"/>
        </w:numPr>
        <w:spacing w:after="60" w:before="60"/>
      </w:pPr>
      <w:r>
        <w:rPr>
          <w:rFonts w:ascii="Arial" w:cs="Arial" w:eastAsia="Arial" w:hAnsi="Arial"/>
          <w:b w:val="false"/>
          <w:bCs w:val="false"/>
          <w:sz w:val="22"/>
          <w:szCs w:val="22"/>
        </w:rPr>
        <w:t xml:space="preserve">Settlement confirmation: Structural confirmation that execution matched authorization within defined tolerances</w:t>
      </w:r>
    </w:p>
    <w:p>
      <w:pPr>
        <w:spacing w:after="60" w:before="60"/>
      </w:pPr>
      <w:r>
        <w:t xml:space="preserve"/>
      </w:r>
    </w:p>
    <w:p>
      <w:pPr>
        <w:spacing w:after="80" w:before="80"/>
      </w:pPr>
      <w:r>
        <w:rPr>
          <w:rFonts w:ascii="Arial" w:cs="Arial" w:eastAsia="Arial" w:hAnsi="Arial"/>
          <w:color w:val="222222"/>
          <w:sz w:val="22"/>
          <w:szCs w:val="22"/>
        </w:rPr>
        <w:t xml:space="preserve">This report is not created after the fact by a human accountant reviewing records. It is generated automatically by the structural verification process itself. It is topologically fixed at the moment of generation — meaning it cannot be altered, backdated, or selectively omitted from.</w:t>
      </w:r>
    </w:p>
    <w:p>
      <w:pPr>
        <w:spacing w:after="60" w:before="60"/>
      </w:pPr>
      <w:r>
        <w:t xml:space="preserve"/>
      </w:r>
    </w:p>
    <w:p>
      <w:pPr>
        <w:spacing w:after="80" w:before="80"/>
      </w:pPr>
      <w:r>
        <w:rPr>
          <w:rFonts w:ascii="Arial" w:cs="Arial" w:eastAsia="Arial" w:hAnsi="Arial"/>
          <w:b/>
          <w:bCs/>
          <w:color w:val="1A3A5C"/>
          <w:sz w:val="22"/>
          <w:szCs w:val="22"/>
        </w:rPr>
        <w:t xml:space="preserve">This is Structural Evidence — the most legally robust form of record that has ever existed.</w:t>
      </w:r>
    </w:p>
    <w:p>
      <w:pPr>
        <w:pBdr>
          <w:bottom w:val="single" w:color="2E6DA4" w:sz="4" w:space="1"/>
        </w:pBdr>
        <w:spacing w:after="240" w:before="240"/>
      </w:pPr>
    </w:p>
    <w:p>
      <w:pPr>
        <w:pStyle w:val="Heading1"/>
        <w:spacing w:after="200" w:before="480"/>
      </w:pPr>
      <w:r>
        <w:rPr>
          <w:rFonts w:ascii="Arial" w:cs="Arial" w:eastAsia="Arial" w:hAnsi="Arial"/>
          <w:b/>
          <w:bCs/>
          <w:color w:val="1A3A5C"/>
          <w:sz w:val="34"/>
          <w:szCs w:val="34"/>
        </w:rPr>
        <w:t xml:space="preserve">Part IV: Structural Evidence — The End of Documentary Proof</w:t>
      </w:r>
    </w:p>
    <w:p>
      <w:pPr>
        <w:pStyle w:val="Heading2"/>
        <w:spacing w:after="160" w:before="320"/>
      </w:pPr>
      <w:r>
        <w:rPr>
          <w:rFonts w:ascii="Arial" w:cs="Arial" w:eastAsia="Arial" w:hAnsi="Arial"/>
          <w:b/>
          <w:bCs/>
          <w:color w:val="2E6DA4"/>
          <w:sz w:val="26"/>
          <w:szCs w:val="26"/>
        </w:rPr>
        <w:t xml:space="preserve">4.1 What Makes Evidence Structural</w:t>
      </w:r>
    </w:p>
    <w:p>
      <w:pPr>
        <w:spacing w:after="80" w:before="80"/>
      </w:pPr>
      <w:r>
        <w:rPr>
          <w:rFonts w:ascii="Arial" w:cs="Arial" w:eastAsia="Arial" w:hAnsi="Arial"/>
          <w:color w:val="222222"/>
          <w:sz w:val="22"/>
          <w:szCs w:val="22"/>
        </w:rPr>
        <w:t xml:space="preserve">In the current legal system, evidence is documentary. Contracts are signed. Invoices are issued. Emails are sent. Financial statements are prepared. The legal system then evaluates the authenticity and reliability of these documents when disputes arise.</w:t>
      </w:r>
    </w:p>
    <w:p>
      <w:pPr>
        <w:spacing w:after="60" w:before="60"/>
      </w:pPr>
      <w:r>
        <w:t xml:space="preserve"/>
      </w:r>
    </w:p>
    <w:p>
      <w:pPr>
        <w:spacing w:after="80" w:before="80"/>
      </w:pPr>
      <w:r>
        <w:rPr>
          <w:rFonts w:ascii="Arial" w:cs="Arial" w:eastAsia="Arial" w:hAnsi="Arial"/>
          <w:color w:val="222222"/>
          <w:sz w:val="22"/>
          <w:szCs w:val="22"/>
        </w:rPr>
        <w:t xml:space="preserve">Documentary evidence has three fundamental weaknesses:</w:t>
      </w:r>
    </w:p>
    <w:p>
      <w:pPr>
        <w:spacing w:after="60" w:before="60"/>
      </w:pPr>
      <w:r>
        <w:t xml:space="preserve"/>
      </w:r>
    </w:p>
    <w:p>
      <w:pPr>
        <w:pStyle w:val="ListParagraph"/>
        <w:numPr>
          <w:ilvl w:val="0"/>
          <w:numId w:val="3"/>
        </w:numPr>
        <w:spacing w:after="80" w:before="80"/>
      </w:pPr>
      <w:r>
        <w:rPr>
          <w:rFonts w:ascii="Arial" w:cs="Arial" w:eastAsia="Arial" w:hAnsi="Arial"/>
          <w:sz w:val="22"/>
          <w:szCs w:val="22"/>
        </w:rPr>
        <w:t xml:space="preserve">It is created by parties with an interest in the outcome — creating inherent authenticity risk</w:t>
      </w:r>
    </w:p>
    <w:p>
      <w:pPr>
        <w:pStyle w:val="ListParagraph"/>
        <w:numPr>
          <w:ilvl w:val="0"/>
          <w:numId w:val="3"/>
        </w:numPr>
        <w:spacing w:after="80" w:before="80"/>
      </w:pPr>
      <w:r>
        <w:rPr>
          <w:rFonts w:ascii="Arial" w:cs="Arial" w:eastAsia="Arial" w:hAnsi="Arial"/>
          <w:sz w:val="22"/>
          <w:szCs w:val="22"/>
        </w:rPr>
        <w:t xml:space="preserve">It is created after the event it records — creating temporal integrity risk</w:t>
      </w:r>
    </w:p>
    <w:p>
      <w:pPr>
        <w:pStyle w:val="ListParagraph"/>
        <w:numPr>
          <w:ilvl w:val="0"/>
          <w:numId w:val="3"/>
        </w:numPr>
        <w:spacing w:after="80" w:before="80"/>
      </w:pPr>
      <w:r>
        <w:rPr>
          <w:rFonts w:ascii="Arial" w:cs="Arial" w:eastAsia="Arial" w:hAnsi="Arial"/>
          <w:sz w:val="22"/>
          <w:szCs w:val="22"/>
        </w:rPr>
        <w:t xml:space="preserve">It is stored in systems controlled by one party — creating custodial integrity risk</w:t>
      </w:r>
    </w:p>
    <w:p>
      <w:pPr>
        <w:spacing w:after="60" w:before="60"/>
      </w:pPr>
      <w:r>
        <w:t xml:space="preserve"/>
      </w:r>
    </w:p>
    <w:p>
      <w:pPr>
        <w:spacing w:after="80" w:before="80"/>
      </w:pPr>
      <w:r>
        <w:rPr>
          <w:rFonts w:ascii="Arial" w:cs="Arial" w:eastAsia="Arial" w:hAnsi="Arial"/>
          <w:color w:val="222222"/>
          <w:sz w:val="22"/>
          <w:szCs w:val="22"/>
        </w:rPr>
        <w:t xml:space="preserve">Structural Evidence, as generated by AAI's verification mechanism, eliminates all three weaknesses: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13"/>
        <w:gridCol w:w="4013"/>
      </w:tblGrid>
      <w:tr>
        <w:trPr>
          <w:tblHeader/>
        </w:trPr>
        <w:tc>
          <w:tcPr>
            <w:tcW w:type="dxa" w:w="20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Weakness</w:t>
            </w:r>
          </w:p>
        </w:tc>
        <w:tc>
          <w:tcPr>
            <w:tcW w:type="dxa" w:w="30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Documentary Evidence</w:t>
            </w:r>
          </w:p>
        </w:tc>
        <w:tc>
          <w:tcPr>
            <w:tcW w:type="dxa" w:w="40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Structural Evidence</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Who creates it</w:t>
            </w:r>
          </w:p>
        </w:tc>
        <w:tc>
          <w:tcPr>
            <w:tcW w:type="dxa" w:w="30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Party to the transaction</w:t>
            </w:r>
          </w:p>
        </w:tc>
        <w:tc>
          <w:tcPr>
            <w:tcW w:type="dxa" w:w="40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AAI — structurally independent of all parties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When it is created</w:t>
            </w:r>
          </w:p>
        </w:tc>
        <w:tc>
          <w:tcPr>
            <w:tcW w:type="dxa" w:w="30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After the event, by human action</w:t>
            </w:r>
          </w:p>
        </w:tc>
        <w:tc>
          <w:tcPr>
            <w:tcW w:type="dxa" w:w="40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At the moment of execution, automatically</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Where it is stored</w:t>
            </w:r>
          </w:p>
        </w:tc>
        <w:tc>
          <w:tcPr>
            <w:tcW w:type="dxa" w:w="30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System controlled by one party</w:t>
            </w:r>
          </w:p>
        </w:tc>
        <w:tc>
          <w:tcPr>
            <w:tcW w:type="dxa" w:w="40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Topologically fixed in the Velsanet structure — no single party controls 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Can it be altered</w:t>
            </w:r>
          </w:p>
        </w:tc>
        <w:tc>
          <w:tcPr>
            <w:tcW w:type="dxa" w:w="30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Yes — with sufficient access or collusion</w:t>
            </w:r>
          </w:p>
        </w:tc>
        <w:tc>
          <w:tcPr>
            <w:tcW w:type="dxa" w:w="40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 — topological fixation makes retroactive alteration architecturally impossible</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Legal weight</w:t>
            </w:r>
          </w:p>
        </w:tc>
        <w:tc>
          <w:tcPr>
            <w:tcW w:type="dxa" w:w="30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Requires authentication and chain of custody proof</w:t>
            </w:r>
          </w:p>
        </w:tc>
        <w:tc>
          <w:tcPr>
            <w:tcW w:type="dxa" w:w="40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Self-authenticating — structural conformance is verifiable by any authorized party at any time</w:t>
            </w:r>
          </w:p>
        </w:tc>
      </w:tr>
    </w:tbl>
    <w:p>
      <w:pPr>
        <w:spacing w:after="60" w:before="60"/>
      </w:pPr>
      <w:r>
        <w:t xml:space="preserve"/>
      </w:r>
    </w:p>
    <w:p>
      <w:pPr>
        <w:pStyle w:val="Heading2"/>
        <w:spacing w:after="160" w:before="320"/>
      </w:pPr>
      <w:r>
        <w:rPr>
          <w:rFonts w:ascii="Arial" w:cs="Arial" w:eastAsia="Arial" w:hAnsi="Arial"/>
          <w:b/>
          <w:bCs/>
          <w:color w:val="2E6DA4"/>
          <w:sz w:val="26"/>
          <w:szCs w:val="26"/>
        </w:rPr>
        <w:t xml:space="preserve">4.2 Implications for Legal and Financial Systems</w:t>
      </w:r>
    </w:p>
    <w:p>
      <w:pPr>
        <w:spacing w:after="80" w:before="80"/>
      </w:pPr>
      <w:r>
        <w:rPr>
          <w:rFonts w:ascii="Arial" w:cs="Arial" w:eastAsia="Arial" w:hAnsi="Arial"/>
          <w:color w:val="222222"/>
          <w:sz w:val="22"/>
          <w:szCs w:val="22"/>
        </w:rPr>
        <w:t xml:space="preserve">When Structural Evidence becomes the standard record of economic transactions, the implications for legal and financial systems are profound:</w:t>
      </w:r>
    </w:p>
    <w:p>
      <w:pPr>
        <w:spacing w:after="60" w:before="60"/>
      </w:pPr>
      <w:r>
        <w:t xml:space="preserve"/>
      </w:r>
    </w:p>
    <w:p>
      <w:pPr>
        <w:pStyle w:val="ListParagraph"/>
        <w:numPr>
          <w:ilvl w:val="0"/>
          <w:numId w:val="2"/>
        </w:numPr>
        <w:spacing w:after="60" w:before="60"/>
      </w:pPr>
      <w:r>
        <w:rPr>
          <w:rFonts w:ascii="Arial" w:cs="Arial" w:eastAsia="Arial" w:hAnsi="Arial"/>
          <w:b w:val="false"/>
          <w:bCs w:val="false"/>
          <w:sz w:val="22"/>
          <w:szCs w:val="22"/>
        </w:rPr>
        <w:t xml:space="preserve">Contract disputes: The question is no longer 'what did the parties agree to?' but 'what did AAI validate?' The structural record is unimpeachable.</w:t>
      </w:r>
    </w:p>
    <w:p>
      <w:pPr>
        <w:pStyle w:val="ListParagraph"/>
        <w:numPr>
          <w:ilvl w:val="0"/>
          <w:numId w:val="2"/>
        </w:numPr>
        <w:spacing w:after="60" w:before="60"/>
      </w:pPr>
      <w:r>
        <w:rPr>
          <w:rFonts w:ascii="Arial" w:cs="Arial" w:eastAsia="Arial" w:hAnsi="Arial"/>
          <w:b w:val="false"/>
          <w:bCs w:val="false"/>
          <w:sz w:val="22"/>
          <w:szCs w:val="22"/>
        </w:rPr>
        <w:t xml:space="preserve">Financial audits: Continuous structural accounting eliminates the need for periodic audits. The audit is always current, always complete, always accessible.</w:t>
      </w:r>
    </w:p>
    <w:p>
      <w:pPr>
        <w:pStyle w:val="ListParagraph"/>
        <w:numPr>
          <w:ilvl w:val="0"/>
          <w:numId w:val="2"/>
        </w:numPr>
        <w:spacing w:after="60" w:before="60"/>
      </w:pPr>
      <w:r>
        <w:rPr>
          <w:rFonts w:ascii="Arial" w:cs="Arial" w:eastAsia="Arial" w:hAnsi="Arial"/>
          <w:b w:val="false"/>
          <w:bCs w:val="false"/>
          <w:sz w:val="22"/>
          <w:szCs w:val="22"/>
        </w:rPr>
        <w:t xml:space="preserve">Regulatory enforcement: Regulators access the structural record directly. No subpoena required. No document production. No discovery process.</w:t>
      </w:r>
    </w:p>
    <w:p>
      <w:pPr>
        <w:pStyle w:val="ListParagraph"/>
        <w:numPr>
          <w:ilvl w:val="0"/>
          <w:numId w:val="2"/>
        </w:numPr>
        <w:spacing w:after="60" w:before="60"/>
      </w:pPr>
      <w:r>
        <w:rPr>
          <w:rFonts w:ascii="Arial" w:cs="Arial" w:eastAsia="Arial" w:hAnsi="Arial"/>
          <w:b w:val="false"/>
          <w:bCs w:val="false"/>
          <w:sz w:val="22"/>
          <w:szCs w:val="22"/>
        </w:rPr>
        <w:t xml:space="preserve">Cross-border litigation: Jurisdiction is structurally determined at Q4. The applicable law and its application are part of the structural record. No conflict of laws analysis needed.</w:t>
      </w:r>
    </w:p>
    <w:p>
      <w:pPr>
        <w:pStyle w:val="ListParagraph"/>
        <w:numPr>
          <w:ilvl w:val="0"/>
          <w:numId w:val="2"/>
        </w:numPr>
        <w:spacing w:after="60" w:before="60"/>
      </w:pPr>
      <w:r>
        <w:rPr>
          <w:rFonts w:ascii="Arial" w:cs="Arial" w:eastAsia="Arial" w:hAnsi="Arial"/>
          <w:b w:val="false"/>
          <w:bCs w:val="false"/>
          <w:sz w:val="22"/>
          <w:szCs w:val="22"/>
        </w:rPr>
        <w:t xml:space="preserve">Insurance claims: The structural record determines whether the triggering event occurred and whether the conditions for payout were met. No claims adjuster required.</w:t>
      </w:r>
    </w:p>
    <w:p>
      <w:pPr>
        <w:pBdr>
          <w:bottom w:val="single" w:color="2E6DA4" w:sz="4" w:space="1"/>
        </w:pBdr>
        <w:spacing w:after="240" w:before="240"/>
      </w:pPr>
    </w:p>
    <w:p>
      <w:pPr>
        <w:pStyle w:val="Heading1"/>
        <w:spacing w:after="200" w:before="480"/>
      </w:pPr>
      <w:r>
        <w:rPr>
          <w:rFonts w:ascii="Arial" w:cs="Arial" w:eastAsia="Arial" w:hAnsi="Arial"/>
          <w:b/>
          <w:bCs/>
          <w:color w:val="1A3A5C"/>
          <w:sz w:val="34"/>
          <w:szCs w:val="34"/>
        </w:rPr>
        <w:t xml:space="preserve">Part V: Security — Why the Architecture Cannot Be Compromised</w:t>
      </w:r>
    </w:p>
    <w:p>
      <w:pPr>
        <w:pStyle w:val="Heading2"/>
        <w:spacing w:after="160" w:before="320"/>
      </w:pPr>
      <w:r>
        <w:rPr>
          <w:rFonts w:ascii="Arial" w:cs="Arial" w:eastAsia="Arial" w:hAnsi="Arial"/>
          <w:b/>
          <w:bCs/>
          <w:color w:val="2E6DA4"/>
          <w:sz w:val="26"/>
          <w:szCs w:val="26"/>
        </w:rPr>
        <w:t xml:space="preserve">5.1 Connection, Not Access</w:t>
      </w:r>
    </w:p>
    <w:p>
      <w:pPr>
        <w:spacing w:after="80" w:before="80"/>
      </w:pPr>
      <w:r>
        <w:rPr>
          <w:rFonts w:ascii="Arial" w:cs="Arial" w:eastAsia="Arial" w:hAnsi="Arial"/>
          <w:color w:val="222222"/>
          <w:sz w:val="22"/>
          <w:szCs w:val="22"/>
        </w:rPr>
        <w:t xml:space="preserve">All existing network security is built on the concept of access control: entities request access to resources, and security systems decide whether to grant it. This model has one fundamental weakness: if the access control system is compromised, the security is gone.</w:t>
      </w:r>
    </w:p>
    <w:p>
      <w:pPr>
        <w:spacing w:after="60" w:before="60"/>
      </w:pPr>
      <w:r>
        <w:t xml:space="preserve"/>
      </w:r>
    </w:p>
    <w:p>
      <w:pPr>
        <w:spacing w:after="80" w:before="80"/>
      </w:pPr>
      <w:r>
        <w:rPr>
          <w:rFonts w:ascii="Arial" w:cs="Arial" w:eastAsia="Arial" w:hAnsi="Arial"/>
          <w:color w:val="222222"/>
          <w:sz w:val="22"/>
          <w:szCs w:val="22"/>
        </w:rPr>
        <w:t xml:space="preserve">Velsanet is built on a different concept entirely: connection, not access. In Velsanet, network relationships are established through structural conformance at the physical layer — not through software-mediated access requests. A device either conforms structurally to the network or it does not exist within it.</w:t>
      </w:r>
    </w:p>
    <w:p>
      <w:pPr>
        <w:spacing w:after="60" w:before="60"/>
      </w:pPr>
      <w:r>
        <w:t xml:space="preserve"/>
      </w:r>
    </w:p>
    <w:p>
      <w:pPr>
        <w:pBdr>
          <w:left w:val="single" w:color="2E6DA4" w:sz="6" w:space="8"/>
        </w:pBdr>
        <w:spacing w:after="160" w:before="160"/>
        <w:ind w:left="720" w:right="720"/>
      </w:pPr>
      <w:r>
        <w:rPr>
          <w:rFonts w:ascii="Arial" w:cs="Arial" w:eastAsia="Arial" w:hAnsi="Arial"/>
          <w:i/>
          <w:iCs/>
          <w:color w:val="2E6DA4"/>
          <w:sz w:val="24"/>
          <w:szCs w:val="24"/>
        </w:rPr>
        <w:t xml:space="preserve">There is no access to deny because there is no access to grant. There is only structural conformance or structural absence.</w:t>
      </w:r>
    </w:p>
    <w:p>
      <w:pPr>
        <w:spacing w:after="60" w:before="60"/>
      </w:pPr>
      <w:r>
        <w:t xml:space="preserve"/>
      </w:r>
    </w:p>
    <w:p>
      <w:pPr>
        <w:pStyle w:val="Heading2"/>
        <w:spacing w:after="160" w:before="320"/>
      </w:pPr>
      <w:r>
        <w:rPr>
          <w:rFonts w:ascii="Arial" w:cs="Arial" w:eastAsia="Arial" w:hAnsi="Arial"/>
          <w:b/>
          <w:bCs/>
          <w:color w:val="2E6DA4"/>
          <w:sz w:val="26"/>
          <w:szCs w:val="26"/>
        </w:rPr>
        <w:t xml:space="preserve">5.2 The AAI Security Chain</w:t>
      </w:r>
    </w:p>
    <w:p>
      <w:pPr>
        <w:spacing w:after="80" w:before="80"/>
      </w:pPr>
      <w:r>
        <w:rPr>
          <w:rFonts w:ascii="Arial" w:cs="Arial" w:eastAsia="Arial" w:hAnsi="Arial"/>
          <w:color w:val="222222"/>
          <w:sz w:val="22"/>
          <w:szCs w:val="22"/>
        </w:rPr>
        <w:t xml:space="preserve">Even if a malicious entity could somehow achieve structural conformance (which requires physical hardware integration at the Velsanet node level), it would still face the AAI security chain — a layered set of structural barriers that make unauthorized execution architecturally impossible.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613"/>
        <w:gridCol w:w="4413"/>
      </w:tblGrid>
      <w:tr>
        <w:trPr>
          <w:tblHeader/>
        </w:trPr>
        <w:tc>
          <w:tcPr>
            <w:tcW w:type="dxa" w:w="20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Security Layer</w:t>
            </w:r>
          </w:p>
        </w:tc>
        <w:tc>
          <w:tcPr>
            <w:tcW w:type="dxa" w:w="26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Mechanism</w:t>
            </w:r>
          </w:p>
        </w:tc>
        <w:tc>
          <w:tcPr>
            <w:tcW w:type="dxa" w:w="44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What It Prevents</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Structural conformance</w:t>
            </w:r>
          </w:p>
        </w:tc>
        <w:tc>
          <w:tcPr>
            <w:tcW w:type="dxa" w:w="26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Physical MOCT integration required for network presence</w:t>
            </w:r>
          </w:p>
        </w:tc>
        <w:tc>
          <w:tcPr>
            <w:tcW w:type="dxa" w:w="44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Unauthorized devices cannot exist in the network — no software exploit can substitute for physical structural conformance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PAI sovereignty</w:t>
            </w:r>
          </w:p>
        </w:tc>
        <w:tc>
          <w:tcPr>
            <w:tcW w:type="dxa" w:w="26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Intent originates only from structurally bound PAI</w:t>
            </w:r>
          </w:p>
        </w:tc>
        <w:tc>
          <w:tcPr>
            <w:tcW w:type="dxa" w:w="44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Injected or fabricated intent has no PAI origin — it cannot enter the validation chain</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AAI pre-execution gate</w:t>
            </w:r>
          </w:p>
        </w:tc>
        <w:tc>
          <w:tcPr>
            <w:tcW w:type="dxa" w:w="26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No execution path exists without AAI validation</w:t>
            </w:r>
          </w:p>
        </w:tc>
        <w:tc>
          <w:tcPr>
            <w:tcW w:type="dxa" w:w="44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Even if AsAI is compromised, it cannot execute without AAI authorization — the execution path does not exist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AAI runtime monitoring</w:t>
            </w:r>
          </w:p>
        </w:tc>
        <w:tc>
          <w:tcPr>
            <w:tcW w:type="dxa" w:w="26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All AsAI actions monitored against validated intent</w:t>
            </w:r>
          </w:p>
        </w:tc>
        <w:tc>
          <w:tcPr>
            <w:tcW w:type="dxa" w:w="44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Any deviation from authorized intent triggers immediate halt — execution cannot drift beyond its structural authorization</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Q4 sovereign boundary</w:t>
            </w:r>
          </w:p>
        </w:tc>
        <w:tc>
          <w:tcPr>
            <w:tcW w:type="dxa" w:w="26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Cross-national execution requires structural authorization at Q4</w:t>
            </w:r>
          </w:p>
        </w:tc>
        <w:tc>
          <w:tcPr>
            <w:tcW w:type="dxa" w:w="44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Cross-border attacks cannot propagate without Q4 authorization — sovereign boundaries are architectural, not firewall-based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Structural Evidence immutability</w:t>
            </w:r>
          </w:p>
        </w:tc>
        <w:tc>
          <w:tcPr>
            <w:tcW w:type="dxa" w:w="26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All records topologically fixed at creation</w:t>
            </w:r>
          </w:p>
        </w:tc>
        <w:tc>
          <w:tcPr>
            <w:tcW w:type="dxa" w:w="44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Post-hoc falsification of transaction records is architecturally impossible — there is no mechanism to alter a topologically fixed record</w:t>
            </w:r>
          </w:p>
        </w:tc>
      </w:tr>
    </w:tbl>
    <w:p>
      <w:pPr>
        <w:spacing w:after="60" w:before="60"/>
      </w:pPr>
      <w:r>
        <w:t xml:space="preserve"/>
      </w:r>
    </w:p>
    <w:p>
      <w:pPr>
        <w:pStyle w:val="Heading2"/>
        <w:spacing w:after="160" w:before="320"/>
      </w:pPr>
      <w:r>
        <w:rPr>
          <w:rFonts w:ascii="Arial" w:cs="Arial" w:eastAsia="Arial" w:hAnsi="Arial"/>
          <w:b/>
          <w:bCs/>
          <w:color w:val="2E6DA4"/>
          <w:sz w:val="26"/>
          <w:szCs w:val="26"/>
        </w:rPr>
        <w:t xml:space="preserve">5.3 Ghost Data — The Fate of Unauthorized Actions</w:t>
      </w:r>
    </w:p>
    <w:p>
      <w:pPr>
        <w:spacing w:after="80" w:before="80"/>
      </w:pPr>
      <w:r>
        <w:rPr>
          <w:rFonts w:ascii="Arial" w:cs="Arial" w:eastAsia="Arial" w:hAnsi="Arial"/>
          <w:color w:val="222222"/>
          <w:sz w:val="22"/>
          <w:szCs w:val="22"/>
        </w:rPr>
        <w:t xml:space="preserve">When an unauthorized action is attempted in the Velsanet architecture — whether by an external attacker, a compromised device, or a malicious insider — the result is not a security breach. It is the creation of what can be called Ghost Data.</w:t>
      </w:r>
    </w:p>
    <w:p>
      <w:pPr>
        <w:spacing w:after="60" w:before="60"/>
      </w:pPr>
      <w:r>
        <w:t xml:space="preserve"/>
      </w:r>
    </w:p>
    <w:p>
      <w:pPr>
        <w:spacing w:after="80" w:before="80"/>
      </w:pPr>
      <w:r>
        <w:rPr>
          <w:rFonts w:ascii="Arial" w:cs="Arial" w:eastAsia="Arial" w:hAnsi="Arial"/>
          <w:color w:val="222222"/>
          <w:sz w:val="22"/>
          <w:szCs w:val="22"/>
        </w:rPr>
        <w:t xml:space="preserve">Ghost Data is data that exists physically in some part of the network but has no structural validity. It has no AAI validation record. It has no PAI origin. It has no Q4 authorization. It cannot produce AsAI execution. It cannot generate Structural Evidence.</w:t>
      </w:r>
    </w:p>
    <w:p>
      <w:pPr>
        <w:spacing w:after="60" w:before="60"/>
      </w:pPr>
      <w:r>
        <w:t xml:space="preserve"/>
      </w:r>
    </w:p>
    <w:p>
      <w:pPr>
        <w:spacing w:after="80" w:before="80"/>
      </w:pPr>
      <w:r>
        <w:rPr>
          <w:rFonts w:ascii="Arial" w:cs="Arial" w:eastAsia="Arial" w:hAnsi="Arial"/>
          <w:color w:val="222222"/>
          <w:sz w:val="22"/>
          <w:szCs w:val="22"/>
        </w:rPr>
        <w:t xml:space="preserve">From the perspective of the Velsanet economy, Ghost Data does not exist. It cannot complete a transaction. It cannot create a legal record. It cannot consume authorized resources. It cannot cross a Q4 boundary. It is automatically isolated by the structural verification process — not because a security system detected it, but because it structurally cannot participate in the network's operation.</w:t>
      </w:r>
    </w:p>
    <w:p>
      <w:pPr>
        <w:spacing w:after="60" w:before="60"/>
      </w:pPr>
      <w:r>
        <w:t xml:space="preserve"/>
      </w:r>
    </w:p>
    <w:p>
      <w:pPr>
        <w:pBdr>
          <w:left w:val="single" w:color="2E6DA4" w:sz="6" w:space="8"/>
        </w:pBdr>
        <w:spacing w:after="160" w:before="160"/>
        <w:ind w:left="720" w:right="720"/>
      </w:pPr>
      <w:r>
        <w:rPr>
          <w:rFonts w:ascii="Arial" w:cs="Arial" w:eastAsia="Arial" w:hAnsi="Arial"/>
          <w:i/>
          <w:iCs/>
          <w:color w:val="2E6DA4"/>
          <w:sz w:val="24"/>
          <w:szCs w:val="24"/>
        </w:rPr>
        <w:t xml:space="preserve">In Velsanet, the network does not defend against attacks. It simply does not recognize unauthorized actions as real. They produce no structural effect.</w:t>
      </w:r>
    </w:p>
    <w:p>
      <w:pPr>
        <w:spacing w:after="60" w:before="60"/>
      </w:pPr>
      <w:r>
        <w:t xml:space="preserve"/>
      </w:r>
    </w:p>
    <w:p>
      <w:pPr>
        <w:pStyle w:val="Heading2"/>
        <w:spacing w:after="160" w:before="320"/>
      </w:pPr>
      <w:r>
        <w:rPr>
          <w:rFonts w:ascii="Arial" w:cs="Arial" w:eastAsia="Arial" w:hAnsi="Arial"/>
          <w:b/>
          <w:bCs/>
          <w:color w:val="2E6DA4"/>
          <w:sz w:val="26"/>
          <w:szCs w:val="26"/>
        </w:rPr>
        <w:t xml:space="preserve">5.4 Comparison with Conventional Security Models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913"/>
        <w:gridCol w:w="3913"/>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Security Property</w:t>
            </w:r>
          </w:p>
        </w:tc>
        <w:tc>
          <w:tcPr>
            <w:tcW w:type="dxa" w:w="29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Conventional Model</w:t>
            </w:r>
          </w:p>
        </w:tc>
        <w:tc>
          <w:tcPr>
            <w:tcW w:type="dxa" w:w="39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Velsanet Structural Model</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Authentication</w:t>
            </w:r>
          </w:p>
        </w:tc>
        <w:tc>
          <w:tcPr>
            <w:tcW w:type="dxa" w:w="29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Cryptographic certificates; can be stolen or forged</w:t>
            </w:r>
          </w:p>
        </w:tc>
        <w:tc>
          <w:tcPr>
            <w:tcW w:type="dxa" w:w="39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Structural conformance at physical layer; cannot be emulated in software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Authorization</w:t>
            </w:r>
          </w:p>
        </w:tc>
        <w:tc>
          <w:tcPr>
            <w:tcW w:type="dxa" w:w="29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Access control lists; can be misconfigured or bypassed</w:t>
            </w:r>
          </w:p>
        </w:tc>
        <w:tc>
          <w:tcPr>
            <w:tcW w:type="dxa" w:w="39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AAI structural gate; no execution path without validation</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Integrity</w:t>
            </w:r>
          </w:p>
        </w:tc>
        <w:tc>
          <w:tcPr>
            <w:tcW w:type="dxa" w:w="29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Cryptographic hashing; depends on key security</w:t>
            </w:r>
          </w:p>
        </w:tc>
        <w:tc>
          <w:tcPr>
            <w:tcW w:type="dxa" w:w="39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Topological fixation; no mechanism for retroactive alteration exists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Non-repudiation</w:t>
            </w:r>
          </w:p>
        </w:tc>
        <w:tc>
          <w:tcPr>
            <w:tcW w:type="dxa" w:w="29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Digital signatures; requires key custody chain</w:t>
            </w:r>
          </w:p>
        </w:tc>
        <w:tc>
          <w:tcPr>
            <w:tcW w:type="dxa" w:w="39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Structural Evidence; self-authenticating, no key required</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Boundary enforcement</w:t>
            </w:r>
          </w:p>
        </w:tc>
        <w:tc>
          <w:tcPr>
            <w:tcW w:type="dxa" w:w="29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Firewalls and VPNs; software-based, bypassable</w:t>
            </w:r>
          </w:p>
        </w:tc>
        <w:tc>
          <w:tcPr>
            <w:tcW w:type="dxa" w:w="39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Q4 sovereign layer; architectural, not software-enforced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Audit</w:t>
            </w:r>
          </w:p>
        </w:tc>
        <w:tc>
          <w:tcPr>
            <w:tcW w:type="dxa" w:w="29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Log files; can be deleted or altered</w:t>
            </w:r>
          </w:p>
        </w:tc>
        <w:tc>
          <w:tcPr>
            <w:tcW w:type="dxa" w:w="39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Structural Evidence; topologically immutable, continuously generated</w:t>
            </w:r>
          </w:p>
        </w:tc>
      </w:tr>
    </w:tbl>
    <w:p>
      <w:pPr>
        <w:pBdr>
          <w:bottom w:val="single" w:color="2E6DA4" w:sz="4" w:space="1"/>
        </w:pBdr>
        <w:spacing w:after="240" w:before="240"/>
      </w:pPr>
    </w:p>
    <w:p>
      <w:pPr>
        <w:pStyle w:val="Heading1"/>
        <w:spacing w:after="200" w:before="480"/>
      </w:pPr>
      <w:r>
        <w:rPr>
          <w:rFonts w:ascii="Arial" w:cs="Arial" w:eastAsia="Arial" w:hAnsi="Arial"/>
          <w:b/>
          <w:bCs/>
          <w:color w:val="1A3A5C"/>
          <w:sz w:val="34"/>
          <w:szCs w:val="34"/>
        </w:rPr>
        <w:t xml:space="preserve">Part VI: The Moment Law Becomes Architecture</w:t>
      </w:r>
    </w:p>
    <w:p>
      <w:pPr>
        <w:pStyle w:val="Heading2"/>
        <w:spacing w:after="160" w:before="320"/>
      </w:pPr>
      <w:r>
        <w:rPr>
          <w:rFonts w:ascii="Arial" w:cs="Arial" w:eastAsia="Arial" w:hAnsi="Arial"/>
          <w:b/>
          <w:bCs/>
          <w:color w:val="2E6DA4"/>
          <w:sz w:val="26"/>
          <w:szCs w:val="26"/>
        </w:rPr>
        <w:t xml:space="preserve">6.1 What Changes for Governments</w:t>
      </w:r>
    </w:p>
    <w:p>
      <w:pPr>
        <w:spacing w:after="80" w:before="80"/>
      </w:pPr>
      <w:r>
        <w:rPr>
          <w:rFonts w:ascii="Arial" w:cs="Arial" w:eastAsia="Arial" w:hAnsi="Arial"/>
          <w:color w:val="222222"/>
          <w:sz w:val="22"/>
          <w:szCs w:val="22"/>
        </w:rPr>
        <w:t xml:space="preserve">In the current system, governments create law and then spend enormous resources trying to enforce it: through regulatory agencies, inspections, audits, courts, and sanctions. The gap between law and compliance is a permanent feature of every legal system.</w:t>
      </w:r>
    </w:p>
    <w:p>
      <w:pPr>
        <w:spacing w:after="60" w:before="60"/>
      </w:pPr>
      <w:r>
        <w:t xml:space="preserve"/>
      </w:r>
    </w:p>
    <w:p>
      <w:pPr>
        <w:spacing w:after="80" w:before="80"/>
      </w:pPr>
      <w:r>
        <w:rPr>
          <w:rFonts w:ascii="Arial" w:cs="Arial" w:eastAsia="Arial" w:hAnsi="Arial"/>
          <w:color w:val="222222"/>
          <w:sz w:val="22"/>
          <w:szCs w:val="22"/>
        </w:rPr>
        <w:t xml:space="preserve">In the Velsanet economy, governments provide law as data — and the architecture enforces it automatically.</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913"/>
        <w:gridCol w:w="3913"/>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Government Function</w:t>
            </w:r>
          </w:p>
        </w:tc>
        <w:tc>
          <w:tcPr>
            <w:tcW w:type="dxa" w:w="29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Current Form</w:t>
            </w:r>
          </w:p>
        </w:tc>
        <w:tc>
          <w:tcPr>
            <w:tcW w:type="dxa" w:w="39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Velsanet Form</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Legislation</w:t>
            </w:r>
          </w:p>
        </w:tc>
        <w:tc>
          <w:tcPr>
            <w:tcW w:type="dxa" w:w="29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Statutes interpreted by lawyers and courts</w:t>
            </w:r>
          </w:p>
        </w:tc>
        <w:tc>
          <w:tcPr>
            <w:tcW w:type="dxa" w:w="39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Statutory logic encoded as AAI validation parameters at Q4 layer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Regulation</w:t>
            </w:r>
          </w:p>
        </w:tc>
        <w:tc>
          <w:tcPr>
            <w:tcW w:type="dxa" w:w="29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Rules enforced by agencies through inspection and penalty</w:t>
            </w:r>
          </w:p>
        </w:tc>
        <w:tc>
          <w:tcPr>
            <w:tcW w:type="dxa" w:w="39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Regulatory conditions encoded as structural execution gates — non-compliance is architecturally impossible</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Taxation</w:t>
            </w:r>
          </w:p>
        </w:tc>
        <w:tc>
          <w:tcPr>
            <w:tcW w:type="dxa" w:w="29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Self-reported by entities; verified by periodic audit</w:t>
            </w:r>
          </w:p>
        </w:tc>
        <w:tc>
          <w:tcPr>
            <w:tcW w:type="dxa" w:w="39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Structural accounting generates automatic tax record at transaction time; evasion is architecturally impossible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Border control</w:t>
            </w:r>
          </w:p>
        </w:tc>
        <w:tc>
          <w:tcPr>
            <w:tcW w:type="dxa" w:w="29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Physical inspection; documentary verification</w:t>
            </w:r>
          </w:p>
        </w:tc>
        <w:tc>
          <w:tcPr>
            <w:tcW w:type="dxa" w:w="39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Q4 structural boundary requires authorization for any cross-border execution; no physical inspection needed</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Public services</w:t>
            </w:r>
          </w:p>
        </w:tc>
        <w:tc>
          <w:tcPr>
            <w:tcW w:type="dxa" w:w="29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Application processes; eligibility verification by human administrators</w:t>
            </w:r>
          </w:p>
        </w:tc>
        <w:tc>
          <w:tcPr>
            <w:tcW w:type="dxa" w:w="39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AAI validates eligibility structurally; AsAI executes delivery automatically; no administrative overhead</w:t>
            </w:r>
          </w:p>
        </w:tc>
      </w:tr>
    </w:tbl>
    <w:p>
      <w:pPr>
        <w:spacing w:after="60" w:before="60"/>
      </w:pPr>
      <w:r>
        <w:t xml:space="preserve"/>
      </w:r>
    </w:p>
    <w:p>
      <w:pPr>
        <w:pStyle w:val="Heading2"/>
        <w:spacing w:after="160" w:before="320"/>
      </w:pPr>
      <w:r>
        <w:rPr>
          <w:rFonts w:ascii="Arial" w:cs="Arial" w:eastAsia="Arial" w:hAnsi="Arial"/>
          <w:b/>
          <w:bCs/>
          <w:color w:val="2E6DA4"/>
          <w:sz w:val="26"/>
          <w:szCs w:val="26"/>
        </w:rPr>
        <w:t xml:space="preserve">6.2 What Changes for Enterprises</w:t>
      </w:r>
    </w:p>
    <w:p>
      <w:pPr>
        <w:spacing w:after="80" w:before="80"/>
      </w:pPr>
      <w:r>
        <w:rPr>
          <w:rFonts w:ascii="Arial" w:cs="Arial" w:eastAsia="Arial" w:hAnsi="Arial"/>
          <w:color w:val="222222"/>
          <w:sz w:val="22"/>
          <w:szCs w:val="22"/>
        </w:rPr>
        <w:t xml:space="preserve">For enterprises, the Velsanet trust architecture eliminates entire categories of cost and risk that are currently treated as the unavoidable overhead of doing business:</w:t>
      </w:r>
    </w:p>
    <w:p>
      <w:pPr>
        <w:spacing w:after="60" w:before="60"/>
      </w:pPr>
      <w:r>
        <w:t xml:space="preserve"/>
      </w:r>
    </w:p>
    <w:p>
      <w:pPr>
        <w:pStyle w:val="ListParagraph"/>
        <w:numPr>
          <w:ilvl w:val="0"/>
          <w:numId w:val="2"/>
        </w:numPr>
        <w:spacing w:after="60" w:before="60"/>
      </w:pPr>
      <w:r>
        <w:rPr>
          <w:rFonts w:ascii="Arial" w:cs="Arial" w:eastAsia="Arial" w:hAnsi="Arial"/>
          <w:b w:val="false"/>
          <w:bCs w:val="false"/>
          <w:sz w:val="22"/>
          <w:szCs w:val="22"/>
        </w:rPr>
        <w:t xml:space="preserve">Compliance costs: Eliminated. Structural conformance is automatic. There is nothing to comply with separately from transacting.</w:t>
      </w:r>
    </w:p>
    <w:p>
      <w:pPr>
        <w:pStyle w:val="ListParagraph"/>
        <w:numPr>
          <w:ilvl w:val="0"/>
          <w:numId w:val="2"/>
        </w:numPr>
        <w:spacing w:after="60" w:before="60"/>
      </w:pPr>
      <w:r>
        <w:rPr>
          <w:rFonts w:ascii="Arial" w:cs="Arial" w:eastAsia="Arial" w:hAnsi="Arial"/>
          <w:b w:val="false"/>
          <w:bCs w:val="false"/>
          <w:sz w:val="22"/>
          <w:szCs w:val="22"/>
        </w:rPr>
        <w:t xml:space="preserve">Audit costs: Eliminated. Structural accounting is continuous and automatic. No periodic audit engagement required.</w:t>
      </w:r>
    </w:p>
    <w:p>
      <w:pPr>
        <w:pStyle w:val="ListParagraph"/>
        <w:numPr>
          <w:ilvl w:val="0"/>
          <w:numId w:val="2"/>
        </w:numPr>
        <w:spacing w:after="60" w:before="60"/>
      </w:pPr>
      <w:r>
        <w:rPr>
          <w:rFonts w:ascii="Arial" w:cs="Arial" w:eastAsia="Arial" w:hAnsi="Arial"/>
          <w:b w:val="false"/>
          <w:bCs w:val="false"/>
          <w:sz w:val="22"/>
          <w:szCs w:val="22"/>
        </w:rPr>
        <w:t xml:space="preserve">Legal dispute costs: Dramatically reduced. Structural Evidence resolves most factual disputes before they reach litigation. The question becomes one of structural record interpretation, not document authenticity.</w:t>
      </w:r>
    </w:p>
    <w:p>
      <w:pPr>
        <w:pStyle w:val="ListParagraph"/>
        <w:numPr>
          <w:ilvl w:val="0"/>
          <w:numId w:val="2"/>
        </w:numPr>
        <w:spacing w:after="60" w:before="60"/>
      </w:pPr>
      <w:r>
        <w:rPr>
          <w:rFonts w:ascii="Arial" w:cs="Arial" w:eastAsia="Arial" w:hAnsi="Arial"/>
          <w:b w:val="false"/>
          <w:bCs w:val="false"/>
          <w:sz w:val="22"/>
          <w:szCs w:val="22"/>
        </w:rPr>
        <w:t xml:space="preserve">Counterparty risk: Structurally managed. AAI validates counterparty authorization before execution. No transaction completes without bilateral structural validation.</w:t>
      </w:r>
    </w:p>
    <w:p>
      <w:pPr>
        <w:pStyle w:val="ListParagraph"/>
        <w:numPr>
          <w:ilvl w:val="0"/>
          <w:numId w:val="2"/>
        </w:numPr>
        <w:spacing w:after="60" w:before="60"/>
      </w:pPr>
      <w:r>
        <w:rPr>
          <w:rFonts w:ascii="Arial" w:cs="Arial" w:eastAsia="Arial" w:hAnsi="Arial"/>
          <w:b w:val="false"/>
          <w:bCs w:val="false"/>
          <w:sz w:val="22"/>
          <w:szCs w:val="22"/>
        </w:rPr>
        <w:t xml:space="preserve">Cross-border friction: Eliminated. Q4 sovereign boundaries are structural. Applicable law is automatically determined and applied. No multi-jurisdiction legal analysis required for routine transactions.</w:t>
      </w:r>
    </w:p>
    <w:p>
      <w:pPr>
        <w:spacing w:after="60" w:before="60"/>
      </w:pPr>
      <w:r>
        <w:t xml:space="preserve"/>
      </w:r>
    </w:p>
    <w:p>
      <w:pPr>
        <w:pStyle w:val="Heading2"/>
        <w:spacing w:after="160" w:before="320"/>
      </w:pPr>
      <w:r>
        <w:rPr>
          <w:rFonts w:ascii="Arial" w:cs="Arial" w:eastAsia="Arial" w:hAnsi="Arial"/>
          <w:b/>
          <w:bCs/>
          <w:color w:val="2E6DA4"/>
          <w:sz w:val="26"/>
          <w:szCs w:val="26"/>
        </w:rPr>
        <w:t xml:space="preserve">6.3 What Changes for Individuals</w:t>
      </w:r>
    </w:p>
    <w:p>
      <w:pPr>
        <w:spacing w:after="80" w:before="80"/>
      </w:pPr>
      <w:r>
        <w:rPr>
          <w:rFonts w:ascii="Arial" w:cs="Arial" w:eastAsia="Arial" w:hAnsi="Arial"/>
          <w:color w:val="222222"/>
          <w:sz w:val="22"/>
          <w:szCs w:val="22"/>
        </w:rPr>
        <w:t xml:space="preserve">For individuals, the transformation is more personal. The professional intermediaries that currently stand between a person and the execution of their intentions — lawyers to draft contracts, accountants to prepare filings, notaries to authenticate documents — are no longer gatekeepers.</w:t>
      </w:r>
    </w:p>
    <w:p>
      <w:pPr>
        <w:spacing w:after="60" w:before="60"/>
      </w:pPr>
      <w:r>
        <w:t xml:space="preserve"/>
      </w:r>
    </w:p>
    <w:p>
      <w:pPr>
        <w:spacing w:after="80" w:before="80"/>
      </w:pPr>
      <w:r>
        <w:rPr>
          <w:rFonts w:ascii="Arial" w:cs="Arial" w:eastAsia="Arial" w:hAnsi="Arial"/>
          <w:color w:val="222222"/>
          <w:sz w:val="22"/>
          <w:szCs w:val="22"/>
        </w:rPr>
        <w:t xml:space="preserve">This does not mean these professionals disappear. It means they are no longer required for every transaction. Their expertise becomes available to everyone through the AAI layer — not as bespoke professional services, but as structural guarantees that operate automatically.</w:t>
      </w:r>
    </w:p>
    <w:p>
      <w:pPr>
        <w:spacing w:after="60" w:before="60"/>
      </w:pPr>
      <w:r>
        <w:t xml:space="preserve"/>
      </w:r>
    </w:p>
    <w:p>
      <w:pPr>
        <w:spacing w:after="80" w:before="80"/>
      </w:pPr>
      <w:r>
        <w:rPr>
          <w:rFonts w:ascii="Arial" w:cs="Arial" w:eastAsia="Arial" w:hAnsi="Arial"/>
          <w:color w:val="222222"/>
          <w:sz w:val="22"/>
          <w:szCs w:val="22"/>
        </w:rPr>
        <w:t xml:space="preserve">The individual's PAI generates intent. AAI validates it with the full weight of applicable law, policy, and ethics. AsAI executes it. The individual has access to the institutional trust infrastructure of the entire legal and financial system — automatically, at hardware speed, for every transaction, regardless of scale.</w:t>
      </w:r>
    </w:p>
    <w:p>
      <w:pPr>
        <w:spacing w:after="60" w:before="60"/>
      </w:pPr>
      <w:r>
        <w:t xml:space="preserve"/>
      </w:r>
    </w:p>
    <w:p>
      <w:pPr>
        <w:pBdr>
          <w:left w:val="single" w:color="2E6DA4" w:sz="6" w:space="8"/>
        </w:pBdr>
        <w:spacing w:after="160" w:before="160"/>
        <w:ind w:left="720" w:right="720"/>
      </w:pPr>
      <w:r>
        <w:rPr>
          <w:rFonts w:ascii="Arial" w:cs="Arial" w:eastAsia="Arial" w:hAnsi="Arial"/>
          <w:i/>
          <w:iCs/>
          <w:color w:val="2E6DA4"/>
          <w:sz w:val="24"/>
          <w:szCs w:val="24"/>
        </w:rPr>
        <w:t xml:space="preserve">For the first time in human history, institutional trust is not a privilege of those who can afford professional intermediaries. It is a structural property of every transaction.</w:t>
      </w:r>
    </w:p>
    <w:p>
      <w:pPr>
        <w:pBdr>
          <w:bottom w:val="single" w:color="2E6DA4" w:sz="4" w:space="1"/>
        </w:pBdr>
        <w:spacing w:after="240" w:before="240"/>
      </w:pPr>
    </w:p>
    <w:p>
      <w:pPr>
        <w:pStyle w:val="Heading1"/>
        <w:spacing w:after="200" w:before="480"/>
      </w:pPr>
      <w:r>
        <w:rPr>
          <w:rFonts w:ascii="Arial" w:cs="Arial" w:eastAsia="Arial" w:hAnsi="Arial"/>
          <w:b/>
          <w:bCs/>
          <w:color w:val="1A3A5C"/>
          <w:sz w:val="34"/>
          <w:szCs w:val="34"/>
        </w:rPr>
        <w:t xml:space="preserve">Conclusion: Trust as Infrastructure</w:t>
      </w:r>
    </w:p>
    <w:p>
      <w:pPr>
        <w:spacing w:after="80" w:before="80"/>
      </w:pPr>
      <w:r>
        <w:rPr>
          <w:rFonts w:ascii="Arial" w:cs="Arial" w:eastAsia="Arial" w:hAnsi="Arial"/>
          <w:color w:val="222222"/>
          <w:sz w:val="22"/>
          <w:szCs w:val="22"/>
        </w:rPr>
        <w:t xml:space="preserve">The history of economic development is, in large part, the history of trust infrastructure. Property rights enabled land markets. Contract law enabled commerce. Banking enabled capital allocation. Accounting standards enabled investment. Each layer of trust infrastructure unlocked a new layer of economic activity.</w:t>
      </w:r>
    </w:p>
    <w:p>
      <w:pPr>
        <w:spacing w:after="60" w:before="60"/>
      </w:pPr>
      <w:r>
        <w:t xml:space="preserve"/>
      </w:r>
    </w:p>
    <w:p>
      <w:pPr>
        <w:spacing w:after="80" w:before="80"/>
      </w:pPr>
      <w:r>
        <w:rPr>
          <w:rFonts w:ascii="Arial" w:cs="Arial" w:eastAsia="Arial" w:hAnsi="Arial"/>
          <w:color w:val="222222"/>
          <w:sz w:val="22"/>
          <w:szCs w:val="22"/>
        </w:rPr>
        <w:t xml:space="preserve">Velsanet adds the next layer: structural trust — trust that is not manufactured by intermediaries after the fact, but embedded in the architecture of the network before any transaction begins.</w:t>
      </w:r>
    </w:p>
    <w:p>
      <w:pPr>
        <w:spacing w:after="60" w:before="60"/>
      </w:pPr>
      <w:r>
        <w:t xml:space="preserve"/>
      </w:r>
    </w:p>
    <w:p>
      <w:pPr>
        <w:spacing w:after="80" w:before="80"/>
      </w:pPr>
      <w:r>
        <w:rPr>
          <w:rFonts w:ascii="Arial" w:cs="Arial" w:eastAsia="Arial" w:hAnsi="Arial"/>
          <w:color w:val="222222"/>
          <w:sz w:val="22"/>
          <w:szCs w:val="22"/>
        </w:rPr>
        <w:t xml:space="preserve">AAI is the mechanism of this structural trust. As Digital Certified Professional — simultaneously lawyer, accountant, notary, auditor, and compliance officer — it performs the verification function that currently requires armies of human professionals, at network speed, for every transaction, automatically.</w:t>
      </w:r>
    </w:p>
    <w:p>
      <w:pPr>
        <w:spacing w:after="60" w:before="60"/>
      </w:pPr>
      <w:r>
        <w:t xml:space="preserve"/>
      </w:r>
    </w:p>
    <w:p>
      <w:pPr>
        <w:spacing w:after="80" w:before="80"/>
      </w:pPr>
      <w:r>
        <w:rPr>
          <w:rFonts w:ascii="Arial" w:cs="Arial" w:eastAsia="Arial" w:hAnsi="Arial"/>
          <w:color w:val="222222"/>
          <w:sz w:val="22"/>
          <w:szCs w:val="22"/>
        </w:rPr>
        <w:t xml:space="preserve">The security that results from this architecture is not the product of clever cryptography or vigilant monitoring. It is the structural consequence of a network in which unauthorized actions are not detected and blocked — they simply produce no effect. Ghost Data cannot transact. Unvalidated intent cannot execute. Unauthorized execution cannot generate Structural Evidence.</w:t>
      </w:r>
    </w:p>
    <w:p>
      <w:pPr>
        <w:spacing w:after="60" w:before="60"/>
      </w:pPr>
      <w:r>
        <w:t xml:space="preserve"/>
      </w:r>
    </w:p>
    <w:p>
      <w:pPr>
        <w:spacing w:after="80" w:before="80"/>
      </w:pPr>
      <w:r>
        <w:rPr>
          <w:rFonts w:ascii="Arial" w:cs="Arial" w:eastAsia="Arial" w:hAnsi="Arial"/>
          <w:color w:val="222222"/>
          <w:sz w:val="22"/>
          <w:szCs w:val="22"/>
        </w:rPr>
        <w:t xml:space="preserve">The moment law becomes architecture is not a metaphor. It is a precise description of what happens when the validation logic of legal, financial, and ethical systems is encoded as structural parameters of a network that cannot execute without them.</w:t>
      </w:r>
    </w:p>
    <w:p>
      <w:pPr>
        <w:spacing w:after="60" w:before="60"/>
      </w:pPr>
      <w:r>
        <w:t xml:space="preserve"/>
      </w:r>
    </w:p>
    <w:p>
      <w:pPr>
        <w:pBdr>
          <w:left w:val="single" w:color="2E6DA4" w:sz="6" w:space="8"/>
        </w:pBdr>
        <w:spacing w:after="160" w:before="160"/>
        <w:ind w:left="720" w:right="720"/>
      </w:pPr>
      <w:r>
        <w:rPr>
          <w:rFonts w:ascii="Arial" w:cs="Arial" w:eastAsia="Arial" w:hAnsi="Arial"/>
          <w:i/>
          <w:iCs/>
          <w:color w:val="2E6DA4"/>
          <w:sz w:val="24"/>
          <w:szCs w:val="24"/>
        </w:rPr>
        <w:t xml:space="preserve">In Velsanet, you do not trust the system because you believe it is honest. You trust it because dishonesty is architecturally impossible.</w:t>
      </w:r>
    </w:p>
    <w:p>
      <w:pPr>
        <w:pBdr>
          <w:bottom w:val="single" w:color="2E6DA4" w:sz="4" w:space="1"/>
        </w:pBdr>
        <w:spacing w:after="240" w:before="240"/>
      </w:pPr>
    </w:p>
    <w:p>
      <w:pPr>
        <w:spacing w:after="80" w:before="400"/>
        <w:jc w:val="center"/>
      </w:pPr>
      <w:r>
        <w:rPr>
          <w:rFonts w:ascii="Arial" w:cs="Arial" w:eastAsia="Arial" w:hAnsi="Arial"/>
          <w:color w:val="888888"/>
          <w:sz w:val="18"/>
          <w:szCs w:val="18"/>
        </w:rPr>
        <w:t xml:space="preserve">Changho Song  ·  joa337@gmail.com</w:t>
      </w:r>
    </w:p>
    <w:p>
      <w:pPr>
        <w:spacing w:after="80" w:before="0"/>
        <w:jc w:val="center"/>
      </w:pPr>
      <w:r>
        <w:rPr>
          <w:rFonts w:ascii="Arial" w:cs="Arial" w:eastAsia="Arial" w:hAnsi="Arial"/>
          <w:color w:val="888888"/>
          <w:sz w:val="18"/>
          <w:szCs w:val="18"/>
        </w:rPr>
        <w:t xml:space="preserve">github.com/joa337/velsanet-whitepapers</w:t>
      </w:r>
    </w:p>
    <w:p>
      <w:pPr>
        <w:spacing w:after="0" w:before="0"/>
        <w:jc w:val="center"/>
      </w:pPr>
      <w:r>
        <w:rPr>
          <w:rFonts w:ascii="Arial" w:cs="Arial" w:eastAsia="Arial" w:hAnsi="Arial"/>
          <w:color w:val="AAAAAA"/>
          <w:sz w:val="18"/>
          <w:szCs w:val="18"/>
        </w:rPr>
        <w:t xml:space="preserve">April 2026  ·  Velsanet White Paper #WP-ECO-02</w:t>
      </w:r>
    </w:p>
    <w:p>
      <w:pPr>
        <w:spacing w:after="0" w:before="1400"/>
        <w:jc w:val="center"/>
      </w:pPr>
      <w:r>
        <w:rPr>
          <w:rFonts w:ascii="Arial" w:cs="Arial" w:eastAsia="Arial" w:hAnsi="Arial"/>
          <w:b/>
          <w:bCs/>
          <w:color w:val="1A3A5C"/>
          <w:sz w:val="64"/>
          <w:szCs w:val="64"/>
        </w:rPr>
        <w:t xml:space="preserve">VELSANET</w:t>
      </w:r>
    </w:p>
    <w:p>
      <w:pPr>
        <w:spacing w:after="80" w:before="0"/>
        <w:jc w:val="center"/>
      </w:pPr>
      <w:r>
        <w:rPr>
          <w:rFonts w:ascii="Arial" w:cs="Arial" w:eastAsia="Arial" w:hAnsi="Arial"/>
          <w:color w:val="999999"/>
          <w:sz w:val="20"/>
          <w:szCs w:val="20"/>
        </w:rPr>
        <w:t xml:space="preserve">White Paper #WP-ECO-03</w:t>
      </w:r>
    </w:p>
    <w:p>
      <w:pPr>
        <w:pBdr>
          <w:bottom w:val="single" w:color="2E6DA4" w:sz="8" w:space="4"/>
        </w:pBdr>
        <w:spacing w:after="0" w:before="200"/>
        <w:jc w:val="center"/>
      </w:pPr>
      <w:r>
        <w:rPr>
          <w:rFonts w:ascii="Arial" w:cs="Arial" w:eastAsia="Arial" w:hAnsi="Arial"/>
          <w:b/>
          <w:bCs/>
          <w:color w:val="2E6DA4"/>
          <w:sz w:val="44"/>
          <w:szCs w:val="44"/>
        </w:rPr>
        <w:t xml:space="preserve">The Telecom Transformation</w:t>
      </w:r>
    </w:p>
    <w:p>
      <w:pPr>
        <w:spacing w:after="600" w:before="240"/>
        <w:jc w:val="center"/>
      </w:pPr>
      <w:r>
        <w:rPr>
          <w:rFonts w:ascii="Arial" w:cs="Arial" w:eastAsia="Arial" w:hAnsi="Arial"/>
          <w:color w:val="444444"/>
          <w:sz w:val="26"/>
          <w:szCs w:val="26"/>
        </w:rPr>
        <w:t xml:space="preserve">From Pipe to Gateway: How Telecommunications Carriers Become AI Economy Gateways in the Velsanet Era</w:t>
      </w:r>
    </w:p>
    <w:p>
      <w:pPr>
        <w:spacing w:after="120" w:before="0"/>
        <w:jc w:val="center"/>
      </w:pPr>
      <w:r>
        <w:rPr>
          <w:rFonts w:ascii="Arial" w:cs="Arial" w:eastAsia="Arial" w:hAnsi="Arial"/>
          <w:b/>
          <w:bCs/>
          <w:color w:val="333333"/>
          <w:sz w:val="26"/>
          <w:szCs w:val="26"/>
        </w:rPr>
        <w:t xml:space="preserve">Changho Song</w:t>
      </w:r>
    </w:p>
    <w:p>
      <w:pPr>
        <w:spacing w:after="0" w:before="0"/>
        <w:jc w:val="center"/>
      </w:pPr>
      <w:r>
        <w:rPr>
          <w:rFonts w:ascii="Arial" w:cs="Arial" w:eastAsia="Arial" w:hAnsi="Arial"/>
          <w:color w:val="888888"/>
          <w:sz w:val="20"/>
          <w:szCs w:val="20"/>
        </w:rPr>
        <w:t xml:space="preserve">April 2026</w:t>
      </w:r>
    </w:p>
    <w:p>
      <w:r>
        <w:br w:type="page"/>
      </w:r>
    </w:p>
    <w:p>
      <w:pPr>
        <w:pStyle w:val="Heading1"/>
        <w:spacing w:after="200" w:before="480"/>
      </w:pPr>
      <w:r>
        <w:rPr>
          <w:rFonts w:ascii="Arial" w:cs="Arial" w:eastAsia="Arial" w:hAnsi="Arial"/>
          <w:b/>
          <w:bCs/>
          <w:color w:val="1A3A5C"/>
          <w:sz w:val="34"/>
          <w:szCs w:val="34"/>
        </w:rPr>
        <w:t xml:space="preserve">1. The Carrier Dilemma — The End of the Connectivity Business</w:t>
      </w:r>
    </w:p>
    <w:p>
      <w:pPr>
        <w:spacing w:after="80" w:before="80"/>
      </w:pPr>
      <w:r>
        <w:rPr>
          <w:rFonts w:ascii="Arial" w:cs="Arial" w:eastAsia="Arial" w:hAnsi="Arial"/>
          <w:color w:val="222222"/>
          <w:sz w:val="22"/>
          <w:szCs w:val="22"/>
        </w:rPr>
        <w:t xml:space="preserve">Telecommunications carriers built the infrastructure of the digital age. They laid the fiber, erected the towers, and connected billions of people. For decades, connectivity was scarce, and carriers captured its value directly.</w:t>
      </w:r>
    </w:p>
    <w:p>
      <w:pPr>
        <w:spacing w:after="60" w:before="60"/>
      </w:pPr>
      <w:r>
        <w:t xml:space="preserve"/>
      </w:r>
    </w:p>
    <w:p>
      <w:pPr>
        <w:spacing w:after="80" w:before="80"/>
      </w:pPr>
      <w:r>
        <w:rPr>
          <w:rFonts w:ascii="Arial" w:cs="Arial" w:eastAsia="Arial" w:hAnsi="Arial"/>
          <w:color w:val="222222"/>
          <w:sz w:val="22"/>
          <w:szCs w:val="22"/>
        </w:rPr>
        <w:t xml:space="preserve">That era is ending. Connectivity is becoming a utility — essential, ubiquitous, and increasingly indistinguishable between providers. Data prices fall every year. Voice revenue has collapsed. Over-the-top services — WhatsApp, Netflix, Zoom — captured the value that carriers transported but could not own.</w:t>
      </w:r>
    </w:p>
    <w:p>
      <w:pPr>
        <w:spacing w:after="60" w:before="60"/>
      </w:pPr>
      <w:r>
        <w:t xml:space="preserve"/>
      </w:r>
    </w:p>
    <w:p>
      <w:pPr>
        <w:pBdr>
          <w:left w:val="single" w:color="2E6DA4" w:sz="6" w:space="8"/>
        </w:pBdr>
        <w:spacing w:after="160" w:before="160"/>
        <w:ind w:left="720" w:right="720"/>
      </w:pPr>
      <w:r>
        <w:rPr>
          <w:rFonts w:ascii="Arial" w:cs="Arial" w:eastAsia="Arial" w:hAnsi="Arial"/>
          <w:i/>
          <w:iCs/>
          <w:color w:val="2E6DA4"/>
          <w:sz w:val="24"/>
          <w:szCs w:val="24"/>
        </w:rPr>
        <w:t xml:space="preserve">Carriers became the pipe. The value flowed through them — and past them.</w:t>
      </w:r>
    </w:p>
    <w:p>
      <w:pPr>
        <w:spacing w:after="60" w:before="60"/>
      </w:pPr>
      <w:r>
        <w:t xml:space="preserve"/>
      </w:r>
    </w:p>
    <w:p>
      <w:pPr>
        <w:spacing w:after="80" w:before="80"/>
      </w:pPr>
      <w:r>
        <w:rPr>
          <w:rFonts w:ascii="Arial" w:cs="Arial" w:eastAsia="Arial" w:hAnsi="Arial"/>
          <w:color w:val="222222"/>
          <w:sz w:val="22"/>
          <w:szCs w:val="22"/>
        </w:rPr>
        <w:t xml:space="preserve">The question every carrier faces is the same: what do we sell when connectivity is no longer scarce? The Velsanet architecture answers this question with structural precision. The carrier transforms from connectivity provider to AI economy gateway.</w:t>
      </w:r>
    </w:p>
    <w:p>
      <w:pPr>
        <w:pBdr>
          <w:bottom w:val="single" w:color="2E6DA4" w:sz="4" w:space="1"/>
        </w:pBdr>
        <w:spacing w:after="240" w:before="240"/>
      </w:pPr>
    </w:p>
    <w:p>
      <w:pPr>
        <w:pStyle w:val="Heading1"/>
        <w:spacing w:after="200" w:before="480"/>
      </w:pPr>
      <w:r>
        <w:rPr>
          <w:rFonts w:ascii="Arial" w:cs="Arial" w:eastAsia="Arial" w:hAnsi="Arial"/>
          <w:b/>
          <w:bCs/>
          <w:color w:val="1A3A5C"/>
          <w:sz w:val="34"/>
          <w:szCs w:val="34"/>
        </w:rPr>
        <w:t xml:space="preserve">2. The Infrastructure Paradox — Losing on Cost, Winning on Volume</w:t>
      </w:r>
    </w:p>
    <w:p>
      <w:pPr>
        <w:pStyle w:val="Heading2"/>
        <w:spacing w:after="160" w:before="320"/>
      </w:pPr>
      <w:r>
        <w:rPr>
          <w:rFonts w:ascii="Arial" w:cs="Arial" w:eastAsia="Arial" w:hAnsi="Arial"/>
          <w:b/>
          <w:bCs/>
          <w:color w:val="2E6DA4"/>
          <w:sz w:val="26"/>
          <w:szCs w:val="26"/>
        </w:rPr>
        <w:t xml:space="preserve">2.1 The Short-Term Cost Reality</w:t>
      </w:r>
    </w:p>
    <w:p>
      <w:pPr>
        <w:spacing w:after="80" w:before="80"/>
      </w:pPr>
      <w:r>
        <w:rPr>
          <w:rFonts w:ascii="Arial" w:cs="Arial" w:eastAsia="Arial" w:hAnsi="Arial"/>
          <w:color w:val="222222"/>
          <w:sz w:val="22"/>
          <w:szCs w:val="22"/>
        </w:rPr>
        <w:t xml:space="preserve">Velsanet's optical-native architecture requires significant infrastructure investment. MOCT deployment, polyhedral node installation, and migration from packet-switched to structure-switched connectivity represent real capital expenditure. In the short term, carriers may absorb infrastructure costs that exceed their current per-subscriber revenue.</w:t>
      </w:r>
    </w:p>
    <w:p>
      <w:pPr>
        <w:spacing w:after="60" w:before="60"/>
      </w:pPr>
      <w:r>
        <w:t xml:space="preserve"/>
      </w:r>
    </w:p>
    <w:p>
      <w:pPr>
        <w:spacing w:after="80" w:before="80"/>
      </w:pPr>
      <w:r>
        <w:rPr>
          <w:rFonts w:ascii="Arial" w:cs="Arial" w:eastAsia="Arial" w:hAnsi="Arial"/>
          <w:color w:val="222222"/>
          <w:sz w:val="22"/>
          <w:szCs w:val="22"/>
        </w:rPr>
        <w:t xml:space="preserve">This is not a flaw. It is the deliberate strategic logic of platform economics — the same logic Amazon used in AWS, Apple in the App Store, and Google in Android.</w:t>
      </w:r>
    </w:p>
    <w:p>
      <w:pPr>
        <w:spacing w:after="60" w:before="60"/>
      </w:pPr>
      <w:r>
        <w:t xml:space="preserve"/>
      </w:r>
    </w:p>
    <w:p>
      <w:pPr>
        <w:pBdr>
          <w:left w:val="single" w:color="2E6DA4" w:sz="6" w:space="8"/>
        </w:pBdr>
        <w:spacing w:after="160" w:before="160"/>
        <w:ind w:left="720" w:right="720"/>
      </w:pPr>
      <w:r>
        <w:rPr>
          <w:rFonts w:ascii="Arial" w:cs="Arial" w:eastAsia="Arial" w:hAnsi="Arial"/>
          <w:i/>
          <w:iCs/>
          <w:color w:val="2E6DA4"/>
          <w:sz w:val="24"/>
          <w:szCs w:val="24"/>
        </w:rPr>
        <w:t xml:space="preserve">Lose on the pipe. Win on the platform.</w:t>
      </w:r>
    </w:p>
    <w:p>
      <w:pPr>
        <w:spacing w:after="60" w:before="60"/>
      </w:pPr>
      <w:r>
        <w:t xml:space="preserve"/>
      </w:r>
    </w:p>
    <w:p>
      <w:pPr>
        <w:pStyle w:val="Heading2"/>
        <w:spacing w:after="160" w:before="320"/>
      </w:pPr>
      <w:r>
        <w:rPr>
          <w:rFonts w:ascii="Arial" w:cs="Arial" w:eastAsia="Arial" w:hAnsi="Arial"/>
          <w:b/>
          <w:bCs/>
          <w:color w:val="2E6DA4"/>
          <w:sz w:val="26"/>
          <w:szCs w:val="26"/>
        </w:rPr>
        <w:t xml:space="preserve">2.2 The Volume Equation</w:t>
      </w:r>
    </w:p>
    <w:p>
      <w:pPr>
        <w:spacing w:after="80" w:before="80"/>
      </w:pPr>
      <w:r>
        <w:rPr>
          <w:rFonts w:ascii="Arial" w:cs="Arial" w:eastAsia="Arial" w:hAnsi="Arial"/>
          <w:color w:val="222222"/>
          <w:sz w:val="22"/>
          <w:szCs w:val="22"/>
        </w:rPr>
        <w:t xml:space="preserve">The Infrastructure Paradox resolves through subscriber volume and AI ecosystem revenue. As subscribers grow, two things happen simultaneously:</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13"/>
        <w:gridCol w:w="3413"/>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Effect</w:t>
            </w:r>
          </w:p>
        </w:tc>
        <w:tc>
          <w:tcPr>
            <w:tcW w:type="dxa" w:w="32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Mechanism</w:t>
            </w:r>
          </w:p>
        </w:tc>
        <w:tc>
          <w:tcPr>
            <w:tcW w:type="dxa" w:w="34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Financial Impact</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Infrastructure cost per subscriber falls</w:t>
            </w:r>
          </w:p>
        </w:tc>
        <w:tc>
          <w:tcPr>
            <w:tcW w:type="dxa" w:w="32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Fixed MOCT and node costs amortize over larger base</w:t>
            </w:r>
          </w:p>
        </w:tc>
        <w:tc>
          <w:tcPr>
            <w:tcW w:type="dxa" w:w="34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Unit economics improve continuously with scale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AI ecosystem revenue per subscriber grows</w:t>
            </w:r>
          </w:p>
        </w:tc>
        <w:tc>
          <w:tcPr>
            <w:tcW w:type="dxa" w:w="32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More subscribers attract more PAI, AAI, and AsAI providers</w:t>
            </w:r>
          </w:p>
        </w:tc>
        <w:tc>
          <w:tcPr>
            <w:tcW w:type="dxa" w:w="34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Revenue per subscriber increases as ecosystem density grows</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Network effects compound</w:t>
            </w:r>
          </w:p>
        </w:tc>
        <w:tc>
          <w:tcPr>
            <w:tcW w:type="dxa" w:w="32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Each new subscriber makes ecosystem more valuable for all</w:t>
            </w:r>
          </w:p>
        </w:tc>
        <w:tc>
          <w:tcPr>
            <w:tcW w:type="dxa" w:w="34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Revenue growth accelerates non-linearly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Switching costs increase</w:t>
            </w:r>
          </w:p>
        </w:tc>
        <w:tc>
          <w:tcPr>
            <w:tcW w:type="dxa" w:w="32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PAI cognitive history accumulates — migration becomes irrational</w:t>
            </w:r>
          </w:p>
        </w:tc>
        <w:tc>
          <w:tcPr>
            <w:tcW w:type="dxa" w:w="34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Churn drops to near zero as PAI history depth grows</w:t>
            </w:r>
          </w:p>
        </w:tc>
      </w:tr>
    </w:tbl>
    <w:p>
      <w:pPr>
        <w:pBdr>
          <w:bottom w:val="single" w:color="2E6DA4" w:sz="4" w:space="1"/>
        </w:pBdr>
        <w:spacing w:after="240" w:before="240"/>
      </w:pPr>
    </w:p>
    <w:p>
      <w:pPr>
        <w:pStyle w:val="Heading1"/>
        <w:spacing w:after="200" w:before="480"/>
      </w:pPr>
      <w:r>
        <w:rPr>
          <w:rFonts w:ascii="Arial" w:cs="Arial" w:eastAsia="Arial" w:hAnsi="Arial"/>
          <w:b/>
          <w:bCs/>
          <w:color w:val="1A3A5C"/>
          <w:sz w:val="34"/>
          <w:szCs w:val="34"/>
        </w:rPr>
        <w:t xml:space="preserve">3. The Three Revenue Streams</w:t>
      </w:r>
    </w:p>
    <w:p>
      <w:pPr>
        <w:pStyle w:val="Heading2"/>
        <w:spacing w:after="160" w:before="320"/>
      </w:pPr>
      <w:r>
        <w:rPr>
          <w:rFonts w:ascii="Arial" w:cs="Arial" w:eastAsia="Arial" w:hAnsi="Arial"/>
          <w:b/>
          <w:bCs/>
          <w:color w:val="2E6DA4"/>
          <w:sz w:val="26"/>
          <w:szCs w:val="26"/>
        </w:rPr>
        <w:t xml:space="preserve">3.1 Revenue Stream 1 — PAI Subscription</w:t>
      </w:r>
    </w:p>
    <w:p>
      <w:pPr>
        <w:spacing w:after="80" w:before="80"/>
      </w:pPr>
      <w:r>
        <w:rPr>
          <w:rFonts w:ascii="Arial" w:cs="Arial" w:eastAsia="Arial" w:hAnsi="Arial"/>
          <w:color w:val="222222"/>
          <w:sz w:val="22"/>
          <w:szCs w:val="22"/>
        </w:rPr>
        <w:t xml:space="preserve">The most direct transformation: carriers replace the data plan with the PAI subscription. Instead of selling gigabytes, they sell cognitive capability.</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226"/>
        <w:gridCol w:w="3000"/>
      </w:tblGrid>
      <w:tr>
        <w:trPr>
          <w:tblHeader/>
        </w:trPr>
        <w:tc>
          <w:tcPr>
            <w:tcW w:type="dxa" w:w="18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Tier</w:t>
            </w:r>
          </w:p>
        </w:tc>
        <w:tc>
          <w:tcPr>
            <w:tcW w:type="dxa" w:w="4226"/>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What It Includes</w:t>
            </w:r>
          </w:p>
        </w:tc>
        <w:tc>
          <w:tcPr>
            <w:tcW w:type="dxa" w:w="30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Pricing Logic</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Basic PAI</w:t>
            </w:r>
          </w:p>
        </w:tc>
        <w:tc>
          <w:tcPr>
            <w:tcW w:type="dxa" w:w="42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Standard cognitive engine, communication (voice/text/SNS), financial account integration</w:t>
            </w:r>
          </w:p>
        </w:tc>
        <w:tc>
          <w:tcPr>
            <w:tcW w:type="dxa" w:w="3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Replaces current basic data plan — similar price, dramatically higher value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Premium PAI</w:t>
            </w:r>
          </w:p>
        </w:tc>
        <w:tc>
          <w:tcPr>
            <w:tcW w:type="dxa" w:w="4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Domain-specialized modules (health, education, legal, finance), priority AAI access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2-3x basic price — high margin</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Professional PAI</w:t>
            </w:r>
          </w:p>
        </w:tc>
        <w:tc>
          <w:tcPr>
            <w:tcW w:type="dxa" w:w="42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Multi-domain specialization, enterprise AAI connectivity, SLA guarantees</w:t>
            </w:r>
          </w:p>
        </w:tc>
        <w:tc>
          <w:tcPr>
            <w:tcW w:type="dxa" w:w="3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Enterprise recurring subscription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Family / Group PAI</w:t>
            </w:r>
          </w:p>
        </w:tc>
        <w:tc>
          <w:tcPr>
            <w:tcW w:type="dxa" w:w="4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Multiple PAI instances, shared AAI access, group transaction capability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Bundle pricing — higher ARPU per account</w:t>
            </w:r>
          </w:p>
        </w:tc>
      </w:tr>
    </w:tbl>
    <w:p>
      <w:pPr>
        <w:spacing w:after="60" w:before="60"/>
      </w:pPr>
      <w:r>
        <w:t xml:space="preserve"/>
      </w:r>
    </w:p>
    <w:p>
      <w:pPr>
        <w:spacing w:after="80" w:before="80"/>
      </w:pPr>
      <w:r>
        <w:rPr>
          <w:rFonts w:ascii="Arial" w:cs="Arial" w:eastAsia="Arial" w:hAnsi="Arial"/>
          <w:color w:val="222222"/>
          <w:sz w:val="22"/>
          <w:szCs w:val="22"/>
        </w:rPr>
        <w:t xml:space="preserve">Critical difference from a data plan: PAI subscription value compounds over time. Three years of cognitive history makes switching cost prohibitively high. Data plan loyalty was inertia. PAI loyalty is value accumulation.</w:t>
      </w:r>
    </w:p>
    <w:p>
      <w:pPr>
        <w:spacing w:after="60" w:before="60"/>
      </w:pPr>
      <w:r>
        <w:t xml:space="preserve"/>
      </w:r>
    </w:p>
    <w:p>
      <w:pPr>
        <w:pStyle w:val="Heading2"/>
        <w:spacing w:after="160" w:before="320"/>
      </w:pPr>
      <w:r>
        <w:rPr>
          <w:rFonts w:ascii="Arial" w:cs="Arial" w:eastAsia="Arial" w:hAnsi="Arial"/>
          <w:b/>
          <w:bCs/>
          <w:color w:val="2E6DA4"/>
          <w:sz w:val="26"/>
          <w:szCs w:val="26"/>
        </w:rPr>
        <w:t xml:space="preserve">3.2 Revenue Stream 2 — AI Ecosystem Infrastructure Fee</w:t>
      </w:r>
    </w:p>
    <w:p>
      <w:pPr>
        <w:spacing w:after="80" w:before="80"/>
      </w:pPr>
      <w:r>
        <w:rPr>
          <w:rFonts w:ascii="Arial" w:cs="Arial" w:eastAsia="Arial" w:hAnsi="Arial"/>
          <w:color w:val="222222"/>
          <w:sz w:val="22"/>
          <w:szCs w:val="22"/>
        </w:rPr>
        <w:t xml:space="preserve">Every PAI, AAI, and AsAI service operating on the carrier infrastructure pays a structural fee — analogous to the App Store model applied to the entire AI economy.</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813"/>
        <w:gridCol w:w="3813"/>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Fee Category</w:t>
            </w:r>
          </w:p>
        </w:tc>
        <w:tc>
          <w:tcPr>
            <w:tcW w:type="dxa" w:w="28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Who Pays</w:t>
            </w:r>
          </w:p>
        </w:tc>
        <w:tc>
          <w:tcPr>
            <w:tcW w:type="dxa" w:w="38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Basis</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PAI provider fee</w:t>
            </w:r>
          </w:p>
        </w:tc>
        <w:tc>
          <w:tcPr>
            <w:tcW w:type="dxa" w:w="28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Third-party PAI engine developers</w:t>
            </w:r>
          </w:p>
        </w:tc>
        <w:tc>
          <w:tcPr>
            <w:tcW w:type="dxa" w:w="38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Per active subscriber using their engine on carrier infrastructure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AAI access fee</w:t>
            </w:r>
          </w:p>
        </w:tc>
        <w:tc>
          <w:tcPr>
            <w:tcW w:type="dxa" w:w="28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AAI service providers (legal, financial, medical, educational)</w:t>
            </w:r>
          </w:p>
        </w:tc>
        <w:tc>
          <w:tcPr>
            <w:tcW w:type="dxa" w:w="38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Per validation transaction processed</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AsAI execution fee</w:t>
            </w:r>
          </w:p>
        </w:tc>
        <w:tc>
          <w:tcPr>
            <w:tcW w:type="dxa" w:w="28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Businesses using execution capacity</w:t>
            </w:r>
          </w:p>
        </w:tc>
        <w:tc>
          <w:tcPr>
            <w:tcW w:type="dxa" w:w="38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Per transaction — volume-based, declining rate at scale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Data storage fee</w:t>
            </w:r>
          </w:p>
        </w:tc>
        <w:tc>
          <w:tcPr>
            <w:tcW w:type="dxa" w:w="28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PAI raw memory layer</w:t>
            </w:r>
          </w:p>
        </w:tc>
        <w:tc>
          <w:tcPr>
            <w:tcW w:type="dxa" w:w="38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Per subscriber per month — history grows continuously</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Priority routing fee</w:t>
            </w:r>
          </w:p>
        </w:tc>
        <w:tc>
          <w:tcPr>
            <w:tcW w:type="dxa" w:w="28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Premium services requiring guaranteed latency</w:t>
            </w:r>
          </w:p>
        </w:tc>
        <w:tc>
          <w:tcPr>
            <w:tcW w:type="dxa" w:w="38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SLA-based premium — mission-critical applications pay more</w:t>
            </w:r>
          </w:p>
        </w:tc>
      </w:tr>
    </w:tbl>
    <w:p>
      <w:pPr>
        <w:spacing w:after="60" w:before="60"/>
      </w:pPr>
      <w:r>
        <w:t xml:space="preserve"/>
      </w:r>
    </w:p>
    <w:p>
      <w:pPr>
        <w:pStyle w:val="Heading2"/>
        <w:spacing w:after="160" w:before="320"/>
      </w:pPr>
      <w:r>
        <w:rPr>
          <w:rFonts w:ascii="Arial" w:cs="Arial" w:eastAsia="Arial" w:hAnsi="Arial"/>
          <w:b/>
          <w:bCs/>
          <w:color w:val="2E6DA4"/>
          <w:sz w:val="26"/>
          <w:szCs w:val="26"/>
        </w:rPr>
        <w:t xml:space="preserve">3.3 Revenue Stream 3 — Transaction Gateway Commission</w:t>
      </w:r>
    </w:p>
    <w:p>
      <w:pPr>
        <w:spacing w:after="80" w:before="80"/>
      </w:pPr>
      <w:r>
        <w:rPr>
          <w:rFonts w:ascii="Arial" w:cs="Arial" w:eastAsia="Arial" w:hAnsi="Arial"/>
          <w:color w:val="222222"/>
          <w:sz w:val="22"/>
          <w:szCs w:val="22"/>
        </w:rPr>
        <w:t xml:space="preserve">Every economic transaction flowing through the carrier's Velsanet infrastructure — from PAI intent through AAI validation to AsAI execution — generates a gateway commission. This is the most transformative revenue stream.</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813"/>
        <w:gridCol w:w="3813"/>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Transaction Category</w:t>
            </w:r>
          </w:p>
        </w:tc>
        <w:tc>
          <w:tcPr>
            <w:tcW w:type="dxa" w:w="28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Commission Basis</w:t>
            </w:r>
          </w:p>
        </w:tc>
        <w:tc>
          <w:tcPr>
            <w:tcW w:type="dxa" w:w="38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Scale Potential</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Retail commerce</w:t>
            </w:r>
          </w:p>
        </w:tc>
        <w:tc>
          <w:tcPr>
            <w:tcW w:type="dxa" w:w="28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Basis points on transaction value</w:t>
            </w:r>
          </w:p>
        </w:tc>
        <w:tc>
          <w:tcPr>
            <w:tcW w:type="dxa" w:w="38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Every purchase made through PAI flows through carrier infrastructure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Financial services</w:t>
            </w:r>
          </w:p>
        </w:tc>
        <w:tc>
          <w:tcPr>
            <w:tcW w:type="dxa" w:w="28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Per-transaction fee on payments and transfers</w:t>
            </w:r>
          </w:p>
        </w:tc>
        <w:tc>
          <w:tcPr>
            <w:tcW w:type="dxa" w:w="38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Replaces interchange revenue currently captured by card networks</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Professional services</w:t>
            </w:r>
          </w:p>
        </w:tc>
        <w:tc>
          <w:tcPr>
            <w:tcW w:type="dxa" w:w="28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Commission on AAI-mediated engagements</w:t>
            </w:r>
          </w:p>
        </w:tc>
        <w:tc>
          <w:tcPr>
            <w:tcW w:type="dxa" w:w="38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Legal, medical, educational transactions all flow through AAI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B2B transactions</w:t>
            </w:r>
          </w:p>
        </w:tc>
        <w:tc>
          <w:tcPr>
            <w:tcW w:type="dxa" w:w="28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Tiered commission on cross-enterprise value</w:t>
            </w:r>
          </w:p>
        </w:tc>
        <w:tc>
          <w:tcPr>
            <w:tcW w:type="dxa" w:w="38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Supply chain, procurement, financial settlement</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Government services</w:t>
            </w:r>
          </w:p>
        </w:tc>
        <w:tc>
          <w:tcPr>
            <w:tcW w:type="dxa" w:w="28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Per-transaction administrative fee</w:t>
            </w:r>
          </w:p>
        </w:tc>
        <w:tc>
          <w:tcPr>
            <w:tcW w:type="dxa" w:w="38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Tax, licensing, permits — all structurally executed</w:t>
            </w:r>
          </w:p>
        </w:tc>
      </w:tr>
    </w:tbl>
    <w:p>
      <w:pPr>
        <w:spacing w:after="60" w:before="60"/>
      </w:pPr>
      <w:r>
        <w:t xml:space="preserve"/>
      </w:r>
    </w:p>
    <w:p>
      <w:pPr>
        <w:pBdr>
          <w:left w:val="single" w:color="2E6DA4" w:sz="6" w:space="8"/>
        </w:pBdr>
        <w:spacing w:after="160" w:before="160"/>
        <w:ind w:left="720" w:right="720"/>
      </w:pPr>
      <w:r>
        <w:rPr>
          <w:rFonts w:ascii="Arial" w:cs="Arial" w:eastAsia="Arial" w:hAnsi="Arial"/>
          <w:i/>
          <w:iCs/>
          <w:color w:val="2E6DA4"/>
          <w:sz w:val="24"/>
          <w:szCs w:val="24"/>
        </w:rPr>
        <w:t xml:space="preserve">The carrier does not need to be in the commerce business. It simply needs to be the infrastructure through which commerce flows — and collect a structural toll on every transaction.</w:t>
      </w:r>
    </w:p>
    <w:p>
      <w:pPr>
        <w:pBdr>
          <w:bottom w:val="single" w:color="2E6DA4" w:sz="4" w:space="1"/>
        </w:pBdr>
        <w:spacing w:after="240" w:before="240"/>
      </w:pPr>
    </w:p>
    <w:p>
      <w:pPr>
        <w:pStyle w:val="Heading1"/>
        <w:spacing w:after="200" w:before="480"/>
      </w:pPr>
      <w:r>
        <w:rPr>
          <w:rFonts w:ascii="Arial" w:cs="Arial" w:eastAsia="Arial" w:hAnsi="Arial"/>
          <w:b/>
          <w:bCs/>
          <w:color w:val="1A3A5C"/>
          <w:sz w:val="34"/>
          <w:szCs w:val="34"/>
        </w:rPr>
        <w:t xml:space="preserve">4. The Business Model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113"/>
        <w:gridCol w:w="3513"/>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Dimension</w:t>
            </w:r>
          </w:p>
        </w:tc>
        <w:tc>
          <w:tcPr>
            <w:tcW w:type="dxa" w:w="31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Current Model</w:t>
            </w:r>
          </w:p>
        </w:tc>
        <w:tc>
          <w:tcPr>
            <w:tcW w:type="dxa" w:w="35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Velsanet Model</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Core product</w:t>
            </w:r>
          </w:p>
        </w:tc>
        <w:tc>
          <w:tcPr>
            <w:tcW w:type="dxa" w:w="31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Connectivity (data + voice)</w:t>
            </w:r>
          </w:p>
        </w:tc>
        <w:tc>
          <w:tcPr>
            <w:tcW w:type="dxa" w:w="35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PAI subscription + AI ecosystem access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Revenue basis</w:t>
            </w:r>
          </w:p>
        </w:tc>
        <w:tc>
          <w:tcPr>
            <w:tcW w:type="dxa" w:w="31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Data consumption volume</w:t>
            </w:r>
          </w:p>
        </w:tc>
        <w:tc>
          <w:tcPr>
            <w:tcW w:type="dxa" w:w="3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Subscription + ecosystem fees + transaction commission</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Competitive differentiation</w:t>
            </w:r>
          </w:p>
        </w:tc>
        <w:tc>
          <w:tcPr>
            <w:tcW w:type="dxa" w:w="31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Network speed and price</w:t>
            </w:r>
          </w:p>
        </w:tc>
        <w:tc>
          <w:tcPr>
            <w:tcW w:type="dxa" w:w="35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PAI quality, ecosystem depth, domain coverage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Customer relationship</w:t>
            </w:r>
          </w:p>
        </w:tc>
        <w:tc>
          <w:tcPr>
            <w:tcW w:type="dxa" w:w="31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Utility provider — low engagement</w:t>
            </w:r>
          </w:p>
        </w:tc>
        <w:tc>
          <w:tcPr>
            <w:tcW w:type="dxa" w:w="3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AI life partner — deep engagement, high switching cost</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Revenue trajectory</w:t>
            </w:r>
          </w:p>
        </w:tc>
        <w:tc>
          <w:tcPr>
            <w:tcW w:type="dxa" w:w="31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Declining — commodity pressure</w:t>
            </w:r>
          </w:p>
        </w:tc>
        <w:tc>
          <w:tcPr>
            <w:tcW w:type="dxa" w:w="35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Growing — ecosystem network effects compound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ARPU trend</w:t>
            </w:r>
          </w:p>
        </w:tc>
        <w:tc>
          <w:tcPr>
            <w:tcW w:type="dxa" w:w="31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Falling — price competition</w:t>
            </w:r>
          </w:p>
        </w:tc>
        <w:tc>
          <w:tcPr>
            <w:tcW w:type="dxa" w:w="3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Rising — value accumulation per subscriber</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Churn driver</w:t>
            </w:r>
          </w:p>
        </w:tc>
        <w:tc>
          <w:tcPr>
            <w:tcW w:type="dxa" w:w="31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Price comparison</w:t>
            </w:r>
          </w:p>
        </w:tc>
        <w:tc>
          <w:tcPr>
            <w:tcW w:type="dxa" w:w="35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PAI history depth — near-zero rational churn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Margin structure</w:t>
            </w:r>
          </w:p>
        </w:tc>
        <w:tc>
          <w:tcPr>
            <w:tcW w:type="dxa" w:w="31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Thin — infrastructure cost dominant</w:t>
            </w:r>
          </w:p>
        </w:tc>
        <w:tc>
          <w:tcPr>
            <w:tcW w:type="dxa" w:w="3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Expanding — ecosystem fees are near-zero marginal cost</w:t>
            </w:r>
          </w:p>
        </w:tc>
      </w:tr>
    </w:tbl>
    <w:p>
      <w:pPr>
        <w:spacing w:after="60" w:before="60"/>
      </w:pPr>
      <w:r>
        <w:t xml:space="preserve"/>
      </w:r>
    </w:p>
    <w:p>
      <w:pPr>
        <w:pStyle w:val="Heading1"/>
        <w:spacing w:after="200" w:before="480"/>
      </w:pPr>
      <w:r>
        <w:rPr>
          <w:rFonts w:ascii="Arial" w:cs="Arial" w:eastAsia="Arial" w:hAnsi="Arial"/>
          <w:b/>
          <w:bCs/>
          <w:color w:val="1A3A5C"/>
          <w:sz w:val="34"/>
          <w:szCs w:val="34"/>
        </w:rPr>
        <w:t xml:space="preserve">5. The Network Effect Flywheel</w:t>
      </w:r>
    </w:p>
    <w:p>
      <w:pPr>
        <w:pStyle w:val="ListParagraph"/>
        <w:numPr>
          <w:ilvl w:val="0"/>
          <w:numId w:val="2"/>
        </w:numPr>
        <w:spacing w:after="80" w:before="80"/>
      </w:pPr>
      <w:r>
        <w:rPr>
          <w:rFonts w:ascii="Arial" w:cs="Arial" w:eastAsia="Arial" w:hAnsi="Arial"/>
          <w:sz w:val="22"/>
          <w:szCs w:val="22"/>
        </w:rPr>
        <w:t xml:space="preserve">More subscribers attract more PAI engine providers competing for users</w:t>
      </w:r>
    </w:p>
    <w:p>
      <w:pPr>
        <w:pStyle w:val="ListParagraph"/>
        <w:numPr>
          <w:ilvl w:val="0"/>
          <w:numId w:val="2"/>
        </w:numPr>
        <w:spacing w:after="80" w:before="80"/>
      </w:pPr>
      <w:r>
        <w:rPr>
          <w:rFonts w:ascii="Arial" w:cs="Arial" w:eastAsia="Arial" w:hAnsi="Arial"/>
          <w:sz w:val="22"/>
          <w:szCs w:val="22"/>
        </w:rPr>
        <w:t xml:space="preserve">Better PAI quality attracts more AAI service providers to the ecosystem</w:t>
      </w:r>
    </w:p>
    <w:p>
      <w:pPr>
        <w:pStyle w:val="ListParagraph"/>
        <w:numPr>
          <w:ilvl w:val="0"/>
          <w:numId w:val="2"/>
        </w:numPr>
        <w:spacing w:after="80" w:before="80"/>
      </w:pPr>
      <w:r>
        <w:rPr>
          <w:rFonts w:ascii="Arial" w:cs="Arial" w:eastAsia="Arial" w:hAnsi="Arial"/>
          <w:sz w:val="22"/>
          <w:szCs w:val="22"/>
        </w:rPr>
        <w:t xml:space="preserve">More AAI services attract more AsAI businesses seeking validated customer intent</w:t>
      </w:r>
    </w:p>
    <w:p>
      <w:pPr>
        <w:pStyle w:val="ListParagraph"/>
        <w:numPr>
          <w:ilvl w:val="0"/>
          <w:numId w:val="2"/>
        </w:numPr>
        <w:spacing w:after="80" w:before="80"/>
      </w:pPr>
      <w:r>
        <w:rPr>
          <w:rFonts w:ascii="Arial" w:cs="Arial" w:eastAsia="Arial" w:hAnsi="Arial"/>
          <w:sz w:val="22"/>
          <w:szCs w:val="22"/>
        </w:rPr>
        <w:t xml:space="preserve">More AsAI businesses generate more transaction commission revenue</w:t>
      </w:r>
    </w:p>
    <w:p>
      <w:pPr>
        <w:pStyle w:val="ListParagraph"/>
        <w:numPr>
          <w:ilvl w:val="0"/>
          <w:numId w:val="2"/>
        </w:numPr>
        <w:spacing w:after="80" w:before="80"/>
      </w:pPr>
      <w:r>
        <w:rPr>
          <w:rFonts w:ascii="Arial" w:cs="Arial" w:eastAsia="Arial" w:hAnsi="Arial"/>
          <w:sz w:val="22"/>
          <w:szCs w:val="22"/>
        </w:rPr>
        <w:t xml:space="preserve">Higher revenue enables better infrastructure investment</w:t>
      </w:r>
    </w:p>
    <w:p>
      <w:pPr>
        <w:pStyle w:val="ListParagraph"/>
        <w:numPr>
          <w:ilvl w:val="0"/>
          <w:numId w:val="2"/>
        </w:numPr>
        <w:spacing w:after="80" w:before="80"/>
      </w:pPr>
      <w:r>
        <w:rPr>
          <w:rFonts w:ascii="Arial" w:cs="Arial" w:eastAsia="Arial" w:hAnsi="Arial"/>
          <w:sz w:val="22"/>
          <w:szCs w:val="22"/>
        </w:rPr>
        <w:t xml:space="preserve">Better infrastructure attracts more subscribers — return to step 1</w:t>
      </w:r>
    </w:p>
    <w:p>
      <w:pPr>
        <w:spacing w:after="60" w:before="60"/>
      </w:pPr>
      <w:r>
        <w:t xml:space="preserve"/>
      </w:r>
    </w:p>
    <w:p>
      <w:pPr>
        <w:pBdr>
          <w:left w:val="single" w:color="2E6DA4" w:sz="6" w:space="8"/>
        </w:pBdr>
        <w:spacing w:after="160" w:before="160"/>
        <w:ind w:left="720" w:right="720"/>
      </w:pPr>
      <w:r>
        <w:rPr>
          <w:rFonts w:ascii="Arial" w:cs="Arial" w:eastAsia="Arial" w:hAnsi="Arial"/>
          <w:i/>
          <w:iCs/>
          <w:color w:val="2E6DA4"/>
          <w:sz w:val="24"/>
          <w:szCs w:val="24"/>
        </w:rPr>
        <w:t xml:space="preserve">Data plan competition is a zero-sum race to the bottom. The Velsanet ecosystem model is a positive-sum race to the top.</w:t>
      </w:r>
    </w:p>
    <w:p>
      <w:pPr>
        <w:pBdr>
          <w:bottom w:val="single" w:color="2E6DA4" w:sz="4" w:space="1"/>
        </w:pBdr>
        <w:spacing w:after="240" w:before="240"/>
      </w:pPr>
    </w:p>
    <w:p>
      <w:pPr>
        <w:spacing w:after="80" w:before="400"/>
        <w:jc w:val="center"/>
      </w:pPr>
      <w:r>
        <w:rPr>
          <w:rFonts w:ascii="Arial" w:cs="Arial" w:eastAsia="Arial" w:hAnsi="Arial"/>
          <w:color w:val="888888"/>
          <w:sz w:val="18"/>
          <w:szCs w:val="18"/>
        </w:rPr>
        <w:t xml:space="preserve">Changho Song  ·  joa337@gmail.com</w:t>
      </w:r>
    </w:p>
    <w:p>
      <w:pPr>
        <w:spacing w:after="0" w:before="0"/>
        <w:jc w:val="center"/>
      </w:pPr>
      <w:r>
        <w:rPr>
          <w:rFonts w:ascii="Arial" w:cs="Arial" w:eastAsia="Arial" w:hAnsi="Arial"/>
          <w:color w:val="AAAAAA"/>
          <w:sz w:val="18"/>
          <w:szCs w:val="18"/>
        </w:rPr>
        <w:t xml:space="preserve">April 2026  ·  Velsanet White Paper #WP-ECO-03</w:t>
      </w:r>
    </w:p>
    <w:p>
      <w:pPr>
        <w:spacing w:after="0" w:before="1400"/>
        <w:jc w:val="center"/>
      </w:pPr>
      <w:r>
        <w:rPr>
          <w:rFonts w:ascii="Arial" w:cs="Arial" w:eastAsia="Arial" w:hAnsi="Arial"/>
          <w:b/>
          <w:bCs/>
          <w:color w:val="1A3A5C"/>
          <w:sz w:val="64"/>
          <w:szCs w:val="64"/>
        </w:rPr>
        <w:t xml:space="preserve">VELSANET</w:t>
      </w:r>
    </w:p>
    <w:p>
      <w:pPr>
        <w:spacing w:after="80" w:before="0"/>
        <w:jc w:val="center"/>
      </w:pPr>
      <w:r>
        <w:rPr>
          <w:rFonts w:ascii="Arial" w:cs="Arial" w:eastAsia="Arial" w:hAnsi="Arial"/>
          <w:color w:val="999999"/>
          <w:sz w:val="20"/>
          <w:szCs w:val="20"/>
        </w:rPr>
        <w:t xml:space="preserve">White Paper #WP-ECO-04</w:t>
      </w:r>
    </w:p>
    <w:p>
      <w:pPr>
        <w:pBdr>
          <w:bottom w:val="single" w:color="2E6DA4" w:sz="8" w:space="4"/>
        </w:pBdr>
        <w:spacing w:after="0" w:before="200"/>
        <w:jc w:val="center"/>
      </w:pPr>
      <w:r>
        <w:rPr>
          <w:rFonts w:ascii="Arial" w:cs="Arial" w:eastAsia="Arial" w:hAnsi="Arial"/>
          <w:b/>
          <w:bCs/>
          <w:color w:val="2E6DA4"/>
          <w:sz w:val="44"/>
          <w:szCs w:val="44"/>
        </w:rPr>
        <w:t xml:space="preserve">The End of Advertising</w:t>
      </w:r>
    </w:p>
    <w:p>
      <w:pPr>
        <w:spacing w:after="600" w:before="240"/>
        <w:jc w:val="center"/>
      </w:pPr>
      <w:r>
        <w:rPr>
          <w:rFonts w:ascii="Arial" w:cs="Arial" w:eastAsia="Arial" w:hAnsi="Arial"/>
          <w:color w:val="444444"/>
          <w:sz w:val="26"/>
          <w:szCs w:val="26"/>
        </w:rPr>
        <w:t xml:space="preserve">How AAI Transforms Marketing, Sales, and Commerce in the Velsanet Economy</w:t>
      </w:r>
    </w:p>
    <w:p>
      <w:pPr>
        <w:spacing w:after="120" w:before="0"/>
        <w:jc w:val="center"/>
      </w:pPr>
      <w:r>
        <w:rPr>
          <w:rFonts w:ascii="Arial" w:cs="Arial" w:eastAsia="Arial" w:hAnsi="Arial"/>
          <w:b/>
          <w:bCs/>
          <w:color w:val="333333"/>
          <w:sz w:val="26"/>
          <w:szCs w:val="26"/>
        </w:rPr>
        <w:t xml:space="preserve">Changho Song</w:t>
      </w:r>
    </w:p>
    <w:p>
      <w:pPr>
        <w:spacing w:after="0" w:before="0"/>
        <w:jc w:val="center"/>
      </w:pPr>
      <w:r>
        <w:rPr>
          <w:rFonts w:ascii="Arial" w:cs="Arial" w:eastAsia="Arial" w:hAnsi="Arial"/>
          <w:color w:val="888888"/>
          <w:sz w:val="20"/>
          <w:szCs w:val="20"/>
        </w:rPr>
        <w:t xml:space="preserve">April 2026</w:t>
      </w:r>
    </w:p>
    <w:p>
      <w:r>
        <w:br w:type="page"/>
      </w:r>
    </w:p>
    <w:p>
      <w:pPr>
        <w:pStyle w:val="Heading1"/>
        <w:spacing w:after="200" w:before="480"/>
      </w:pPr>
      <w:r>
        <w:rPr>
          <w:rFonts w:ascii="Arial" w:cs="Arial" w:eastAsia="Arial" w:hAnsi="Arial"/>
          <w:b/>
          <w:bCs/>
          <w:color w:val="1A3A5C"/>
          <w:sz w:val="34"/>
          <w:szCs w:val="34"/>
        </w:rPr>
        <w:t xml:space="preserve">1. The Advertising Industry's Structural Problem</w:t>
      </w:r>
    </w:p>
    <w:p>
      <w:pPr>
        <w:pStyle w:val="Heading2"/>
        <w:spacing w:after="160" w:before="320"/>
      </w:pPr>
      <w:r>
        <w:rPr>
          <w:rFonts w:ascii="Arial" w:cs="Arial" w:eastAsia="Arial" w:hAnsi="Arial"/>
          <w:b/>
          <w:bCs/>
          <w:color w:val="2E6DA4"/>
          <w:sz w:val="26"/>
          <w:szCs w:val="26"/>
        </w:rPr>
        <w:t xml:space="preserve">1.1 Push Marketing — A System Built on Waste</w:t>
      </w:r>
    </w:p>
    <w:p>
      <w:pPr>
        <w:spacing w:after="80" w:before="80"/>
      </w:pPr>
      <w:r>
        <w:rPr>
          <w:rFonts w:ascii="Arial" w:cs="Arial" w:eastAsia="Arial" w:hAnsi="Arial"/>
          <w:color w:val="222222"/>
          <w:sz w:val="22"/>
          <w:szCs w:val="22"/>
        </w:rPr>
        <w:t xml:space="preserve">The modern advertising industry is built on a single premise: reach enough people with a message, and some of them will buy. This push model has become increasingly sophisticated in targeting, but has never escaped its fundamental inefficiency.</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Advertising Metric</w:t>
            </w:r>
          </w:p>
        </w:tc>
        <w:tc>
          <w:tcPr>
            <w:tcW w:type="dxa" w:w="5026"/>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Reality</w:t>
            </w:r>
          </w:p>
        </w:tc>
      </w:tr>
      <w:tr>
        <w:tc>
          <w:tcPr>
            <w:tcW w:type="dxa" w:w="4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Average display ad click-through rate</w:t>
            </w:r>
          </w:p>
        </w:tc>
        <w:tc>
          <w:tcPr>
            <w:tcW w:type="dxa" w:w="50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0.1% — 999 out of 1,000 impressions produce no action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Average conversion rate from click to purchase</w:t>
            </w:r>
          </w:p>
        </w:tc>
        <w:tc>
          <w:tcPr>
            <w:tcW w:type="dxa" w:w="5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2-3% — 97 out of 100 clicks produce no sale</w:t>
            </w:r>
          </w:p>
        </w:tc>
      </w:tr>
      <w:tr>
        <w:tc>
          <w:tcPr>
            <w:tcW w:type="dxa" w:w="4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Effective conversion rate (impression to purchase)</w:t>
            </w:r>
          </w:p>
        </w:tc>
        <w:tc>
          <w:tcPr>
            <w:tcW w:type="dxa" w:w="50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0.002% — 1 in 50,000 impressions results in a sale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Percentage of ad spend reaching likely buyers</w:t>
            </w:r>
          </w:p>
        </w:tc>
        <w:tc>
          <w:tcPr>
            <w:tcW w:type="dxa" w:w="5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Estimated 20-40% — majority of budget is structural waste</w:t>
            </w:r>
          </w:p>
        </w:tc>
      </w:tr>
      <w:tr>
        <w:tc>
          <w:tcPr>
            <w:tcW w:type="dxa" w:w="4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Annual global advertising waste</w:t>
            </w:r>
          </w:p>
        </w:tc>
        <w:tc>
          <w:tcPr>
            <w:tcW w:type="dxa" w:w="50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Estimated 00-600 billion in spend producing no measurable outcome</w:t>
            </w:r>
          </w:p>
        </w:tc>
      </w:tr>
    </w:tbl>
    <w:p>
      <w:pPr>
        <w:spacing w:after="60" w:before="60"/>
      </w:pPr>
      <w:r>
        <w:t xml:space="preserve"/>
      </w:r>
    </w:p>
    <w:p>
      <w:pPr>
        <w:pBdr>
          <w:left w:val="single" w:color="2E6DA4" w:sz="6" w:space="8"/>
        </w:pBdr>
        <w:spacing w:after="160" w:before="160"/>
        <w:ind w:left="720" w:right="720"/>
      </w:pPr>
      <w:r>
        <w:rPr>
          <w:rFonts w:ascii="Arial" w:cs="Arial" w:eastAsia="Arial" w:hAnsi="Arial"/>
          <w:i/>
          <w:iCs/>
          <w:color w:val="2E6DA4"/>
          <w:sz w:val="24"/>
          <w:szCs w:val="24"/>
        </w:rPr>
        <w:t xml:space="preserve">The advertising industry does not solve the problem of finding buyers. It floods the market with messages and accepts that most of them are wasted.</w:t>
      </w:r>
    </w:p>
    <w:p>
      <w:pPr>
        <w:spacing w:after="60" w:before="60"/>
      </w:pPr>
      <w:r>
        <w:t xml:space="preserve"/>
      </w:r>
    </w:p>
    <w:p>
      <w:pPr>
        <w:pStyle w:val="Heading2"/>
        <w:spacing w:after="160" w:before="320"/>
      </w:pPr>
      <w:r>
        <w:rPr>
          <w:rFonts w:ascii="Arial" w:cs="Arial" w:eastAsia="Arial" w:hAnsi="Arial"/>
          <w:b/>
          <w:bCs/>
          <w:color w:val="2E6DA4"/>
          <w:sz w:val="26"/>
          <w:szCs w:val="26"/>
        </w:rPr>
        <w:t xml:space="preserve">1.2 Why Digital Advertising Did Not Solve This</w:t>
      </w:r>
    </w:p>
    <w:p>
      <w:pPr>
        <w:spacing w:after="80" w:before="80"/>
      </w:pPr>
      <w:r>
        <w:rPr>
          <w:rFonts w:ascii="Arial" w:cs="Arial" w:eastAsia="Arial" w:hAnsi="Arial"/>
          <w:color w:val="222222"/>
          <w:sz w:val="22"/>
          <w:szCs w:val="22"/>
        </w:rPr>
        <w:t xml:space="preserve">Digital advertising promised precision. Behavioral targeting, lookalike audiences, retargeting — these improved efficiency at the margins. But they did not change the fundamental architecture: the advertiser still pushes messages to people who have not expressed intent to buy.</w:t>
      </w:r>
    </w:p>
    <w:p>
      <w:pPr>
        <w:spacing w:after="60" w:before="60"/>
      </w:pPr>
      <w:r>
        <w:t xml:space="preserve"/>
      </w:r>
    </w:p>
    <w:p>
      <w:pPr>
        <w:spacing w:after="80" w:before="80"/>
      </w:pPr>
      <w:r>
        <w:rPr>
          <w:rFonts w:ascii="Arial" w:cs="Arial" w:eastAsia="Arial" w:hAnsi="Arial"/>
          <w:color w:val="222222"/>
          <w:sz w:val="22"/>
          <w:szCs w:val="22"/>
        </w:rPr>
        <w:t xml:space="preserve">Search advertising came closest — by targeting explicit keyword intent. But keywords are a proxy for intent, not intent itself. Someone searching "best laptop 2026" might be researching, comparing, writing an article, or killing time. In the Velsanet economy, this entire architecture is replaced. Not optimized — replaced.</w:t>
      </w:r>
    </w:p>
    <w:p>
      <w:pPr>
        <w:pBdr>
          <w:bottom w:val="single" w:color="2E6DA4" w:sz="4" w:space="1"/>
        </w:pBdr>
        <w:spacing w:after="240" w:before="240"/>
      </w:pPr>
    </w:p>
    <w:p>
      <w:pPr>
        <w:pStyle w:val="Heading1"/>
        <w:spacing w:after="200" w:before="480"/>
      </w:pPr>
      <w:r>
        <w:rPr>
          <w:rFonts w:ascii="Arial" w:cs="Arial" w:eastAsia="Arial" w:hAnsi="Arial"/>
          <w:b/>
          <w:bCs/>
          <w:color w:val="1A3A5C"/>
          <w:sz w:val="34"/>
          <w:szCs w:val="34"/>
        </w:rPr>
        <w:t xml:space="preserve">2. The Velsanet Commerce Model — Pull, Not Push</w:t>
      </w:r>
    </w:p>
    <w:p>
      <w:pPr>
        <w:pStyle w:val="Heading2"/>
        <w:spacing w:after="160" w:before="320"/>
      </w:pPr>
      <w:r>
        <w:rPr>
          <w:rFonts w:ascii="Arial" w:cs="Arial" w:eastAsia="Arial" w:hAnsi="Arial"/>
          <w:b/>
          <w:bCs/>
          <w:color w:val="2E6DA4"/>
          <w:sz w:val="26"/>
          <w:szCs w:val="26"/>
        </w:rPr>
        <w:t xml:space="preserve">2.1 The Intent Chain as the New Commerce Infrastructure</w:t>
      </w:r>
    </w:p>
    <w:p>
      <w:pPr>
        <w:spacing w:after="80" w:before="80"/>
      </w:pPr>
      <w:r>
        <w:rPr>
          <w:rFonts w:ascii="Arial" w:cs="Arial" w:eastAsia="Arial" w:hAnsi="Arial"/>
          <w:color w:val="222222"/>
          <w:sz w:val="22"/>
          <w:szCs w:val="22"/>
        </w:rPr>
        <w:t xml:space="preserve">In the Velsanet economy, commerce begins not with an advertisement but with a PAI cognitive event. When a person's PAI generates a structured intent — "I need a laptop for video editing under 2 million KRW" — the commerce chain activates automatically.</w:t>
      </w:r>
    </w:p>
    <w:p>
      <w:pPr>
        <w:spacing w:after="60" w:before="60"/>
      </w:pPr>
      <w:r>
        <w:t xml:space="preserve"/>
      </w:r>
    </w:p>
    <w:p>
      <w:pPr>
        <w:spacing w:after="80" w:before="80"/>
      </w:pPr>
      <w:r>
        <w:rPr>
          <w:rFonts w:ascii="Arial" w:cs="Arial" w:eastAsia="Arial" w:hAnsi="Arial"/>
          <w:color w:val="222222"/>
          <w:sz w:val="22"/>
          <w:szCs w:val="22"/>
        </w:rPr>
        <w:t xml:space="preserve">This is not a search query. It is a structured cognitive object containing:</w:t>
      </w:r>
    </w:p>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Precise specification: what the person wants, to what standard, at what price</w:t>
      </w:r>
    </w:p>
    <w:p>
      <w:pPr>
        <w:pStyle w:val="ListParagraph"/>
        <w:numPr>
          <w:ilvl w:val="0"/>
          <w:numId w:val="2"/>
        </w:numPr>
        <w:spacing w:after="60" w:before="60"/>
      </w:pPr>
      <w:r>
        <w:rPr>
          <w:rFonts w:ascii="Arial" w:cs="Arial" w:eastAsia="Arial" w:hAnsi="Arial"/>
          <w:sz w:val="22"/>
          <w:szCs w:val="22"/>
        </w:rPr>
        <w:t xml:space="preserve">Context: why they want it, what they will use it for, what constraints apply</w:t>
      </w:r>
    </w:p>
    <w:p>
      <w:pPr>
        <w:pStyle w:val="ListParagraph"/>
        <w:numPr>
          <w:ilvl w:val="0"/>
          <w:numId w:val="2"/>
        </w:numPr>
        <w:spacing w:after="60" w:before="60"/>
      </w:pPr>
      <w:r>
        <w:rPr>
          <w:rFonts w:ascii="Arial" w:cs="Arial" w:eastAsia="Arial" w:hAnsi="Arial"/>
          <w:sz w:val="22"/>
          <w:szCs w:val="22"/>
        </w:rPr>
        <w:t xml:space="preserve">Timing: when they intend to purchase, how urgent the need is</w:t>
      </w:r>
    </w:p>
    <w:p>
      <w:pPr>
        <w:pStyle w:val="ListParagraph"/>
        <w:numPr>
          <w:ilvl w:val="0"/>
          <w:numId w:val="2"/>
        </w:numPr>
        <w:spacing w:after="60" w:before="60"/>
      </w:pPr>
      <w:r>
        <w:rPr>
          <w:rFonts w:ascii="Arial" w:cs="Arial" w:eastAsia="Arial" w:hAnsi="Arial"/>
          <w:sz w:val="22"/>
          <w:szCs w:val="22"/>
        </w:rPr>
        <w:t xml:space="preserve">History: what they have considered and rejected previously</w:t>
      </w:r>
    </w:p>
    <w:p>
      <w:pPr>
        <w:pStyle w:val="ListParagraph"/>
        <w:numPr>
          <w:ilvl w:val="0"/>
          <w:numId w:val="2"/>
        </w:numPr>
        <w:spacing w:after="60" w:before="60"/>
      </w:pPr>
      <w:r>
        <w:rPr>
          <w:rFonts w:ascii="Arial" w:cs="Arial" w:eastAsia="Arial" w:hAnsi="Arial"/>
          <w:sz w:val="22"/>
          <w:szCs w:val="22"/>
        </w:rPr>
        <w:t xml:space="preserve">Capability: whether they are financially qualified to complete the transaction</w:t>
      </w:r>
    </w:p>
    <w:p>
      <w:pPr>
        <w:spacing w:after="60" w:before="60"/>
      </w:pPr>
      <w:r>
        <w:t xml:space="preserve"/>
      </w:r>
    </w:p>
    <w:p>
      <w:pPr>
        <w:spacing w:after="80" w:before="80"/>
      </w:pPr>
      <w:r>
        <w:rPr>
          <w:rFonts w:ascii="Arial" w:cs="Arial" w:eastAsia="Arial" w:hAnsi="Arial"/>
          <w:color w:val="222222"/>
          <w:sz w:val="22"/>
          <w:szCs w:val="22"/>
        </w:rPr>
        <w:t xml:space="preserve">This intent object is worth infinitely more to a seller than a keyword. It is not a signal that someone might want something. It is a structured specification of exactly what they want, from a verified buyer with confirmed capability.</w:t>
      </w:r>
    </w:p>
    <w:p>
      <w:pPr>
        <w:spacing w:after="60" w:before="60"/>
      </w:pPr>
      <w:r>
        <w:t xml:space="preserve"/>
      </w:r>
    </w:p>
    <w:p>
      <w:pPr>
        <w:pStyle w:val="Heading2"/>
        <w:spacing w:after="160" w:before="320"/>
      </w:pPr>
      <w:r>
        <w:rPr>
          <w:rFonts w:ascii="Arial" w:cs="Arial" w:eastAsia="Arial" w:hAnsi="Arial"/>
          <w:b/>
          <w:bCs/>
          <w:color w:val="2E6DA4"/>
          <w:sz w:val="26"/>
          <w:szCs w:val="26"/>
        </w:rPr>
        <w:t xml:space="preserve">2.2 AAI as the Commerce Curator — The Sponsored Matching Model</w:t>
      </w:r>
    </w:p>
    <w:p>
      <w:pPr>
        <w:spacing w:after="80" w:before="80"/>
      </w:pPr>
      <w:r>
        <w:rPr>
          <w:rFonts w:ascii="Arial" w:cs="Arial" w:eastAsia="Arial" w:hAnsi="Arial"/>
          <w:color w:val="222222"/>
          <w:sz w:val="22"/>
          <w:szCs w:val="22"/>
        </w:rPr>
        <w:t xml:space="preserve">When PAI generates a purchase intent, it passes to AAI — which performs two simultaneous functions: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13"/>
        <w:gridCol w:w="4013"/>
      </w:tblGrid>
      <w:tr>
        <w:trPr>
          <w:tblHeader/>
        </w:trPr>
        <w:tc>
          <w:tcPr>
            <w:tcW w:type="dxa" w:w="20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AAI Function</w:t>
            </w:r>
          </w:p>
        </w:tc>
        <w:tc>
          <w:tcPr>
            <w:tcW w:type="dxa" w:w="30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What It Does</w:t>
            </w:r>
          </w:p>
        </w:tc>
        <w:tc>
          <w:tcPr>
            <w:tcW w:type="dxa" w:w="40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Value Created</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Intent validation</w:t>
            </w:r>
          </w:p>
        </w:tc>
        <w:tc>
          <w:tcPr>
            <w:tcW w:type="dxa" w:w="30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Confirms intent is genuine, buyer is qualified, transaction is permitted</w:t>
            </w:r>
          </w:p>
        </w:tc>
        <w:tc>
          <w:tcPr>
            <w:tcW w:type="dxa" w:w="40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Sellers receive only validated, qualified intent — zero unqualified leads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Sponsored matching</w:t>
            </w:r>
          </w:p>
        </w:tc>
        <w:tc>
          <w:tcPr>
            <w:tcW w:type="dxa" w:w="30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Matches validated intent against registered AsAI businesses</w:t>
            </w:r>
          </w:p>
        </w:tc>
        <w:tc>
          <w:tcPr>
            <w:tcW w:type="dxa" w:w="40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Sellers pay only for matched, validated intent — not impressions or clicks</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Comparative curation</w:t>
            </w:r>
          </w:p>
        </w:tc>
        <w:tc>
          <w:tcPr>
            <w:tcW w:type="dxa" w:w="30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Evaluates options against buyer specifications — presents optimal choices</w:t>
            </w:r>
          </w:p>
        </w:tc>
        <w:tc>
          <w:tcPr>
            <w:tcW w:type="dxa" w:w="40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Buyers receive curated options that genuinely match intent — no irrelevant results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Transaction preparation</w:t>
            </w:r>
          </w:p>
        </w:tc>
        <w:tc>
          <w:tcPr>
            <w:tcW w:type="dxa" w:w="30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Pre-validates terms so acceptance triggers immediate execution</w:t>
            </w:r>
          </w:p>
        </w:tc>
        <w:tc>
          <w:tcPr>
            <w:tcW w:type="dxa" w:w="40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Friction eliminated — decision to buy equals completion of purchase</w:t>
            </w:r>
          </w:p>
        </w:tc>
      </w:tr>
    </w:tbl>
    <w:p>
      <w:pPr>
        <w:spacing w:after="60" w:before="60"/>
      </w:pPr>
      <w:r>
        <w:t xml:space="preserve"/>
      </w:r>
    </w:p>
    <w:p>
      <w:pPr>
        <w:pBdr>
          <w:left w:val="single" w:color="2E6DA4" w:sz="6" w:space="8"/>
        </w:pBdr>
        <w:spacing w:after="160" w:before="160"/>
        <w:ind w:left="720" w:right="720"/>
      </w:pPr>
      <w:r>
        <w:rPr>
          <w:rFonts w:ascii="Arial" w:cs="Arial" w:eastAsia="Arial" w:hAnsi="Arial"/>
          <w:i/>
          <w:iCs/>
          <w:color w:val="2E6DA4"/>
          <w:sz w:val="24"/>
          <w:szCs w:val="24"/>
        </w:rPr>
        <w:t xml:space="preserve">AAI does not show advertising. It curates commerce. Advertising interrupts. Curation serves.</w:t>
      </w:r>
    </w:p>
    <w:p>
      <w:pPr>
        <w:spacing w:after="60" w:before="60"/>
      </w:pPr>
      <w:r>
        <w:t xml:space="preserve"/>
      </w:r>
    </w:p>
    <w:p>
      <w:pPr>
        <w:pStyle w:val="Heading2"/>
        <w:spacing w:after="160" w:before="320"/>
      </w:pPr>
      <w:r>
        <w:rPr>
          <w:rFonts w:ascii="Arial" w:cs="Arial" w:eastAsia="Arial" w:hAnsi="Arial"/>
          <w:b/>
          <w:bCs/>
          <w:color w:val="2E6DA4"/>
          <w:sz w:val="26"/>
          <w:szCs w:val="26"/>
        </w:rPr>
        <w:t xml:space="preserve">2.3 The Sponsored Registry — How AsAI Businesses Enter the System</w:t>
      </w:r>
    </w:p>
    <w:p>
      <w:pPr>
        <w:spacing w:after="80" w:before="80"/>
      </w:pPr>
      <w:r>
        <w:rPr>
          <w:rFonts w:ascii="Arial" w:cs="Arial" w:eastAsia="Arial" w:hAnsi="Arial"/>
          <w:color w:val="222222"/>
          <w:sz w:val="22"/>
          <w:szCs w:val="22"/>
        </w:rPr>
        <w:t xml:space="preserve">AsAI businesses do not advertise in the Velsanet economy. They register in the AAI Sponsored Registry: a structured declaration of what they offer, at what price, for what intent categories.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Registry Element</w:t>
            </w:r>
          </w:p>
        </w:tc>
        <w:tc>
          <w:tcPr>
            <w:tcW w:type="dxa" w:w="6226"/>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Intent category declaration</w:t>
            </w:r>
          </w:p>
        </w:tc>
        <w:tc>
          <w:tcPr>
            <w:tcW w:type="dxa" w:w="62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What PAI intent categories this business wants to be matched against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Offer specification</w:t>
            </w:r>
          </w:p>
        </w:tc>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Precise product/service specs, pricing, availability — machine-readable, structurally validated</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Quality certification</w:t>
            </w:r>
          </w:p>
        </w:tc>
        <w:tc>
          <w:tcPr>
            <w:tcW w:type="dxa" w:w="62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AAI-verified quality record: satisfaction, delivery, dispute history — structural, not self-reported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Matching bid</w:t>
            </w:r>
          </w:p>
        </w:tc>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What the business pays AAI per validated intent match or completed transaction</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Exclusion parameters</w:t>
            </w:r>
          </w:p>
        </w:tc>
        <w:tc>
          <w:tcPr>
            <w:tcW w:type="dxa" w:w="62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Intent categories or buyer profiles the business does not want — structurally enforced</w:t>
            </w:r>
          </w:p>
        </w:tc>
      </w:tr>
    </w:tbl>
    <w:p>
      <w:pPr>
        <w:spacing w:after="60" w:before="60"/>
      </w:pPr>
      <w:r>
        <w:t xml:space="preserve"/>
      </w:r>
    </w:p>
    <w:p>
      <w:pPr>
        <w:spacing w:after="80" w:before="80"/>
      </w:pPr>
      <w:r>
        <w:rPr>
          <w:rFonts w:ascii="Arial" w:cs="Arial" w:eastAsia="Arial" w:hAnsi="Arial"/>
          <w:color w:val="222222"/>
          <w:sz w:val="22"/>
          <w:szCs w:val="22"/>
        </w:rPr>
        <w:t xml:space="preserve">The Sponsored Registry is not an advertising platform. AsAI businesses are not paying to be seen — they are paying to be matched with buyers who have already decided they want what the business offers.</w:t>
      </w:r>
    </w:p>
    <w:p>
      <w:pPr>
        <w:pBdr>
          <w:bottom w:val="single" w:color="2E6DA4" w:sz="4" w:space="1"/>
        </w:pBdr>
        <w:spacing w:after="240" w:before="240"/>
      </w:pPr>
    </w:p>
    <w:p>
      <w:pPr>
        <w:pStyle w:val="Heading1"/>
        <w:spacing w:after="200" w:before="480"/>
      </w:pPr>
      <w:r>
        <w:rPr>
          <w:rFonts w:ascii="Arial" w:cs="Arial" w:eastAsia="Arial" w:hAnsi="Arial"/>
          <w:b/>
          <w:bCs/>
          <w:color w:val="1A3A5C"/>
          <w:sz w:val="34"/>
          <w:szCs w:val="34"/>
        </w:rPr>
        <w:t xml:space="preserve">3. The Revenue Revolution — AAI Earns, AsAI Saves</w:t>
      </w:r>
    </w:p>
    <w:p>
      <w:pPr>
        <w:pStyle w:val="Heading2"/>
        <w:spacing w:after="160" w:before="320"/>
      </w:pPr>
      <w:r>
        <w:rPr>
          <w:rFonts w:ascii="Arial" w:cs="Arial" w:eastAsia="Arial" w:hAnsi="Arial"/>
          <w:b/>
          <w:bCs/>
          <w:color w:val="2E6DA4"/>
          <w:sz w:val="26"/>
          <w:szCs w:val="26"/>
        </w:rPr>
        <w:t xml:space="preserve">3.1 AAI Revenue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13"/>
        <w:gridCol w:w="3413"/>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AAI Revenue Stream</w:t>
            </w:r>
          </w:p>
        </w:tc>
        <w:tc>
          <w:tcPr>
            <w:tcW w:type="dxa" w:w="32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Mechanism</w:t>
            </w:r>
          </w:p>
        </w:tc>
        <w:tc>
          <w:tcPr>
            <w:tcW w:type="dxa" w:w="34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Characteristics</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Matching fee</w:t>
            </w:r>
          </w:p>
        </w:tc>
        <w:tc>
          <w:tcPr>
            <w:tcW w:type="dxa" w:w="32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Fixed fee per validated intent match delivered to registered AsAI business</w:t>
            </w:r>
          </w:p>
        </w:tc>
        <w:tc>
          <w:tcPr>
            <w:tcW w:type="dxa" w:w="34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Predictable, volume-based — scales with ecosystem activity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Transaction commission</w:t>
            </w:r>
          </w:p>
        </w:tc>
        <w:tc>
          <w:tcPr>
            <w:tcW w:type="dxa" w:w="32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Percentage of completed transaction value</w:t>
            </w:r>
          </w:p>
        </w:tc>
        <w:tc>
          <w:tcPr>
            <w:tcW w:type="dxa" w:w="34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Aligns AAI incentive with transaction completion</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Registry participation fee</w:t>
            </w:r>
          </w:p>
        </w:tc>
        <w:tc>
          <w:tcPr>
            <w:tcW w:type="dxa" w:w="32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Annual fee for AsAI businesses to maintain Sponsored Registry presence</w:t>
            </w:r>
          </w:p>
        </w:tc>
        <w:tc>
          <w:tcPr>
            <w:tcW w:type="dxa" w:w="34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Recurring baseline revenue — independent of volume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Premium placement fee</w:t>
            </w:r>
          </w:p>
        </w:tc>
        <w:tc>
          <w:tcPr>
            <w:tcW w:type="dxa" w:w="32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Higher fee for priority matching within a given intent category</w:t>
            </w:r>
          </w:p>
        </w:tc>
        <w:tc>
          <w:tcPr>
            <w:tcW w:type="dxa" w:w="34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Competitive auction — high-demand categories generate premium revenue</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Cross-border mediation fee</w:t>
            </w:r>
          </w:p>
        </w:tc>
        <w:tc>
          <w:tcPr>
            <w:tcW w:type="dxa" w:w="32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Additional fee for matches crossing Q4 sovereign boundaries</w:t>
            </w:r>
          </w:p>
        </w:tc>
        <w:tc>
          <w:tcPr>
            <w:tcW w:type="dxa" w:w="34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Reflects additional validation complexity</w:t>
            </w:r>
          </w:p>
        </w:tc>
      </w:tr>
    </w:tbl>
    <w:p>
      <w:pPr>
        <w:spacing w:after="60" w:before="60"/>
      </w:pPr>
      <w:r>
        <w:t xml:space="preserve"/>
      </w:r>
    </w:p>
    <w:p>
      <w:pPr>
        <w:spacing w:after="80" w:before="80"/>
      </w:pPr>
      <w:r>
        <w:rPr>
          <w:rFonts w:ascii="Arial" w:cs="Arial" w:eastAsia="Arial" w:hAnsi="Arial"/>
          <w:color w:val="222222"/>
          <w:sz w:val="22"/>
          <w:szCs w:val="22"/>
        </w:rPr>
        <w:t xml:space="preserve">The AAI commerce revenue model is structurally superior to advertising revenue for one reason: every fee corresponds to a genuine commerce event. No payment for impressions that produce no outcome. Revenue is perfectly correlated with economic value created.</w:t>
      </w:r>
    </w:p>
    <w:p>
      <w:pPr>
        <w:spacing w:after="60" w:before="60"/>
      </w:pPr>
      <w:r>
        <w:t xml:space="preserve"/>
      </w:r>
    </w:p>
    <w:p>
      <w:pPr>
        <w:pStyle w:val="Heading2"/>
        <w:spacing w:after="160" w:before="320"/>
      </w:pPr>
      <w:r>
        <w:rPr>
          <w:rFonts w:ascii="Arial" w:cs="Arial" w:eastAsia="Arial" w:hAnsi="Arial"/>
          <w:b/>
          <w:bCs/>
          <w:color w:val="2E6DA4"/>
          <w:sz w:val="26"/>
          <w:szCs w:val="26"/>
        </w:rPr>
        <w:t xml:space="preserve">3.2 AsAI Cost Revolution — The End of the Advertising Budget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13"/>
        <w:gridCol w:w="3813"/>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Cost Category</w:t>
            </w:r>
          </w:p>
        </w:tc>
        <w:tc>
          <w:tcPr>
            <w:tcW w:type="dxa" w:w="30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Current Model</w:t>
            </w:r>
          </w:p>
        </w:tc>
        <w:tc>
          <w:tcPr>
            <w:tcW w:type="dxa" w:w="38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Velsanet Model</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Brand advertising</w:t>
            </w:r>
          </w:p>
        </w:tc>
        <w:tc>
          <w:tcPr>
            <w:tcW w:type="dxa" w:w="30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Massive fixed cost — TV, outdoor, digital brand campaigns</w:t>
            </w:r>
          </w:p>
        </w:tc>
        <w:tc>
          <w:tcPr>
            <w:tcW w:type="dxa" w:w="38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Eliminated — replaced by quality record in AAI registry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Performance advertising</w:t>
            </w:r>
          </w:p>
        </w:tc>
        <w:tc>
          <w:tcPr>
            <w:tcW w:type="dxa" w:w="30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CPC/CPM with 0.1-3% conversion — 97-99.9% waste</w:t>
            </w:r>
          </w:p>
        </w:tc>
        <w:tc>
          <w:tcPr>
            <w:tcW w:type="dxa" w:w="38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Replaced by per-match fee with near-100% qualified lead rate</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Sales force</w:t>
            </w:r>
          </w:p>
        </w:tc>
        <w:tc>
          <w:tcPr>
            <w:tcW w:type="dxa" w:w="30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Large teams required to convert unqualified leads</w:t>
            </w:r>
          </w:p>
        </w:tc>
        <w:tc>
          <w:tcPr>
            <w:tcW w:type="dxa" w:w="38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Dramatically reduced — AAI pre-qualifies every buyer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Marketing technology</w:t>
            </w:r>
          </w:p>
        </w:tc>
        <w:tc>
          <w:tcPr>
            <w:tcW w:type="dxa" w:w="30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Complex ad-tech stack — DSP, DMP, attribution tools</w:t>
            </w:r>
          </w:p>
        </w:tc>
        <w:tc>
          <w:tcPr>
            <w:tcW w:type="dxa" w:w="38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Eliminated — AAI handles all matching and attribution</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Creative production</w:t>
            </w:r>
          </w:p>
        </w:tc>
        <w:tc>
          <w:tcPr>
            <w:tcW w:type="dxa" w:w="30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Continuous content production for advertising channels</w:t>
            </w:r>
          </w:p>
        </w:tc>
        <w:tc>
          <w:tcPr>
            <w:tcW w:type="dxa" w:w="38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Eliminated — registry entries are structured data, not creative content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Customer acquisition cost</w:t>
            </w:r>
          </w:p>
        </w:tc>
        <w:tc>
          <w:tcPr>
            <w:tcW w:type="dxa" w:w="30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All above costs amortized over converted customers</w:t>
            </w:r>
          </w:p>
        </w:tc>
        <w:tc>
          <w:tcPr>
            <w:tcW w:type="dxa" w:w="38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Reduced to matching fee plus transaction commission — no waste</w:t>
            </w:r>
          </w:p>
        </w:tc>
      </w:tr>
    </w:tbl>
    <w:p>
      <w:pPr>
        <w:spacing w:after="60" w:before="60"/>
      </w:pPr>
      <w:r>
        <w:t xml:space="preserve"/>
      </w:r>
    </w:p>
    <w:p>
      <w:pPr>
        <w:pBdr>
          <w:left w:val="single" w:color="2E6DA4" w:sz="6" w:space="8"/>
        </w:pBdr>
        <w:spacing w:after="160" w:before="160"/>
        <w:ind w:left="720" w:right="720"/>
      </w:pPr>
      <w:r>
        <w:rPr>
          <w:rFonts w:ascii="Arial" w:cs="Arial" w:eastAsia="Arial" w:hAnsi="Arial"/>
          <w:i/>
          <w:iCs/>
          <w:color w:val="2E6DA4"/>
          <w:sz w:val="24"/>
          <w:szCs w:val="24"/>
        </w:rPr>
        <w:t xml:space="preserve">Companies currently spend 10-30% of revenue on marketing and sales. In the Velsanet economy, this collapses to a structural transaction fee — because the marketing function is performed by AAI on behalf of the buyer, not the seller.</w:t>
      </w:r>
    </w:p>
    <w:p>
      <w:pPr>
        <w:pBdr>
          <w:bottom w:val="single" w:color="2E6DA4" w:sz="4" w:space="1"/>
        </w:pBdr>
        <w:spacing w:after="240" w:before="240"/>
      </w:pPr>
    </w:p>
    <w:p>
      <w:pPr>
        <w:pStyle w:val="Heading1"/>
        <w:spacing w:after="200" w:before="480"/>
      </w:pPr>
      <w:r>
        <w:rPr>
          <w:rFonts w:ascii="Arial" w:cs="Arial" w:eastAsia="Arial" w:hAnsi="Arial"/>
          <w:b/>
          <w:bCs/>
          <w:color w:val="1A3A5C"/>
          <w:sz w:val="34"/>
          <w:szCs w:val="34"/>
        </w:rPr>
        <w:t xml:space="preserve">4. The Enterprise Transformation</w:t>
      </w:r>
    </w:p>
    <w:p>
      <w:pPr>
        <w:pStyle w:val="Heading2"/>
        <w:spacing w:after="160" w:before="320"/>
      </w:pPr>
      <w:r>
        <w:rPr>
          <w:rFonts w:ascii="Arial" w:cs="Arial" w:eastAsia="Arial" w:hAnsi="Arial"/>
          <w:b/>
          <w:bCs/>
          <w:color w:val="2E6DA4"/>
          <w:sz w:val="26"/>
          <w:szCs w:val="26"/>
        </w:rPr>
        <w:t xml:space="preserve">4.1 The Marketing Department Evolves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13"/>
        <w:gridCol w:w="2213"/>
      </w:tblGrid>
      <w:tr>
        <w:trPr>
          <w:tblHeader/>
        </w:trPr>
        <w:tc>
          <w:tcPr>
            <w:tcW w:type="dxa" w:w="26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Current Function</w:t>
            </w:r>
          </w:p>
        </w:tc>
        <w:tc>
          <w:tcPr>
            <w:tcW w:type="dxa" w:w="32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Velsanet Equivalent</w:t>
            </w:r>
          </w:p>
        </w:tc>
        <w:tc>
          <w:tcPr>
            <w:tcW w:type="dxa" w:w="22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Change</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Advertising campaign management</w:t>
            </w:r>
          </w:p>
        </w:tc>
        <w:tc>
          <w:tcPr>
            <w:tcW w:type="dxa" w:w="32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AAI registry management — optimizing intent category declarations</w:t>
            </w:r>
          </w:p>
        </w:tc>
        <w:tc>
          <w:tcPr>
            <w:tcW w:type="dxa" w:w="22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Skill shift from creative to structural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Creative production</w:t>
            </w:r>
          </w:p>
        </w:tc>
        <w:tc>
          <w:tcPr>
            <w:tcW w:type="dxa" w:w="32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Product specification optimization for PAI intent pattern matching</w:t>
            </w:r>
          </w:p>
        </w:tc>
        <w:tc>
          <w:tcPr>
            <w:tcW w:type="dxa" w:w="22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Volume reduction — structural data replaces content volume</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Media buying</w:t>
            </w:r>
          </w:p>
        </w:tc>
        <w:tc>
          <w:tcPr>
            <w:tcW w:type="dxa" w:w="32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AAI matching bid management across intent categories</w:t>
            </w:r>
          </w:p>
        </w:tc>
        <w:tc>
          <w:tcPr>
            <w:tcW w:type="dxa" w:w="22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Spend correlates directly with qualified outcomes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Market research</w:t>
            </w:r>
          </w:p>
        </w:tc>
        <w:tc>
          <w:tcPr>
            <w:tcW w:type="dxa" w:w="32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PAI intent pattern analysis — actual want data, not survey proxies</w:t>
            </w:r>
          </w:p>
        </w:tc>
        <w:tc>
          <w:tcPr>
            <w:tcW w:type="dxa" w:w="22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Precision improvement — structural intent replaces estimation</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Brand management</w:t>
            </w:r>
          </w:p>
        </w:tc>
        <w:tc>
          <w:tcPr>
            <w:tcW w:type="dxa" w:w="32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Quality record management — AAI-verified performance metrics</w:t>
            </w:r>
          </w:p>
        </w:tc>
        <w:tc>
          <w:tcPr>
            <w:tcW w:type="dxa" w:w="22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Brand is now a structural record, not a perception</w:t>
            </w:r>
          </w:p>
        </w:tc>
      </w:tr>
    </w:tbl>
    <w:p>
      <w:pPr>
        <w:spacing w:after="60" w:before="60"/>
      </w:pPr>
      <w:r>
        <w:t xml:space="preserve"/>
      </w:r>
    </w:p>
    <w:p>
      <w:pPr>
        <w:pStyle w:val="Heading2"/>
        <w:spacing w:after="160" w:before="320"/>
      </w:pPr>
      <w:r>
        <w:rPr>
          <w:rFonts w:ascii="Arial" w:cs="Arial" w:eastAsia="Arial" w:hAnsi="Arial"/>
          <w:b/>
          <w:bCs/>
          <w:color w:val="2E6DA4"/>
          <w:sz w:val="26"/>
          <w:szCs w:val="26"/>
        </w:rPr>
        <w:t xml:space="preserve">4.2 The Sales Function Transforms</w:t>
      </w:r>
    </w:p>
    <w:p>
      <w:pPr>
        <w:spacing w:after="80" w:before="80"/>
      </w:pPr>
      <w:r>
        <w:rPr>
          <w:rFonts w:ascii="Arial" w:cs="Arial" w:eastAsia="Arial" w:hAnsi="Arial"/>
          <w:color w:val="222222"/>
          <w:sz w:val="22"/>
          <w:szCs w:val="22"/>
        </w:rPr>
        <w:t xml:space="preserve">The traditional sales function — prospecting, cold outreach, lead qualification, pipeline management — is structurally disrupted. Every lead through the Velsanet system is already qualified, validated, and prepared for transaction.</w:t>
      </w:r>
    </w:p>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Eliminated: Cold outreach, mass email campaigns, unqualified lead processing</w:t>
      </w:r>
    </w:p>
    <w:p>
      <w:pPr>
        <w:pStyle w:val="ListParagraph"/>
        <w:numPr>
          <w:ilvl w:val="0"/>
          <w:numId w:val="2"/>
        </w:numPr>
        <w:spacing w:after="60" w:before="60"/>
      </w:pPr>
      <w:r>
        <w:rPr>
          <w:rFonts w:ascii="Arial" w:cs="Arial" w:eastAsia="Arial" w:hAnsi="Arial"/>
          <w:sz w:val="22"/>
          <w:szCs w:val="22"/>
        </w:rPr>
        <w:t xml:space="preserve">Reduced: Lead qualification, basic objection handling, standard product presentations</w:t>
      </w:r>
    </w:p>
    <w:p>
      <w:pPr>
        <w:pStyle w:val="ListParagraph"/>
        <w:numPr>
          <w:ilvl w:val="0"/>
          <w:numId w:val="2"/>
        </w:numPr>
        <w:spacing w:after="60" w:before="60"/>
      </w:pPr>
      <w:r>
        <w:rPr>
          <w:rFonts w:ascii="Arial" w:cs="Arial" w:eastAsia="Arial" w:hAnsi="Arial"/>
          <w:sz w:val="22"/>
          <w:szCs w:val="22"/>
        </w:rPr>
        <w:t xml:space="preserve">Elevated: Complex solution design, multi-stakeholder enterprise coordination</w:t>
      </w:r>
    </w:p>
    <w:p>
      <w:pPr>
        <w:pStyle w:val="ListParagraph"/>
        <w:numPr>
          <w:ilvl w:val="0"/>
          <w:numId w:val="2"/>
        </w:numPr>
        <w:spacing w:after="60" w:before="60"/>
      </w:pPr>
      <w:r>
        <w:rPr>
          <w:rFonts w:ascii="Arial" w:cs="Arial" w:eastAsia="Arial" w:hAnsi="Arial"/>
          <w:sz w:val="22"/>
          <w:szCs w:val="22"/>
        </w:rPr>
        <w:t xml:space="preserve">New: AAI registry optimization, intent pattern analysis, structural quality record management</w:t>
      </w:r>
    </w:p>
    <w:p>
      <w:pPr>
        <w:spacing w:after="60" w:before="60"/>
      </w:pPr>
      <w:r>
        <w:t xml:space="preserve"/>
      </w:r>
    </w:p>
    <w:p>
      <w:pPr>
        <w:pStyle w:val="Heading2"/>
        <w:spacing w:after="160" w:before="320"/>
      </w:pPr>
      <w:r>
        <w:rPr>
          <w:rFonts w:ascii="Arial" w:cs="Arial" w:eastAsia="Arial" w:hAnsi="Arial"/>
          <w:b/>
          <w:bCs/>
          <w:color w:val="2E6DA4"/>
          <w:sz w:val="26"/>
          <w:szCs w:val="26"/>
        </w:rPr>
        <w:t xml:space="preserve">4.3 New Business Models That Only Exist in Velsanet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Business Model</w:t>
            </w:r>
          </w:p>
        </w:tc>
        <w:tc>
          <w:tcPr>
            <w:tcW w:type="dxa" w:w="6226"/>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Intent futures trading</w:t>
            </w:r>
          </w:p>
        </w:tc>
        <w:tc>
          <w:tcPr>
            <w:tcW w:type="dxa" w:w="62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Businesses bid for future access to intent categories before they arise — securing matching priority for anticipated demand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Cognitive preference licensing</w:t>
            </w:r>
          </w:p>
        </w:tc>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Businesses license access to anonymized PAI intent patterns for product development — privacy-preserved, structurally generated</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Quality-contingent pricing</w:t>
            </w:r>
          </w:p>
        </w:tc>
        <w:tc>
          <w:tcPr>
            <w:tcW w:type="dxa" w:w="62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Prices automatically adjust based on AAI-verified quality record — better record equals better matching position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Cross-border intent arbitrage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Businesses register across multiple AAI jurisdictions to serve cross-Q4 demand for local products</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PAI-native product design</w:t>
            </w:r>
          </w:p>
        </w:tc>
        <w:tc>
          <w:tcPr>
            <w:tcW w:type="dxa" w:w="62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Products designed around PAI intent patterns — built to match what PAI will recognize as relevant</w:t>
            </w:r>
          </w:p>
        </w:tc>
      </w:tr>
    </w:tbl>
    <w:p>
      <w:pPr>
        <w:pBdr>
          <w:bottom w:val="single" w:color="2E6DA4" w:sz="4" w:space="1"/>
        </w:pBdr>
        <w:spacing w:after="240" w:before="240"/>
      </w:pPr>
    </w:p>
    <w:p>
      <w:pPr>
        <w:pStyle w:val="Heading1"/>
        <w:spacing w:after="200" w:before="480"/>
      </w:pPr>
      <w:r>
        <w:rPr>
          <w:rFonts w:ascii="Arial" w:cs="Arial" w:eastAsia="Arial" w:hAnsi="Arial"/>
          <w:b/>
          <w:bCs/>
          <w:color w:val="1A3A5C"/>
          <w:sz w:val="34"/>
          <w:szCs w:val="34"/>
        </w:rPr>
        <w:t xml:space="preserve">5. Conclusion — The Economy That Serves Intent</w:t>
      </w:r>
    </w:p>
    <w:p>
      <w:pPr>
        <w:spacing w:after="80" w:before="80"/>
      </w:pPr>
      <w:r>
        <w:rPr>
          <w:rFonts w:ascii="Arial" w:cs="Arial" w:eastAsia="Arial" w:hAnsi="Arial"/>
          <w:color w:val="222222"/>
          <w:sz w:val="22"/>
          <w:szCs w:val="22"/>
        </w:rPr>
        <w:t xml:space="preserve">The history of commerce is the history of closing the gap between what people want and what they can find. Advertising was one answer: if you cannot find the buyer, saturate the market until the buyer finds you. It worked — at enormous cost, with enormous waste.</w:t>
      </w:r>
    </w:p>
    <w:p>
      <w:pPr>
        <w:spacing w:after="60" w:before="60"/>
      </w:pPr>
      <w:r>
        <w:t xml:space="preserve"/>
      </w:r>
    </w:p>
    <w:p>
      <w:pPr>
        <w:spacing w:after="80" w:before="80"/>
      </w:pPr>
      <w:r>
        <w:rPr>
          <w:rFonts w:ascii="Arial" w:cs="Arial" w:eastAsia="Arial" w:hAnsi="Arial"/>
          <w:color w:val="222222"/>
          <w:sz w:val="22"/>
          <w:szCs w:val="22"/>
        </w:rPr>
        <w:t xml:space="preserve">The Velsanet economy closes this gap structurally. PAI knows what each person wants. AAI validates and matches with what is available. AsAI executes. The gap between want and fulfillment collapses to near zero — not because marketing got better, but because intent became structural.</w:t>
      </w:r>
    </w:p>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For AAI providers: every match is a revenue event — perfectly correlated with value created</w:t>
      </w:r>
    </w:p>
    <w:p>
      <w:pPr>
        <w:pStyle w:val="ListParagraph"/>
        <w:numPr>
          <w:ilvl w:val="0"/>
          <w:numId w:val="2"/>
        </w:numPr>
        <w:spacing w:after="60" w:before="60"/>
      </w:pPr>
      <w:r>
        <w:rPr>
          <w:rFonts w:ascii="Arial" w:cs="Arial" w:eastAsia="Arial" w:hAnsi="Arial"/>
          <w:sz w:val="22"/>
          <w:szCs w:val="22"/>
        </w:rPr>
        <w:t xml:space="preserve">For businesses: advertising budget becomes a transaction fee — market leadership is earned by quality, not spend</w:t>
      </w:r>
    </w:p>
    <w:p>
      <w:pPr>
        <w:pStyle w:val="ListParagraph"/>
        <w:numPr>
          <w:ilvl w:val="0"/>
          <w:numId w:val="2"/>
        </w:numPr>
        <w:spacing w:after="60" w:before="60"/>
      </w:pPr>
      <w:r>
        <w:rPr>
          <w:rFonts w:ascii="Arial" w:cs="Arial" w:eastAsia="Arial" w:hAnsi="Arial"/>
          <w:sz w:val="22"/>
          <w:szCs w:val="22"/>
        </w:rPr>
        <w:t xml:space="preserve">For consumers: commerce stops interrupting — it waits, and when you are ready, it is already prepared</w:t>
      </w:r>
    </w:p>
    <w:p>
      <w:pPr>
        <w:spacing w:after="60" w:before="60"/>
      </w:pPr>
      <w:r>
        <w:t xml:space="preserve"/>
      </w:r>
    </w:p>
    <w:p>
      <w:pPr>
        <w:pBdr>
          <w:left w:val="single" w:color="2E6DA4" w:sz="6" w:space="8"/>
        </w:pBdr>
        <w:spacing w:after="160" w:before="160"/>
        <w:ind w:left="720" w:right="720"/>
      </w:pPr>
      <w:r>
        <w:rPr>
          <w:rFonts w:ascii="Arial" w:cs="Arial" w:eastAsia="Arial" w:hAnsi="Arial"/>
          <w:i/>
          <w:iCs/>
          <w:color w:val="2E6DA4"/>
          <w:sz w:val="24"/>
          <w:szCs w:val="24"/>
        </w:rPr>
        <w:t xml:space="preserve">In the Velsanet economy, commerce does not find you. It waits for you — and when you are ready, it is already prepared.</w:t>
      </w:r>
    </w:p>
    <w:p>
      <w:pPr>
        <w:pBdr>
          <w:bottom w:val="single" w:color="2E6DA4" w:sz="4" w:space="1"/>
        </w:pBdr>
        <w:spacing w:after="240" w:before="240"/>
      </w:pPr>
    </w:p>
    <w:p>
      <w:pPr>
        <w:spacing w:after="80" w:before="400"/>
        <w:jc w:val="center"/>
      </w:pPr>
      <w:r>
        <w:rPr>
          <w:rFonts w:ascii="Arial" w:cs="Arial" w:eastAsia="Arial" w:hAnsi="Arial"/>
          <w:color w:val="888888"/>
          <w:sz w:val="18"/>
          <w:szCs w:val="18"/>
        </w:rPr>
        <w:t xml:space="preserve">Changho Song  ·  joa337@gmail.com</w:t>
      </w:r>
    </w:p>
    <w:p>
      <w:pPr>
        <w:spacing w:after="0" w:before="0"/>
        <w:jc w:val="center"/>
      </w:pPr>
      <w:r>
        <w:rPr>
          <w:rFonts w:ascii="Arial" w:cs="Arial" w:eastAsia="Arial" w:hAnsi="Arial"/>
          <w:color w:val="AAAAAA"/>
          <w:sz w:val="18"/>
          <w:szCs w:val="18"/>
        </w:rPr>
        <w:t xml:space="preserve">April 2026  ·  Velsanet White Paper #WP-ECO-04</w:t>
      </w:r>
    </w:p>
    <w:p>
      <w:pPr>
        <w:spacing w:after="0" w:before="1400"/>
        <w:jc w:val="center"/>
      </w:pPr>
      <w:r>
        <w:rPr>
          <w:rFonts w:ascii="Arial" w:cs="Arial" w:eastAsia="Arial" w:hAnsi="Arial"/>
          <w:b/>
          <w:bCs/>
          <w:color w:val="1A3A5C"/>
          <w:sz w:val="64"/>
          <w:szCs w:val="64"/>
        </w:rPr>
        <w:t xml:space="preserve">VELSANET</w:t>
      </w:r>
    </w:p>
    <w:p>
      <w:pPr>
        <w:spacing w:after="80" w:before="0"/>
        <w:jc w:val="center"/>
      </w:pPr>
      <w:r>
        <w:rPr>
          <w:rFonts w:ascii="Arial" w:cs="Arial" w:eastAsia="Arial" w:hAnsi="Arial"/>
          <w:color w:val="999999"/>
          <w:sz w:val="20"/>
          <w:szCs w:val="20"/>
        </w:rPr>
        <w:t xml:space="preserve">White Paper #WP-ECO-05</w:t>
      </w:r>
    </w:p>
    <w:p>
      <w:pPr>
        <w:pBdr>
          <w:bottom w:val="single" w:color="2E6DA4" w:sz="8" w:space="4"/>
        </w:pBdr>
        <w:spacing w:after="0" w:before="200"/>
        <w:jc w:val="center"/>
      </w:pPr>
      <w:r>
        <w:rPr>
          <w:rFonts w:ascii="Arial" w:cs="Arial" w:eastAsia="Arial" w:hAnsi="Arial"/>
          <w:b/>
          <w:bCs/>
          <w:color w:val="2E6DA4"/>
          <w:sz w:val="44"/>
          <w:szCs w:val="44"/>
        </w:rPr>
        <w:t xml:space="preserve">The Healthcare Economy</w:t>
      </w:r>
    </w:p>
    <w:p>
      <w:pPr>
        <w:spacing w:after="600" w:before="240"/>
        <w:jc w:val="center"/>
      </w:pPr>
      <w:r>
        <w:rPr>
          <w:rFonts w:ascii="Arial" w:cs="Arial" w:eastAsia="Arial" w:hAnsi="Arial"/>
          <w:color w:val="444444"/>
          <w:sz w:val="26"/>
          <w:szCs w:val="26"/>
        </w:rPr>
        <w:t xml:space="preserve">How Velsanet Transforms Medical Care Through Structural Cognition, Trust, and Sovereign Data</w:t>
      </w:r>
    </w:p>
    <w:p>
      <w:pPr>
        <w:spacing w:after="120" w:before="0"/>
        <w:jc w:val="center"/>
      </w:pPr>
      <w:r>
        <w:rPr>
          <w:rFonts w:ascii="Arial" w:cs="Arial" w:eastAsia="Arial" w:hAnsi="Arial"/>
          <w:b/>
          <w:bCs/>
          <w:color w:val="333333"/>
          <w:sz w:val="26"/>
          <w:szCs w:val="26"/>
        </w:rPr>
        <w:t xml:space="preserve">Changho Song</w:t>
      </w:r>
    </w:p>
    <w:p>
      <w:pPr>
        <w:spacing w:after="80" w:before="0"/>
        <w:jc w:val="center"/>
      </w:pPr>
      <w:r>
        <w:rPr>
          <w:rFonts w:ascii="Arial" w:cs="Arial" w:eastAsia="Arial" w:hAnsi="Arial"/>
          <w:color w:val="888888"/>
          <w:sz w:val="20"/>
          <w:szCs w:val="20"/>
        </w:rPr>
        <w:t xml:space="preserve">Independent Researcher  ·  Velsanet Architecture</w:t>
      </w:r>
    </w:p>
    <w:p>
      <w:pPr>
        <w:spacing w:after="0" w:before="0"/>
        <w:jc w:val="center"/>
      </w:pPr>
      <w:r>
        <w:rPr>
          <w:rFonts w:ascii="Arial" w:cs="Arial" w:eastAsia="Arial" w:hAnsi="Arial"/>
          <w:color w:val="888888"/>
          <w:sz w:val="20"/>
          <w:szCs w:val="20"/>
        </w:rPr>
        <w:t xml:space="preserve">April 2026</w:t>
      </w:r>
    </w:p>
    <w:p>
      <w:r>
        <w:br w:type="page"/>
      </w:r>
    </w:p>
    <w:p>
      <w:pPr>
        <w:pStyle w:val="Heading1"/>
        <w:spacing w:after="200" w:before="480"/>
      </w:pPr>
      <w:r>
        <w:rPr>
          <w:rFonts w:ascii="Arial" w:cs="Arial" w:eastAsia="Arial" w:hAnsi="Arial"/>
          <w:b/>
          <w:bCs/>
          <w:color w:val="1A3A5C"/>
          <w:sz w:val="34"/>
          <w:szCs w:val="34"/>
        </w:rPr>
        <w:t xml:space="preserve">1. The Healthcare System's Structural Failures</w:t>
      </w:r>
    </w:p>
    <w:p>
      <w:pPr>
        <w:pStyle w:val="Heading2"/>
        <w:spacing w:after="160" w:before="320"/>
      </w:pPr>
      <w:r>
        <w:rPr>
          <w:rFonts w:ascii="Arial" w:cs="Arial" w:eastAsia="Arial" w:hAnsi="Arial"/>
          <w:b/>
          <w:bCs/>
          <w:color w:val="2E6DA4"/>
          <w:sz w:val="26"/>
          <w:szCs w:val="26"/>
        </w:rPr>
        <w:t xml:space="preserve">1.1 Three Problems That Cannot Be Optimized Away</w:t>
      </w:r>
    </w:p>
    <w:p>
      <w:pPr>
        <w:spacing w:after="80" w:before="80"/>
      </w:pPr>
      <w:r>
        <w:rPr>
          <w:rFonts w:ascii="Arial" w:cs="Arial" w:eastAsia="Arial" w:hAnsi="Arial"/>
          <w:color w:val="222222"/>
          <w:sz w:val="22"/>
          <w:szCs w:val="22"/>
        </w:rPr>
        <w:t xml:space="preserve">Healthcare is the most personal, most high-stakes, and most structurally broken industry in the modern economy. Its failures are not failures of effort or investment. They are structural failures that no amount of incremental improvement can resolve.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13"/>
        <w:gridCol w:w="4013"/>
      </w:tblGrid>
      <w:tr>
        <w:trPr>
          <w:tblHeader/>
        </w:trPr>
        <w:tc>
          <w:tcPr>
            <w:tcW w:type="dxa" w:w="20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Structural Failure</w:t>
            </w:r>
          </w:p>
        </w:tc>
        <w:tc>
          <w:tcPr>
            <w:tcW w:type="dxa" w:w="30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Current Reality</w:t>
            </w:r>
          </w:p>
        </w:tc>
        <w:tc>
          <w:tcPr>
            <w:tcW w:type="dxa" w:w="40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Consequence</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Information fragmentation</w:t>
            </w:r>
          </w:p>
        </w:tc>
        <w:tc>
          <w:tcPr>
            <w:tcW w:type="dxa" w:w="30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Patient records scattered across hospitals, clinics, pharmacies, and insurers — none connected</w:t>
            </w:r>
          </w:p>
        </w:tc>
        <w:tc>
          <w:tcPr>
            <w:tcW w:type="dxa" w:w="40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Doctors make decisions without complete information; patients repeat tests; errors multiply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Trust without verification</w:t>
            </w:r>
          </w:p>
        </w:tc>
        <w:tc>
          <w:tcPr>
            <w:tcW w:type="dxa" w:w="30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Medical credentials, drug approvals, and clinical claims are self-reported or periodically audited</w:t>
            </w:r>
          </w:p>
        </w:tc>
        <w:tc>
          <w:tcPr>
            <w:tcW w:type="dxa" w:w="40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Fraud, misrepresentation, and undetected incompetence cause preventable harm</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Consent without structure</w:t>
            </w:r>
          </w:p>
        </w:tc>
        <w:tc>
          <w:tcPr>
            <w:tcW w:type="dxa" w:w="30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Patient consent is a signature on a form — not a structural condition of treatment</w:t>
            </w:r>
          </w:p>
        </w:tc>
        <w:tc>
          <w:tcPr>
            <w:tcW w:type="dxa" w:w="40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Patients lose control of their data and their treatment path the moment they sign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Cost without accountability</w:t>
            </w:r>
          </w:p>
        </w:tc>
        <w:tc>
          <w:tcPr>
            <w:tcW w:type="dxa" w:w="30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Billing is opaque; pricing is arbitrary; no structural link between cost and outcome</w:t>
            </w:r>
          </w:p>
        </w:tc>
        <w:tc>
          <w:tcPr>
            <w:tcW w:type="dxa" w:w="40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Healthcare costs consume 10-20% of GDP in developed economies with no structural accountability for outcomes</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Access inequality</w:t>
            </w:r>
          </w:p>
        </w:tc>
        <w:tc>
          <w:tcPr>
            <w:tcW w:type="dxa" w:w="30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Quality care requires proximity to major centers and financial resources</w:t>
            </w:r>
          </w:p>
        </w:tc>
        <w:tc>
          <w:tcPr>
            <w:tcW w:type="dxa" w:w="40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Billions of people have no access to specialist expertise regardless of need</w:t>
            </w:r>
          </w:p>
        </w:tc>
      </w:tr>
    </w:tbl>
    <w:p>
      <w:pPr>
        <w:spacing w:after="60" w:before="60"/>
      </w:pPr>
      <w:r>
        <w:t xml:space="preserve"/>
      </w:r>
    </w:p>
    <w:p>
      <w:pPr>
        <w:pBdr>
          <w:left w:val="single" w:color="2E6DA4" w:sz="6" w:space="8"/>
        </w:pBdr>
        <w:spacing w:after="160" w:before="160"/>
        <w:ind w:left="720" w:right="720"/>
      </w:pPr>
      <w:r>
        <w:rPr>
          <w:rFonts w:ascii="Arial" w:cs="Arial" w:eastAsia="Arial" w:hAnsi="Arial"/>
          <w:i/>
          <w:iCs/>
          <w:color w:val="2E6DA4"/>
          <w:sz w:val="24"/>
          <w:szCs w:val="24"/>
        </w:rPr>
        <w:t xml:space="preserve">Healthcare does not fail because doctors are bad or hospitals are corrupt. It fails because the structure within which they operate makes information fragmentation, trust gaps, and accountability voids inevitable.</w:t>
      </w:r>
    </w:p>
    <w:p>
      <w:pPr>
        <w:pBdr>
          <w:bottom w:val="single" w:color="2E6DA4" w:sz="4" w:space="1"/>
        </w:pBdr>
        <w:spacing w:after="240" w:before="240"/>
      </w:pPr>
    </w:p>
    <w:p>
      <w:pPr>
        <w:pStyle w:val="Heading1"/>
        <w:spacing w:after="200" w:before="480"/>
      </w:pPr>
      <w:r>
        <w:rPr>
          <w:rFonts w:ascii="Arial" w:cs="Arial" w:eastAsia="Arial" w:hAnsi="Arial"/>
          <w:b/>
          <w:bCs/>
          <w:color w:val="1A3A5C"/>
          <w:sz w:val="34"/>
          <w:szCs w:val="34"/>
        </w:rPr>
        <w:t xml:space="preserve">2. The Velsanet Healthcare Architecture</w:t>
      </w:r>
    </w:p>
    <w:p>
      <w:pPr>
        <w:pStyle w:val="Heading2"/>
        <w:spacing w:after="160" w:before="320"/>
      </w:pPr>
      <w:r>
        <w:rPr>
          <w:rFonts w:ascii="Arial" w:cs="Arial" w:eastAsia="Arial" w:hAnsi="Arial"/>
          <w:b/>
          <w:bCs/>
          <w:color w:val="2E6DA4"/>
          <w:sz w:val="26"/>
          <w:szCs w:val="26"/>
        </w:rPr>
        <w:t xml:space="preserve">2.1 PAI — The Personal Health Cognitive Layer</w:t>
      </w:r>
    </w:p>
    <w:p>
      <w:pPr>
        <w:spacing w:after="80" w:before="80"/>
      </w:pPr>
      <w:r>
        <w:rPr>
          <w:rFonts w:ascii="Arial" w:cs="Arial" w:eastAsia="Arial" w:hAnsi="Arial"/>
          <w:color w:val="222222"/>
          <w:sz w:val="22"/>
          <w:szCs w:val="22"/>
        </w:rPr>
        <w:t xml:space="preserve">In the Velsanet healthcare economy, every individual's PAI serves as their lifelong personal health cognitive layer. It is not a medical record. It is a continuously updated structural representation of the person's health experience — integrating biometric signals, behavioral patterns, symptom history, treatment responses, and wellness trajectories.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13"/>
        <w:gridCol w:w="3613"/>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PAI Health Function</w:t>
            </w:r>
          </w:p>
        </w:tc>
        <w:tc>
          <w:tcPr>
            <w:tcW w:type="dxa" w:w="32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What It Does</w:t>
            </w:r>
          </w:p>
        </w:tc>
        <w:tc>
          <w:tcPr>
            <w:tcW w:type="dxa" w:w="36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Why It Matters</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Continuous biometric monitoring</w:t>
            </w:r>
          </w:p>
        </w:tc>
        <w:tc>
          <w:tcPr>
            <w:tcW w:type="dxa" w:w="32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CH4 channel captures heart rate, glucose, sleep patterns, micro-expressions, stress indicators</w:t>
            </w:r>
          </w:p>
        </w:tc>
        <w:tc>
          <w:tcPr>
            <w:tcW w:type="dxa" w:w="36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Baseline established before illness; deviations detected structurally before symptoms manifest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Symptom experience encapsulation</w:t>
            </w:r>
          </w:p>
        </w:tc>
        <w:tc>
          <w:tcPr>
            <w:tcW w:type="dxa" w:w="32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SEU captures the full multimodal experience of symptoms — pain location, intensity, duration, context</w:t>
            </w:r>
          </w:p>
        </w:tc>
        <w:tc>
          <w:tcPr>
            <w:tcW w:type="dxa" w:w="36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Doctor receives structured cognitive object, not a verbal description subject to memory error</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Treatment response tracking</w:t>
            </w:r>
          </w:p>
        </w:tc>
        <w:tc>
          <w:tcPr>
            <w:tcW w:type="dxa" w:w="32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T-axis records all treatment events with outcomes in immutable chronological order</w:t>
            </w:r>
          </w:p>
        </w:tc>
        <w:tc>
          <w:tcPr>
            <w:tcW w:type="dxa" w:w="36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Complete, verifiable treatment history travels with the patient across all providers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Intent generation</w:t>
            </w:r>
          </w:p>
        </w:tc>
        <w:tc>
          <w:tcPr>
            <w:tcW w:type="dxa" w:w="32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PAI generates structured healthcare intent — 'I need to address recurring chest pain in context of recent high-stress work period'</w:t>
            </w:r>
          </w:p>
        </w:tc>
        <w:tc>
          <w:tcPr>
            <w:tcW w:type="dxa" w:w="36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Specialist AAI receives precise, contextualized intent — not a booking request</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Personal health sovereignty</w:t>
            </w:r>
          </w:p>
        </w:tc>
        <w:tc>
          <w:tcPr>
            <w:tcW w:type="dxa" w:w="32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All health data belongs to the individual PAI — no hospital or insurer owns it</w:t>
            </w:r>
          </w:p>
        </w:tc>
        <w:tc>
          <w:tcPr>
            <w:tcW w:type="dxa" w:w="36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Patient controls who accesses their health data and under what conditions</w:t>
            </w:r>
          </w:p>
        </w:tc>
      </w:tr>
    </w:tbl>
    <w:p>
      <w:pPr>
        <w:spacing w:after="60" w:before="60"/>
      </w:pPr>
      <w:r>
        <w:t xml:space="preserve"/>
      </w:r>
    </w:p>
    <w:p>
      <w:pPr>
        <w:pStyle w:val="Heading2"/>
        <w:spacing w:after="160" w:before="320"/>
      </w:pPr>
      <w:r>
        <w:rPr>
          <w:rFonts w:ascii="Arial" w:cs="Arial" w:eastAsia="Arial" w:hAnsi="Arial"/>
          <w:b/>
          <w:bCs/>
          <w:color w:val="2E6DA4"/>
          <w:sz w:val="26"/>
          <w:szCs w:val="26"/>
        </w:rPr>
        <w:t xml:space="preserve">2.2 AAI — The Medical Transaction Guardian</w:t>
      </w:r>
    </w:p>
    <w:p>
      <w:pPr>
        <w:spacing w:after="80" w:before="80"/>
      </w:pPr>
      <w:r>
        <w:rPr>
          <w:rFonts w:ascii="Arial" w:cs="Arial" w:eastAsia="Arial" w:hAnsi="Arial"/>
          <w:color w:val="222222"/>
          <w:sz w:val="22"/>
          <w:szCs w:val="22"/>
        </w:rPr>
        <w:t xml:space="preserve">Healthcare AAI is the most complex and most consequential AAI domain. It must simultaneously apply medical ethics, clinical evidence standards, regulatory requirements, insurance conditions, and jurisdiction-specific healthcare law — all in real time, before any treatment is authorized.</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AAI Healthcare Role</w:t>
            </w:r>
          </w:p>
        </w:tc>
        <w:tc>
          <w:tcPr>
            <w:tcW w:type="dxa" w:w="6226"/>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Function</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Medical ethics validation</w:t>
            </w:r>
          </w:p>
        </w:tc>
        <w:tc>
          <w:tcPr>
            <w:tcW w:type="dxa" w:w="62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Every treatment intent validated against applicable medical ethics framework — informed consent, non-maleficence, autonomy, justice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Clinical evidence gating</w:t>
            </w:r>
          </w:p>
        </w:tc>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Treatment options validated against current evidence base — experimental treatments flagged, contraindications checked structurally</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Regulatory compliance</w:t>
            </w:r>
          </w:p>
        </w:tc>
        <w:tc>
          <w:tcPr>
            <w:tcW w:type="dxa" w:w="62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Drug approvals, device certifications, practitioner licenses verified structurally before any prescription or procedure authorization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Insurance pre-authorization</w:t>
            </w:r>
          </w:p>
        </w:tc>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Coverage conditions validated structurally before treatment — no surprise billing possible</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Specialist matching</w:t>
            </w:r>
          </w:p>
        </w:tc>
        <w:tc>
          <w:tcPr>
            <w:tcW w:type="dxa" w:w="62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PAI health intent matched against verified specialist AsAI providers — credentials, outcomes record, availability, geographic accessibility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Emergency override protocol</w:t>
            </w:r>
          </w:p>
        </w:tc>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Structured emergency pathway bypasses standard validation sequence while maintaining structural record of override authorization</w:t>
            </w:r>
          </w:p>
        </w:tc>
      </w:tr>
    </w:tbl>
    <w:p>
      <w:pPr>
        <w:spacing w:after="60" w:before="60"/>
      </w:pPr>
      <w:r>
        <w:t xml:space="preserve"/>
      </w:r>
    </w:p>
    <w:p>
      <w:pPr>
        <w:pBdr>
          <w:left w:val="single" w:color="2E6DA4" w:sz="6" w:space="8"/>
        </w:pBdr>
        <w:spacing w:after="160" w:before="160"/>
        <w:ind w:left="720" w:right="720"/>
      </w:pPr>
      <w:r>
        <w:rPr>
          <w:rFonts w:ascii="Arial" w:cs="Arial" w:eastAsia="Arial" w:hAnsi="Arial"/>
          <w:i/>
          <w:iCs/>
          <w:color w:val="2E6DA4"/>
          <w:sz w:val="24"/>
          <w:szCs w:val="24"/>
        </w:rPr>
        <w:t xml:space="preserve">Medical AAI does not replace the doctor's judgment. It ensures that the doctor's judgment is applied within a structurally verified information environment — with complete patient history, verified credentials, and automatic compliance.</w:t>
      </w:r>
    </w:p>
    <w:p>
      <w:pPr>
        <w:spacing w:after="60" w:before="60"/>
      </w:pPr>
      <w:r>
        <w:t xml:space="preserve"/>
      </w:r>
    </w:p>
    <w:p>
      <w:pPr>
        <w:pStyle w:val="Heading2"/>
        <w:spacing w:after="160" w:before="320"/>
      </w:pPr>
      <w:r>
        <w:rPr>
          <w:rFonts w:ascii="Arial" w:cs="Arial" w:eastAsia="Arial" w:hAnsi="Arial"/>
          <w:b/>
          <w:bCs/>
          <w:color w:val="2E6DA4"/>
          <w:sz w:val="26"/>
          <w:szCs w:val="26"/>
        </w:rPr>
        <w:t xml:space="preserve">2.3 AsAI — The Healthcare Execution Layer</w:t>
      </w:r>
    </w:p>
    <w:p>
      <w:pPr>
        <w:spacing w:after="80" w:before="80"/>
      </w:pPr>
      <w:r>
        <w:rPr>
          <w:rFonts w:ascii="Arial" w:cs="Arial" w:eastAsia="Arial" w:hAnsi="Arial"/>
          <w:color w:val="222222"/>
          <w:sz w:val="22"/>
          <w:szCs w:val="22"/>
        </w:rPr>
        <w:t xml:space="preserve">Healthcare AsAI encompasses every entity that delivers medical services: hospitals, clinics, specialist practices, pharmacies, diagnostic laboratories, medical device providers, and insurance execution systems. In the Velsanet economy, these entities do not market themselves to patients. They register in the Healthcare AAI Sponsored Registry and compete on structural quality metrics.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AsAI Healthcare Provider</w:t>
            </w:r>
          </w:p>
        </w:tc>
        <w:tc>
          <w:tcPr>
            <w:tcW w:type="dxa" w:w="6626"/>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What Changes</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Hospitals</w:t>
            </w:r>
          </w:p>
        </w:tc>
        <w:tc>
          <w:tcPr>
            <w:tcW w:type="dxa" w:w="66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Receive only AAI-validated, pre-authorized patient intents. No intake paperwork. No insurance pre-authorization calls. Structural record generated automatically for every interaction.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Specialist physicians</w:t>
            </w:r>
          </w:p>
        </w:tc>
        <w:tc>
          <w:tcPr>
            <w:tcW w:type="dxa" w:w="6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Matched to patients whose PAI cognitive profile matches their domain expertise. Consultation begins with complete structural health history. Billing executed automatically on treatment completion.</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Pharmacies</w:t>
            </w:r>
          </w:p>
        </w:tc>
        <w:tc>
          <w:tcPr>
            <w:tcW w:type="dxa" w:w="66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Receive only AAI-validated prescriptions. Drug interaction checks performed structurally before dispensing. Substitution options presented with structural equivalence verification.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Diagnostic laboratories</w:t>
            </w:r>
          </w:p>
        </w:tc>
        <w:tc>
          <w:tcPr>
            <w:tcW w:type="dxa" w:w="6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Receive structured test orders with full patient context. Results returned to patient PAI directly — not mediated through paper or fragmented systems.</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Insurers</w:t>
            </w:r>
          </w:p>
        </w:tc>
        <w:tc>
          <w:tcPr>
            <w:tcW w:type="dxa" w:w="66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Premium calculation based on continuous PAI biometric data — voluntary, consent-governed. Claims executed automatically when AAI validates treatment completion against coverage terms.</w:t>
            </w:r>
          </w:p>
        </w:tc>
      </w:tr>
    </w:tbl>
    <w:p>
      <w:pPr>
        <w:pBdr>
          <w:bottom w:val="single" w:color="2E6DA4" w:sz="4" w:space="1"/>
        </w:pBdr>
        <w:spacing w:after="240" w:before="240"/>
      </w:pPr>
    </w:p>
    <w:p>
      <w:pPr>
        <w:pStyle w:val="Heading1"/>
        <w:spacing w:after="200" w:before="480"/>
      </w:pPr>
      <w:r>
        <w:rPr>
          <w:rFonts w:ascii="Arial" w:cs="Arial" w:eastAsia="Arial" w:hAnsi="Arial"/>
          <w:b/>
          <w:bCs/>
          <w:color w:val="1A3A5C"/>
          <w:sz w:val="34"/>
          <w:szCs w:val="34"/>
        </w:rPr>
        <w:t xml:space="preserve">3. The Sovereign Health Data Economy</w:t>
      </w:r>
    </w:p>
    <w:p>
      <w:pPr>
        <w:pStyle w:val="Heading2"/>
        <w:spacing w:after="160" w:before="320"/>
      </w:pPr>
      <w:r>
        <w:rPr>
          <w:rFonts w:ascii="Arial" w:cs="Arial" w:eastAsia="Arial" w:hAnsi="Arial"/>
          <w:b/>
          <w:bCs/>
          <w:color w:val="2E6DA4"/>
          <w:sz w:val="26"/>
          <w:szCs w:val="26"/>
        </w:rPr>
        <w:t xml:space="preserve">3.1 Your Health Data Belongs to You</w:t>
      </w:r>
    </w:p>
    <w:p>
      <w:pPr>
        <w:spacing w:after="80" w:before="80"/>
      </w:pPr>
      <w:r>
        <w:rPr>
          <w:rFonts w:ascii="Arial" w:cs="Arial" w:eastAsia="Arial" w:hAnsi="Arial"/>
          <w:color w:val="222222"/>
          <w:sz w:val="22"/>
          <w:szCs w:val="22"/>
        </w:rPr>
        <w:t xml:space="preserve">In the current healthcare economy, health data is owned by whoever collected it. Hospitals own patient records. Insurers own claims data. Pharmaceutical companies own trial data. The patient — whose body generated all of it — owns nothing.</w:t>
      </w:r>
    </w:p>
    <w:p>
      <w:pPr>
        <w:spacing w:after="60" w:before="60"/>
      </w:pPr>
      <w:r>
        <w:t xml:space="preserve"/>
      </w:r>
    </w:p>
    <w:p>
      <w:pPr>
        <w:spacing w:after="80" w:before="80"/>
      </w:pPr>
      <w:r>
        <w:rPr>
          <w:rFonts w:ascii="Arial" w:cs="Arial" w:eastAsia="Arial" w:hAnsi="Arial"/>
          <w:color w:val="222222"/>
          <w:sz w:val="22"/>
          <w:szCs w:val="22"/>
        </w:rPr>
        <w:t xml:space="preserve">In the Velsanet healthcare economy, all health data originates in and belongs to the individual's PAI. No provider receives raw health data. They receive structured, consent-governed cognitive outputs — the minimum information necessary to provide the requested service.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913"/>
        <w:gridCol w:w="3913"/>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Data Type</w:t>
            </w:r>
          </w:p>
        </w:tc>
        <w:tc>
          <w:tcPr>
            <w:tcW w:type="dxa" w:w="29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Current Ownership</w:t>
            </w:r>
          </w:p>
        </w:tc>
        <w:tc>
          <w:tcPr>
            <w:tcW w:type="dxa" w:w="39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Velsanet Ownership</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Medical records</w:t>
            </w:r>
          </w:p>
        </w:tc>
        <w:tc>
          <w:tcPr>
            <w:tcW w:type="dxa" w:w="29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Hospital or clinic that created them</w:t>
            </w:r>
          </w:p>
        </w:tc>
        <w:tc>
          <w:tcPr>
            <w:tcW w:type="dxa" w:w="39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Individual PAI — immutable raw memory layer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Diagnostic results</w:t>
            </w:r>
          </w:p>
        </w:tc>
        <w:tc>
          <w:tcPr>
            <w:tcW w:type="dxa" w:w="29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Laboratory or imaging center</w:t>
            </w:r>
          </w:p>
        </w:tc>
        <w:tc>
          <w:tcPr>
            <w:tcW w:type="dxa" w:w="39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Individual PAI — returned directly, not held by provider</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Prescription history</w:t>
            </w:r>
          </w:p>
        </w:tc>
        <w:tc>
          <w:tcPr>
            <w:tcW w:type="dxa" w:w="29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Pharmacy chain database</w:t>
            </w:r>
          </w:p>
        </w:tc>
        <w:tc>
          <w:tcPr>
            <w:tcW w:type="dxa" w:w="39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Individual PAI — shared only with authorized providers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Biometric data</w:t>
            </w:r>
          </w:p>
        </w:tc>
        <w:tc>
          <w:tcPr>
            <w:tcW w:type="dxa" w:w="29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Wearable device company or insurer</w:t>
            </w:r>
          </w:p>
        </w:tc>
        <w:tc>
          <w:tcPr>
            <w:tcW w:type="dxa" w:w="39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Individual PAI — never transmitted without explicit consent</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Treatment outcomes</w:t>
            </w:r>
          </w:p>
        </w:tc>
        <w:tc>
          <w:tcPr>
            <w:tcW w:type="dxa" w:w="29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Hospital quality database</w:t>
            </w:r>
          </w:p>
        </w:tc>
        <w:tc>
          <w:tcPr>
            <w:tcW w:type="dxa" w:w="39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Individual PAI + anonymized contribution to AAI evidence base (consent-governed)</w:t>
            </w:r>
          </w:p>
        </w:tc>
      </w:tr>
    </w:tbl>
    <w:p>
      <w:pPr>
        <w:spacing w:after="60" w:before="60"/>
      </w:pPr>
      <w:r>
        <w:t xml:space="preserve"/>
      </w:r>
    </w:p>
    <w:p>
      <w:pPr>
        <w:pStyle w:val="Heading2"/>
        <w:spacing w:after="160" w:before="320"/>
      </w:pPr>
      <w:r>
        <w:rPr>
          <w:rFonts w:ascii="Arial" w:cs="Arial" w:eastAsia="Arial" w:hAnsi="Arial"/>
          <w:b/>
          <w:bCs/>
          <w:color w:val="2E6DA4"/>
          <w:sz w:val="26"/>
          <w:szCs w:val="26"/>
        </w:rPr>
        <w:t xml:space="preserve">3.2 The Medical Research Economy</w:t>
      </w:r>
    </w:p>
    <w:p>
      <w:pPr>
        <w:spacing w:after="80" w:before="80"/>
      </w:pPr>
      <w:r>
        <w:rPr>
          <w:rFonts w:ascii="Arial" w:cs="Arial" w:eastAsia="Arial" w:hAnsi="Arial"/>
          <w:color w:val="222222"/>
          <w:sz w:val="22"/>
          <w:szCs w:val="22"/>
        </w:rPr>
        <w:t xml:space="preserve">Sovereign health data does not mean data that never moves. It means data that only moves under structural consent — and when it moves, the individual receives value for its use.</w:t>
      </w:r>
    </w:p>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Pharmaceutical research: Companies seeking clinical data submit structured research intent to Medical AAI. AAI matches with individuals whose PAI health profiles fit the research criteria. Individuals consent and receive structural compensation. Data is transferred under AAI-enforced research ethics protocols.</w:t>
      </w:r>
    </w:p>
    <w:p>
      <w:pPr>
        <w:pStyle w:val="ListParagraph"/>
        <w:numPr>
          <w:ilvl w:val="0"/>
          <w:numId w:val="2"/>
        </w:numPr>
        <w:spacing w:after="60" w:before="60"/>
      </w:pPr>
      <w:r>
        <w:rPr>
          <w:rFonts w:ascii="Arial" w:cs="Arial" w:eastAsia="Arial" w:hAnsi="Arial"/>
          <w:sz w:val="22"/>
          <w:szCs w:val="22"/>
        </w:rPr>
        <w:t xml:space="preserve">Epidemiological surveillance: Public health AAI aggregates anonymized PAI health signals across populations. Individual identity is never exposed. Disease patterns detected structurally before outbreak thresholds are reached.</w:t>
      </w:r>
    </w:p>
    <w:p>
      <w:pPr>
        <w:pStyle w:val="ListParagraph"/>
        <w:numPr>
          <w:ilvl w:val="0"/>
          <w:numId w:val="2"/>
        </w:numPr>
        <w:spacing w:after="60" w:before="60"/>
      </w:pPr>
      <w:r>
        <w:rPr>
          <w:rFonts w:ascii="Arial" w:cs="Arial" w:eastAsia="Arial" w:hAnsi="Arial"/>
          <w:sz w:val="22"/>
          <w:szCs w:val="22"/>
        </w:rPr>
        <w:t xml:space="preserve">Drug efficacy monitoring: Post-market drug monitoring conducted through continuous PAI treatment response tracking. Adverse events detected structurally and reported to regulatory AAI automatically.</w:t>
      </w:r>
    </w:p>
    <w:p>
      <w:pPr>
        <w:pStyle w:val="ListParagraph"/>
        <w:numPr>
          <w:ilvl w:val="0"/>
          <w:numId w:val="2"/>
        </w:numPr>
        <w:spacing w:after="60" w:before="60"/>
      </w:pPr>
      <w:r>
        <w:rPr>
          <w:rFonts w:ascii="Arial" w:cs="Arial" w:eastAsia="Arial" w:hAnsi="Arial"/>
          <w:sz w:val="22"/>
          <w:szCs w:val="22"/>
        </w:rPr>
        <w:t xml:space="preserve">Personalized medicine: PAI genomic and biometric profiles matched against treatment response databases to generate structurally personalized treatment recommendations.</w:t>
      </w:r>
    </w:p>
    <w:p>
      <w:pPr>
        <w:pBdr>
          <w:bottom w:val="single" w:color="2E6DA4" w:sz="4" w:space="1"/>
        </w:pBdr>
        <w:spacing w:after="240" w:before="240"/>
      </w:pPr>
    </w:p>
    <w:p>
      <w:pPr>
        <w:pStyle w:val="Heading1"/>
        <w:spacing w:after="200" w:before="480"/>
      </w:pPr>
      <w:r>
        <w:rPr>
          <w:rFonts w:ascii="Arial" w:cs="Arial" w:eastAsia="Arial" w:hAnsi="Arial"/>
          <w:b/>
          <w:bCs/>
          <w:color w:val="1A3A5C"/>
          <w:sz w:val="34"/>
          <w:szCs w:val="34"/>
        </w:rPr>
        <w:t xml:space="preserve">4. New Healthcare Business Models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613"/>
        <w:gridCol w:w="3013"/>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Business Model</w:t>
            </w:r>
          </w:p>
        </w:tc>
        <w:tc>
          <w:tcPr>
            <w:tcW w:type="dxa" w:w="36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30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Enabled By</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Outcome-contingent payment</w:t>
            </w:r>
          </w:p>
        </w:tc>
        <w:tc>
          <w:tcPr>
            <w:tcW w:type="dxa" w:w="36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Healthcare providers paid based on structurally verified treatment outcomes, not procedures performed</w:t>
            </w:r>
          </w:p>
        </w:tc>
        <w:tc>
          <w:tcPr>
            <w:tcW w:type="dxa" w:w="30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PAI continuous outcome tracking + AAI payment validation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Preventive care subscription</w:t>
            </w:r>
          </w:p>
        </w:tc>
        <w:tc>
          <w:tcPr>
            <w:tcW w:type="dxa" w:w="36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PAI continuously monitors health baseline; AAI triggers preventive interventions before illness manifests; subscription fee replaces episodic treatment cost</w:t>
            </w:r>
          </w:p>
        </w:tc>
        <w:tc>
          <w:tcPr>
            <w:tcW w:type="dxa" w:w="30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PAI biometric monitoring + AAI pattern recognition</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Global specialist access</w:t>
            </w:r>
          </w:p>
        </w:tc>
        <w:tc>
          <w:tcPr>
            <w:tcW w:type="dxa" w:w="36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Patients in any location access specialist expertise through AAI matching — geography eliminated as barrier</w:t>
            </w:r>
          </w:p>
        </w:tc>
        <w:tc>
          <w:tcPr>
            <w:tcW w:type="dxa" w:w="30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AAI global registry + AsAI remote consultation execution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AI-native diagnostics</w:t>
            </w:r>
          </w:p>
        </w:tc>
        <w:tc>
          <w:tcPr>
            <w:tcW w:type="dxa" w:w="36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Diagnostic AsAI providers compete on accuracy of PAI health pattern interpretation — continuous improvement driven by structural outcome feedback</w:t>
            </w:r>
          </w:p>
        </w:tc>
        <w:tc>
          <w:tcPr>
            <w:tcW w:type="dxa" w:w="30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PAI cognitive health data + AAI outcome verification</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Health data cooperative</w:t>
            </w:r>
          </w:p>
        </w:tc>
        <w:tc>
          <w:tcPr>
            <w:tcW w:type="dxa" w:w="36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Individuals pool PAI health data under collective AAI governance — data value shared among contributors</w:t>
            </w:r>
          </w:p>
        </w:tc>
        <w:tc>
          <w:tcPr>
            <w:tcW w:type="dxa" w:w="30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PAI sovereignty + AAI collective consent management</w:t>
            </w:r>
          </w:p>
        </w:tc>
      </w:tr>
    </w:tbl>
    <w:p>
      <w:pPr>
        <w:pBdr>
          <w:bottom w:val="single" w:color="2E6DA4" w:sz="4" w:space="1"/>
        </w:pBdr>
        <w:spacing w:after="240" w:before="240"/>
      </w:pPr>
    </w:p>
    <w:p>
      <w:pPr>
        <w:pStyle w:val="Heading1"/>
        <w:spacing w:after="200" w:before="480"/>
      </w:pPr>
      <w:r>
        <w:rPr>
          <w:rFonts w:ascii="Arial" w:cs="Arial" w:eastAsia="Arial" w:hAnsi="Arial"/>
          <w:b/>
          <w:bCs/>
          <w:color w:val="1A3A5C"/>
          <w:sz w:val="34"/>
          <w:szCs w:val="34"/>
        </w:rPr>
        <w:t xml:space="preserve">5. Conclusion</w:t>
      </w:r>
    </w:p>
    <w:p>
      <w:pPr>
        <w:spacing w:after="80" w:before="80"/>
      </w:pPr>
      <w:r>
        <w:rPr>
          <w:rFonts w:ascii="Arial" w:cs="Arial" w:eastAsia="Arial" w:hAnsi="Arial"/>
          <w:color w:val="222222"/>
          <w:sz w:val="22"/>
          <w:szCs w:val="22"/>
        </w:rPr>
        <w:t xml:space="preserve">Healthcare fails structurally because information is fragmented, trust is unverifiable, and accountability is post-hoc. Velsanet addresses all three simultaneously: PAI unifies health information in sovereign individual custody; AAI verifies trust and enforces accountability before treatment; AsAI executes within structurally defined authority boundaries.</w:t>
      </w:r>
    </w:p>
    <w:p>
      <w:pPr>
        <w:spacing w:after="60" w:before="60"/>
      </w:pPr>
      <w:r>
        <w:t xml:space="preserve"/>
      </w:r>
    </w:p>
    <w:p>
      <w:pPr>
        <w:spacing w:after="80" w:before="80"/>
      </w:pPr>
      <w:r>
        <w:rPr>
          <w:rFonts w:ascii="Arial" w:cs="Arial" w:eastAsia="Arial" w:hAnsi="Arial"/>
          <w:color w:val="222222"/>
          <w:sz w:val="22"/>
          <w:szCs w:val="22"/>
        </w:rPr>
        <w:t xml:space="preserve">The result is not better healthcare within the existing system. It is a structurally different healthcare economy — one in which every patient has complete information sovereignty, every provider is structurally accountable, and every transaction is verifiable from intent to outcome.</w:t>
      </w:r>
    </w:p>
    <w:p>
      <w:pPr>
        <w:spacing w:after="60" w:before="60"/>
      </w:pPr>
      <w:r>
        <w:t xml:space="preserve"/>
      </w:r>
    </w:p>
    <w:p>
      <w:pPr>
        <w:pBdr>
          <w:left w:val="single" w:color="2E6DA4" w:sz="6" w:space="8"/>
        </w:pBdr>
        <w:spacing w:after="160" w:before="160"/>
        <w:ind w:left="720" w:right="720"/>
      </w:pPr>
      <w:r>
        <w:rPr>
          <w:rFonts w:ascii="Arial" w:cs="Arial" w:eastAsia="Arial" w:hAnsi="Arial"/>
          <w:i/>
          <w:iCs/>
          <w:color w:val="2E6DA4"/>
          <w:sz w:val="24"/>
          <w:szCs w:val="24"/>
        </w:rPr>
        <w:t xml:space="preserve">In the Velsanet healthcare economy, the patient is not a record in someone else's database. The patient is the database — sovereign, portable, and structurally protected.</w:t>
      </w:r>
    </w:p>
    <w:p>
      <w:pPr>
        <w:pBdr>
          <w:bottom w:val="single" w:color="2E6DA4" w:sz="4" w:space="1"/>
        </w:pBdr>
        <w:spacing w:after="240" w:before="240"/>
      </w:pPr>
    </w:p>
    <w:p>
      <w:pPr>
        <w:spacing w:after="80" w:before="400"/>
        <w:jc w:val="center"/>
      </w:pPr>
      <w:r>
        <w:rPr>
          <w:rFonts w:ascii="Arial" w:cs="Arial" w:eastAsia="Arial" w:hAnsi="Arial"/>
          <w:color w:val="888888"/>
          <w:sz w:val="18"/>
          <w:szCs w:val="18"/>
        </w:rPr>
        <w:t xml:space="preserve">Changho Song  ·  joa337@gmail.com</w:t>
      </w:r>
    </w:p>
    <w:p>
      <w:pPr>
        <w:spacing w:after="80" w:before="0"/>
        <w:jc w:val="center"/>
      </w:pPr>
      <w:r>
        <w:rPr>
          <w:rFonts w:ascii="Arial" w:cs="Arial" w:eastAsia="Arial" w:hAnsi="Arial"/>
          <w:color w:val="888888"/>
          <w:sz w:val="18"/>
          <w:szCs w:val="18"/>
        </w:rPr>
        <w:t xml:space="preserve">github.com/joa337/velsanet-whitepapers</w:t>
      </w:r>
    </w:p>
    <w:p>
      <w:pPr>
        <w:spacing w:after="0" w:before="0"/>
        <w:jc w:val="center"/>
      </w:pPr>
      <w:r>
        <w:rPr>
          <w:rFonts w:ascii="Arial" w:cs="Arial" w:eastAsia="Arial" w:hAnsi="Arial"/>
          <w:color w:val="AAAAAA"/>
          <w:sz w:val="18"/>
          <w:szCs w:val="18"/>
        </w:rPr>
        <w:t xml:space="preserve">April 2026  ·  Velsanet White Paper #WP-ECO-05</w:t>
      </w:r>
    </w:p>
    <w:p>
      <w:pPr>
        <w:spacing w:after="0" w:before="1400"/>
        <w:jc w:val="center"/>
      </w:pPr>
      <w:r>
        <w:rPr>
          <w:rFonts w:ascii="Arial" w:cs="Arial" w:eastAsia="Arial" w:hAnsi="Arial"/>
          <w:b/>
          <w:bCs/>
          <w:color w:val="1A3A5C"/>
          <w:sz w:val="64"/>
          <w:szCs w:val="64"/>
        </w:rPr>
        <w:t xml:space="preserve">VELSANET</w:t>
      </w:r>
    </w:p>
    <w:p>
      <w:pPr>
        <w:spacing w:after="80" w:before="0"/>
        <w:jc w:val="center"/>
      </w:pPr>
      <w:r>
        <w:rPr>
          <w:rFonts w:ascii="Arial" w:cs="Arial" w:eastAsia="Arial" w:hAnsi="Arial"/>
          <w:color w:val="999999"/>
          <w:sz w:val="20"/>
          <w:szCs w:val="20"/>
        </w:rPr>
        <w:t xml:space="preserve">White Paper #WP-ECO-06</w:t>
      </w:r>
    </w:p>
    <w:p>
      <w:pPr>
        <w:pBdr>
          <w:bottom w:val="single" w:color="2E6DA4" w:sz="8" w:space="4"/>
        </w:pBdr>
        <w:spacing w:after="0" w:before="200"/>
        <w:jc w:val="center"/>
      </w:pPr>
      <w:r>
        <w:rPr>
          <w:rFonts w:ascii="Arial" w:cs="Arial" w:eastAsia="Arial" w:hAnsi="Arial"/>
          <w:b/>
          <w:bCs/>
          <w:color w:val="2E6DA4"/>
          <w:sz w:val="44"/>
          <w:szCs w:val="44"/>
        </w:rPr>
        <w:t xml:space="preserve">The Education Economy</w:t>
      </w:r>
    </w:p>
    <w:p>
      <w:pPr>
        <w:spacing w:after="600" w:before="240"/>
        <w:jc w:val="center"/>
      </w:pPr>
      <w:r>
        <w:rPr>
          <w:rFonts w:ascii="Arial" w:cs="Arial" w:eastAsia="Arial" w:hAnsi="Arial"/>
          <w:color w:val="444444"/>
          <w:sz w:val="26"/>
          <w:szCs w:val="26"/>
        </w:rPr>
        <w:t xml:space="preserve">How Velsanet Transforms Learning Through Structural Cognition, Intent-Driven Matching, and Sovereign Knowledge</w:t>
      </w:r>
    </w:p>
    <w:p>
      <w:pPr>
        <w:spacing w:after="120" w:before="0"/>
        <w:jc w:val="center"/>
      </w:pPr>
      <w:r>
        <w:rPr>
          <w:rFonts w:ascii="Arial" w:cs="Arial" w:eastAsia="Arial" w:hAnsi="Arial"/>
          <w:b/>
          <w:bCs/>
          <w:color w:val="333333"/>
          <w:sz w:val="26"/>
          <w:szCs w:val="26"/>
        </w:rPr>
        <w:t xml:space="preserve">Changho Song</w:t>
      </w:r>
    </w:p>
    <w:p>
      <w:pPr>
        <w:spacing w:after="80" w:before="0"/>
        <w:jc w:val="center"/>
      </w:pPr>
      <w:r>
        <w:rPr>
          <w:rFonts w:ascii="Arial" w:cs="Arial" w:eastAsia="Arial" w:hAnsi="Arial"/>
          <w:color w:val="888888"/>
          <w:sz w:val="20"/>
          <w:szCs w:val="20"/>
        </w:rPr>
        <w:t xml:space="preserve">Independent Researcher  ·  Velsanet Architecture</w:t>
      </w:r>
    </w:p>
    <w:p>
      <w:pPr>
        <w:spacing w:after="0" w:before="0"/>
        <w:jc w:val="center"/>
      </w:pPr>
      <w:r>
        <w:rPr>
          <w:rFonts w:ascii="Arial" w:cs="Arial" w:eastAsia="Arial" w:hAnsi="Arial"/>
          <w:color w:val="888888"/>
          <w:sz w:val="20"/>
          <w:szCs w:val="20"/>
        </w:rPr>
        <w:t xml:space="preserve">April 2026</w:t>
      </w:r>
    </w:p>
    <w:p>
      <w:r>
        <w:br w:type="page"/>
      </w:r>
    </w:p>
    <w:p>
      <w:pPr>
        <w:pStyle w:val="Heading1"/>
        <w:spacing w:after="200" w:before="480"/>
      </w:pPr>
      <w:r>
        <w:rPr>
          <w:rFonts w:ascii="Arial" w:cs="Arial" w:eastAsia="Arial" w:hAnsi="Arial"/>
          <w:b/>
          <w:bCs/>
          <w:color w:val="1A3A5C"/>
          <w:sz w:val="34"/>
          <w:szCs w:val="34"/>
        </w:rPr>
        <w:t xml:space="preserve">1. The Education System's Structural Problem</w:t>
      </w:r>
    </w:p>
    <w:p>
      <w:pPr>
        <w:pStyle w:val="Heading2"/>
        <w:spacing w:after="160" w:before="320"/>
      </w:pPr>
      <w:r>
        <w:rPr>
          <w:rFonts w:ascii="Arial" w:cs="Arial" w:eastAsia="Arial" w:hAnsi="Arial"/>
          <w:b/>
          <w:bCs/>
          <w:color w:val="2E6DA4"/>
          <w:sz w:val="26"/>
          <w:szCs w:val="26"/>
        </w:rPr>
        <w:t xml:space="preserve">1.1 A System Designed for the Average</w:t>
      </w:r>
    </w:p>
    <w:p>
      <w:pPr>
        <w:spacing w:after="80" w:before="80"/>
      </w:pPr>
      <w:r>
        <w:rPr>
          <w:rFonts w:ascii="Arial" w:cs="Arial" w:eastAsia="Arial" w:hAnsi="Arial"/>
          <w:color w:val="222222"/>
          <w:sz w:val="22"/>
          <w:szCs w:val="22"/>
        </w:rPr>
        <w:t xml:space="preserve">The modern education system was designed for industrial-age efficiency: standardize the curriculum, batch-process students by age, and assess everyone against the same benchmark. This model maximized throughput. It did not maximize learning.</w:t>
      </w:r>
    </w:p>
    <w:p>
      <w:pPr>
        <w:spacing w:after="60" w:before="60"/>
      </w:pPr>
      <w:r>
        <w:t xml:space="preserve"/>
      </w:r>
    </w:p>
    <w:p>
      <w:pPr>
        <w:spacing w:after="80" w:before="80"/>
      </w:pPr>
      <w:r>
        <w:rPr>
          <w:rFonts w:ascii="Arial" w:cs="Arial" w:eastAsia="Arial" w:hAnsi="Arial"/>
          <w:color w:val="222222"/>
          <w:sz w:val="22"/>
          <w:szCs w:val="22"/>
        </w:rPr>
        <w:t xml:space="preserve">Every structural failure in education traces back to the same root: the system does not know who the student actually is. It knows their age, their grades, and their test scores. It does not know how they think, how they learn, what they are motivated by, or where their cognitive bottlenecks lie.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13"/>
        <w:gridCol w:w="4013"/>
      </w:tblGrid>
      <w:tr>
        <w:trPr>
          <w:tblHeader/>
        </w:trPr>
        <w:tc>
          <w:tcPr>
            <w:tcW w:type="dxa" w:w="20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Structural Failure</w:t>
            </w:r>
          </w:p>
        </w:tc>
        <w:tc>
          <w:tcPr>
            <w:tcW w:type="dxa" w:w="30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Current Reality</w:t>
            </w:r>
          </w:p>
        </w:tc>
        <w:tc>
          <w:tcPr>
            <w:tcW w:type="dxa" w:w="40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Consequence</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Unknown learner</w:t>
            </w:r>
          </w:p>
        </w:tc>
        <w:tc>
          <w:tcPr>
            <w:tcW w:type="dxa" w:w="30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Teachers work with 30 students simultaneously — individual cognitive profiles impossible to maintain</w:t>
            </w:r>
          </w:p>
        </w:tc>
        <w:tc>
          <w:tcPr>
            <w:tcW w:type="dxa" w:w="40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Students who learn differently fall behind; advanced students are held back; potential is systematically wasted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Credential inflation</w:t>
            </w:r>
          </w:p>
        </w:tc>
        <w:tc>
          <w:tcPr>
            <w:tcW w:type="dxa" w:w="30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Degrees certify time spent, not competence achieved — employers cannot verify actual capability</w:t>
            </w:r>
          </w:p>
        </w:tc>
        <w:tc>
          <w:tcPr>
            <w:tcW w:type="dxa" w:w="40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Employers demand ever-higher credentials; candidates over-invest in signaling; mismatch between education and employment</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Access inequality</w:t>
            </w:r>
          </w:p>
        </w:tc>
        <w:tc>
          <w:tcPr>
            <w:tcW w:type="dxa" w:w="30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Quality education requires proximity to elite institutions and financial resources</w:t>
            </w:r>
          </w:p>
        </w:tc>
        <w:tc>
          <w:tcPr>
            <w:tcW w:type="dxa" w:w="40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Talent distributed globally; opportunity concentrated geographically and economically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Static curriculum</w:t>
            </w:r>
          </w:p>
        </w:tc>
        <w:tc>
          <w:tcPr>
            <w:tcW w:type="dxa" w:w="30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Course content updated on academic cycles — years behind current knowledge and industry need</w:t>
            </w:r>
          </w:p>
        </w:tc>
        <w:tc>
          <w:tcPr>
            <w:tcW w:type="dxa" w:w="40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Graduates enter workforce with outdated skills; retraining cycles create continuous economic friction</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Misaligned incentives</w:t>
            </w:r>
          </w:p>
        </w:tc>
        <w:tc>
          <w:tcPr>
            <w:tcW w:type="dxa" w:w="30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Institutions rewarded for enrollment and retention, not for learning outcomes</w:t>
            </w:r>
          </w:p>
        </w:tc>
        <w:tc>
          <w:tcPr>
            <w:tcW w:type="dxa" w:w="40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Marketing budgets exceed teaching budgets; student debt accumulates without commensurate skill development</w:t>
            </w:r>
          </w:p>
        </w:tc>
      </w:tr>
    </w:tbl>
    <w:p>
      <w:pPr>
        <w:spacing w:after="60" w:before="60"/>
      </w:pPr>
      <w:r>
        <w:t xml:space="preserve"/>
      </w:r>
    </w:p>
    <w:p>
      <w:pPr>
        <w:pBdr>
          <w:left w:val="single" w:color="2E6DA4" w:sz="6" w:space="8"/>
        </w:pBdr>
        <w:spacing w:after="160" w:before="160"/>
        <w:ind w:left="720" w:right="720"/>
      </w:pPr>
      <w:r>
        <w:rPr>
          <w:rFonts w:ascii="Arial" w:cs="Arial" w:eastAsia="Arial" w:hAnsi="Arial"/>
          <w:i/>
          <w:iCs/>
          <w:color w:val="2E6DA4"/>
          <w:sz w:val="24"/>
          <w:szCs w:val="24"/>
        </w:rPr>
        <w:t xml:space="preserve">The education system does not fail students because educators lack dedication. It fails because the structure cannot see the individual student — and therefore cannot serve them.</w:t>
      </w:r>
    </w:p>
    <w:p>
      <w:pPr>
        <w:pBdr>
          <w:bottom w:val="single" w:color="2E6DA4" w:sz="4" w:space="1"/>
        </w:pBdr>
        <w:spacing w:after="240" w:before="240"/>
      </w:pPr>
    </w:p>
    <w:p>
      <w:pPr>
        <w:pStyle w:val="Heading1"/>
        <w:spacing w:after="200" w:before="480"/>
      </w:pPr>
      <w:r>
        <w:rPr>
          <w:rFonts w:ascii="Arial" w:cs="Arial" w:eastAsia="Arial" w:hAnsi="Arial"/>
          <w:b/>
          <w:bCs/>
          <w:color w:val="1A3A5C"/>
          <w:sz w:val="34"/>
          <w:szCs w:val="34"/>
        </w:rPr>
        <w:t xml:space="preserve">2. The Velsanet Education Architecture</w:t>
      </w:r>
    </w:p>
    <w:p>
      <w:pPr>
        <w:pStyle w:val="Heading2"/>
        <w:spacing w:after="160" w:before="320"/>
      </w:pPr>
      <w:r>
        <w:rPr>
          <w:rFonts w:ascii="Arial" w:cs="Arial" w:eastAsia="Arial" w:hAnsi="Arial"/>
          <w:b/>
          <w:bCs/>
          <w:color w:val="2E6DA4"/>
          <w:sz w:val="26"/>
          <w:szCs w:val="26"/>
        </w:rPr>
        <w:t xml:space="preserve">2.1 PAI — The Personal Learning Cognitive Layer</w:t>
      </w:r>
    </w:p>
    <w:p>
      <w:pPr>
        <w:spacing w:after="80" w:before="80"/>
      </w:pPr>
      <w:r>
        <w:rPr>
          <w:rFonts w:ascii="Arial" w:cs="Arial" w:eastAsia="Arial" w:hAnsi="Arial"/>
          <w:color w:val="222222"/>
          <w:sz w:val="22"/>
          <w:szCs w:val="22"/>
        </w:rPr>
        <w:t xml:space="preserve">In the Velsanet education economy, PAI is the individual's learning intelligence — the cognitive layer that knows how they learn better than any teacher or institution has ever been able to know.</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13"/>
        <w:gridCol w:w="3813"/>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PAI Learning Function</w:t>
            </w:r>
          </w:p>
        </w:tc>
        <w:tc>
          <w:tcPr>
            <w:tcW w:type="dxa" w:w="30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What It Captures</w:t>
            </w:r>
          </w:p>
        </w:tc>
        <w:tc>
          <w:tcPr>
            <w:tcW w:type="dxa" w:w="38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Educational Value</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Learning modality detection</w:t>
            </w:r>
          </w:p>
        </w:tc>
        <w:tc>
          <w:tcPr>
            <w:tcW w:type="dxa" w:w="30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CH1/CH2 channels track visual vs. audio vs. text comprehension rates; CH6 tracks active vs. passive engagement</w:t>
            </w:r>
          </w:p>
        </w:tc>
        <w:tc>
          <w:tcPr>
            <w:tcW w:type="dxa" w:w="38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Content delivered in the format that produces maximum retention for this specific individual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Attention and focus patterns</w:t>
            </w:r>
          </w:p>
        </w:tc>
        <w:tc>
          <w:tcPr>
            <w:tcW w:type="dxa" w:w="30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T-axis records concentration duration, distraction triggers, peak performance windows</w:t>
            </w:r>
          </w:p>
        </w:tc>
        <w:tc>
          <w:tcPr>
            <w:tcW w:type="dxa" w:w="38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Learning scheduled to align with individual cognitive rhythm — not institutional timetable</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Comprehension depth tracking</w:t>
            </w:r>
          </w:p>
        </w:tc>
        <w:tc>
          <w:tcPr>
            <w:tcW w:type="dxa" w:w="30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SEU encapsulates every learning event — what was understood, what was uncertain, what was misunderstood</w:t>
            </w:r>
          </w:p>
        </w:tc>
        <w:tc>
          <w:tcPr>
            <w:tcW w:type="dxa" w:w="38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Gaps identified structurally before they compound into foundational deficits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Motivation and intent sensing</w:t>
            </w:r>
          </w:p>
        </w:tc>
        <w:tc>
          <w:tcPr>
            <w:tcW w:type="dxa" w:w="30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I-axis captures learning motivation — intrinsic curiosity vs. extrinsic pressure vs. goal-oriented focus</w:t>
            </w:r>
          </w:p>
        </w:tc>
        <w:tc>
          <w:tcPr>
            <w:tcW w:type="dxa" w:w="38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Content framed to align with individual motivation state — maximizing engagement and retention</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Knowledge state modeling</w:t>
            </w:r>
          </w:p>
        </w:tc>
        <w:tc>
          <w:tcPr>
            <w:tcW w:type="dxa" w:w="30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Cube Memory Layer maintains continuous model of what the individual knows and does not know</w:t>
            </w:r>
          </w:p>
        </w:tc>
        <w:tc>
          <w:tcPr>
            <w:tcW w:type="dxa" w:w="38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Every new content delivery calibrated against actual knowledge state — not assumed curriculum position</w:t>
            </w:r>
          </w:p>
        </w:tc>
      </w:tr>
    </w:tbl>
    <w:p>
      <w:pPr>
        <w:spacing w:after="60" w:before="60"/>
      </w:pPr>
      <w:r>
        <w:t xml:space="preserve"/>
      </w:r>
    </w:p>
    <w:p>
      <w:pPr>
        <w:pStyle w:val="Heading2"/>
        <w:spacing w:after="160" w:before="320"/>
      </w:pPr>
      <w:r>
        <w:rPr>
          <w:rFonts w:ascii="Arial" w:cs="Arial" w:eastAsia="Arial" w:hAnsi="Arial"/>
          <w:b/>
          <w:bCs/>
          <w:color w:val="2E6DA4"/>
          <w:sz w:val="26"/>
          <w:szCs w:val="26"/>
        </w:rPr>
        <w:t xml:space="preserve">2.2 AAI — The Education Validation and Matching Layer</w:t>
      </w:r>
    </w:p>
    <w:p>
      <w:pPr>
        <w:spacing w:after="80" w:before="80"/>
      </w:pPr>
      <w:r>
        <w:rPr>
          <w:rFonts w:ascii="Arial" w:cs="Arial" w:eastAsia="Arial" w:hAnsi="Arial"/>
          <w:color w:val="222222"/>
          <w:sz w:val="22"/>
          <w:szCs w:val="22"/>
        </w:rPr>
        <w:t xml:space="preserve">Education AAI performs three simultaneous functions that no current educational institution can combine: validating the quality and credentials of learning providers, matching learner intent with optimal content and instruction, and certifying genuine competence acquisition.</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AAI Education Role</w:t>
            </w:r>
          </w:p>
        </w:tc>
        <w:tc>
          <w:tcPr>
            <w:tcW w:type="dxa" w:w="6226"/>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Function</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Provider credential validation</w:t>
            </w:r>
          </w:p>
        </w:tc>
        <w:tc>
          <w:tcPr>
            <w:tcW w:type="dxa" w:w="62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All teaching AsAI providers structurally verified — qualifications, teaching effectiveness record, domain expertise, outcome history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Learning intent matching</w:t>
            </w:r>
          </w:p>
        </w:tc>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PAI learning intent received and matched against global registry of content, courses, tutors, and programs — optimal match determined structurally</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Competence certification</w:t>
            </w:r>
          </w:p>
        </w:tc>
        <w:tc>
          <w:tcPr>
            <w:tcW w:type="dxa" w:w="62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Learning outcomes verified structurally through PAI knowledge state assessment — certificates issued based on demonstrated competence, not time spent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Curriculum integrity</w:t>
            </w:r>
          </w:p>
        </w:tc>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Course content validated against current knowledge standards — outdated or inaccurate content flagged structurally before delivery</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Payment mediation</w:t>
            </w:r>
          </w:p>
        </w:tc>
        <w:tc>
          <w:tcPr>
            <w:tcW w:type="dxa" w:w="62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Learning transactions mediated structurally — payment contingent on AAI-verified learning outcome achievement, not course enrollment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Cross-border recognition</w:t>
            </w:r>
          </w:p>
        </w:tc>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Competence certificates issued under AAI structural verification recognized globally — jurisdiction-specific credential translation handled at Q4 layer</w:t>
            </w:r>
          </w:p>
        </w:tc>
      </w:tr>
    </w:tbl>
    <w:p>
      <w:pPr>
        <w:spacing w:after="60" w:before="60"/>
      </w:pPr>
      <w:r>
        <w:t xml:space="preserve"/>
      </w:r>
    </w:p>
    <w:p>
      <w:pPr>
        <w:pBdr>
          <w:left w:val="single" w:color="2E6DA4" w:sz="6" w:space="8"/>
        </w:pBdr>
        <w:spacing w:after="160" w:before="160"/>
        <w:ind w:left="720" w:right="720"/>
      </w:pPr>
      <w:r>
        <w:rPr>
          <w:rFonts w:ascii="Arial" w:cs="Arial" w:eastAsia="Arial" w:hAnsi="Arial"/>
          <w:i/>
          <w:iCs/>
          <w:color w:val="2E6DA4"/>
          <w:sz w:val="24"/>
          <w:szCs w:val="24"/>
        </w:rPr>
        <w:t xml:space="preserve">Education AAI does not replace teachers. It ensures that every teacher reaches every student at exactly the point where that student needs them — structurally matched, contextually prepared, and outcome-accountable.</w:t>
      </w:r>
    </w:p>
    <w:p>
      <w:pPr>
        <w:spacing w:after="60" w:before="60"/>
      </w:pPr>
      <w:r>
        <w:t xml:space="preserve"/>
      </w:r>
    </w:p>
    <w:p>
      <w:pPr>
        <w:pStyle w:val="Heading2"/>
        <w:spacing w:after="160" w:before="320"/>
      </w:pPr>
      <w:r>
        <w:rPr>
          <w:rFonts w:ascii="Arial" w:cs="Arial" w:eastAsia="Arial" w:hAnsi="Arial"/>
          <w:b/>
          <w:bCs/>
          <w:color w:val="2E6DA4"/>
          <w:sz w:val="26"/>
          <w:szCs w:val="26"/>
        </w:rPr>
        <w:t xml:space="preserve">2.3 AsAI — The Learning Execution Layer</w:t>
      </w:r>
    </w:p>
    <w:p>
      <w:pPr>
        <w:spacing w:after="80" w:before="80"/>
      </w:pPr>
      <w:r>
        <w:rPr>
          <w:rFonts w:ascii="Arial" w:cs="Arial" w:eastAsia="Arial" w:hAnsi="Arial"/>
          <w:color w:val="222222"/>
          <w:sz w:val="22"/>
          <w:szCs w:val="22"/>
        </w:rPr>
        <w:t xml:space="preserve">Education AsAI encompasses every entity that delivers learning: individual tutors, educational institutions, content platforms, certification bodies, and corporate training providers. In the Velsanet education economy, these providers compete on one thing: structurally verified learning outcomes.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AsAI Education Provider</w:t>
            </w:r>
          </w:p>
        </w:tc>
        <w:tc>
          <w:tcPr>
            <w:tcW w:type="dxa" w:w="6626"/>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What Changes</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Individual tutors</w:t>
            </w:r>
          </w:p>
        </w:tc>
        <w:tc>
          <w:tcPr>
            <w:tcW w:type="dxa" w:w="66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Matched to learners whose PAI profiles align with their teaching strengths. Sessions begin with complete PAI learning context. Compensation structured around AAI-verified outcome achievement.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Universities and colleges</w:t>
            </w:r>
          </w:p>
        </w:tc>
        <w:tc>
          <w:tcPr>
            <w:tcW w:type="dxa" w:w="6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Compete on structural outcome metrics — graduate competence levels, employment alignment, knowledge retention. Enrollment marketing replaced by AAI registry quality record.</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Online course platforms</w:t>
            </w:r>
          </w:p>
        </w:tc>
        <w:tc>
          <w:tcPr>
            <w:tcW w:type="dxa" w:w="66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Content indexed by PAI-recognizable competence targets. Delivery adapted in real time to individual learning patterns. Completion certificates issued only on AAI-verified competence demonstration.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Corporate training providers</w:t>
            </w:r>
          </w:p>
        </w:tc>
        <w:tc>
          <w:tcPr>
            <w:tcW w:type="dxa" w:w="6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Training intent received from enterprise AAI. Content delivered against specific competence gap profiles. Outcome verified structurally — training budget tied to measurable skill acquisition.</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AI tutoring systems</w:t>
            </w:r>
          </w:p>
        </w:tc>
        <w:tc>
          <w:tcPr>
            <w:tcW w:type="dxa" w:w="66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Compete as AsAI providers in the global education registry. Differentiated by PAI compatibility — how well their cognitive model aligns with individual learner profiles.</w:t>
            </w:r>
          </w:p>
        </w:tc>
      </w:tr>
    </w:tbl>
    <w:p>
      <w:pPr>
        <w:pBdr>
          <w:bottom w:val="single" w:color="2E6DA4" w:sz="4" w:space="1"/>
        </w:pBdr>
        <w:spacing w:after="240" w:before="240"/>
      </w:pPr>
    </w:p>
    <w:p>
      <w:pPr>
        <w:pStyle w:val="Heading1"/>
        <w:spacing w:after="200" w:before="480"/>
      </w:pPr>
      <w:r>
        <w:rPr>
          <w:rFonts w:ascii="Arial" w:cs="Arial" w:eastAsia="Arial" w:hAnsi="Arial"/>
          <w:b/>
          <w:bCs/>
          <w:color w:val="1A3A5C"/>
          <w:sz w:val="34"/>
          <w:szCs w:val="34"/>
        </w:rPr>
        <w:t xml:space="preserve">3. The Scenario — Learning Without Searching</w:t>
      </w:r>
    </w:p>
    <w:p>
      <w:pPr>
        <w:spacing w:after="80" w:before="80"/>
      </w:pPr>
      <w:r>
        <w:rPr>
          <w:rFonts w:ascii="Arial" w:cs="Arial" w:eastAsia="Arial" w:hAnsi="Arial"/>
          <w:color w:val="222222"/>
          <w:sz w:val="22"/>
          <w:szCs w:val="22"/>
        </w:rPr>
        <w:t xml:space="preserve">A student wants to learn machine learning for a specific application in medical imaging. Today: they search online, compare courses, read reviews, guess at quality, pay upfront, and discover fit only after significant time investment.</w:t>
      </w:r>
    </w:p>
    <w:p>
      <w:pPr>
        <w:spacing w:after="60" w:before="60"/>
      </w:pPr>
      <w:r>
        <w:t xml:space="preserve"/>
      </w:r>
    </w:p>
    <w:p>
      <w:pPr>
        <w:spacing w:after="80" w:before="80"/>
      </w:pPr>
      <w:r>
        <w:rPr>
          <w:rFonts w:ascii="Arial" w:cs="Arial" w:eastAsia="Arial" w:hAnsi="Arial"/>
          <w:color w:val="222222"/>
          <w:sz w:val="22"/>
          <w:szCs w:val="22"/>
        </w:rPr>
        <w:t xml:space="preserve">In the Velsanet education economy:</w:t>
      </w:r>
    </w:p>
    <w:p>
      <w:pPr>
        <w:spacing w:after="60" w:before="60"/>
      </w:pPr>
      <w:r>
        <w:t xml:space="preserve"/>
      </w:r>
    </w:p>
    <w:p>
      <w:pPr>
        <w:pStyle w:val="ListParagraph"/>
        <w:numPr>
          <w:ilvl w:val="0"/>
          <w:numId w:val="2"/>
        </w:numPr>
        <w:spacing w:after="80" w:before="80"/>
      </w:pPr>
      <w:r>
        <w:rPr>
          <w:rFonts w:ascii="Arial" w:cs="Arial" w:eastAsia="Arial" w:hAnsi="Arial"/>
          <w:sz w:val="22"/>
          <w:szCs w:val="22"/>
        </w:rPr>
        <w:t xml:space="preserve">PAI generates structured learning intent: domain, application context, current knowledge state, learning style profile, time availability, budget constraints</w:t>
      </w:r>
    </w:p>
    <w:p>
      <w:pPr>
        <w:pStyle w:val="ListParagraph"/>
        <w:numPr>
          <w:ilvl w:val="0"/>
          <w:numId w:val="2"/>
        </w:numPr>
        <w:spacing w:after="80" w:before="80"/>
      </w:pPr>
      <w:r>
        <w:rPr>
          <w:rFonts w:ascii="Arial" w:cs="Arial" w:eastAsia="Arial" w:hAnsi="Arial"/>
          <w:sz w:val="22"/>
          <w:szCs w:val="22"/>
        </w:rPr>
        <w:t xml:space="preserve">Education AAI receives intent and searches global provider registry for optimal matches — verified providers whose teaching approach matches PAI learning profile, whose content matches the specific application need, whose outcome record is structurally verified</w:t>
      </w:r>
    </w:p>
    <w:p>
      <w:pPr>
        <w:pStyle w:val="ListParagraph"/>
        <w:numPr>
          <w:ilvl w:val="0"/>
          <w:numId w:val="2"/>
        </w:numPr>
        <w:spacing w:after="80" w:before="80"/>
      </w:pPr>
      <w:r>
        <w:rPr>
          <w:rFonts w:ascii="Arial" w:cs="Arial" w:eastAsia="Arial" w:hAnsi="Arial"/>
          <w:sz w:val="22"/>
          <w:szCs w:val="22"/>
        </w:rPr>
        <w:t xml:space="preserve">AAI presents curated options with structural quality evidence — not star ratings, but verified outcome data from learners with similar PAI profiles</w:t>
      </w:r>
    </w:p>
    <w:p>
      <w:pPr>
        <w:pStyle w:val="ListParagraph"/>
        <w:numPr>
          <w:ilvl w:val="0"/>
          <w:numId w:val="2"/>
        </w:numPr>
        <w:spacing w:after="80" w:before="80"/>
      </w:pPr>
      <w:r>
        <w:rPr>
          <w:rFonts w:ascii="Arial" w:cs="Arial" w:eastAsia="Arial" w:hAnsi="Arial"/>
          <w:sz w:val="22"/>
          <w:szCs w:val="22"/>
        </w:rPr>
        <w:t xml:space="preserve">Student selects and payment is structured around milestone achievement — not upfront enrollment</w:t>
      </w:r>
    </w:p>
    <w:p>
      <w:pPr>
        <w:pStyle w:val="ListParagraph"/>
        <w:numPr>
          <w:ilvl w:val="0"/>
          <w:numId w:val="2"/>
        </w:numPr>
        <w:spacing w:after="80" w:before="80"/>
      </w:pPr>
      <w:r>
        <w:rPr>
          <w:rFonts w:ascii="Arial" w:cs="Arial" w:eastAsia="Arial" w:hAnsi="Arial"/>
          <w:sz w:val="22"/>
          <w:szCs w:val="22"/>
        </w:rPr>
        <w:t xml:space="preserve">Learning begins with provider already knowing the student's complete cognitive profile</w:t>
      </w:r>
    </w:p>
    <w:p>
      <w:pPr>
        <w:pStyle w:val="ListParagraph"/>
        <w:numPr>
          <w:ilvl w:val="0"/>
          <w:numId w:val="2"/>
        </w:numPr>
        <w:spacing w:after="80" w:before="80"/>
      </w:pPr>
      <w:r>
        <w:rPr>
          <w:rFonts w:ascii="Arial" w:cs="Arial" w:eastAsia="Arial" w:hAnsi="Arial"/>
          <w:sz w:val="22"/>
          <w:szCs w:val="22"/>
        </w:rPr>
        <w:t xml:space="preserve">Progress tracked structurally by PAI — gaps addressed automatically, pace adjusted continuously</w:t>
      </w:r>
    </w:p>
    <w:p>
      <w:pPr>
        <w:pStyle w:val="ListParagraph"/>
        <w:numPr>
          <w:ilvl w:val="0"/>
          <w:numId w:val="2"/>
        </w:numPr>
        <w:spacing w:after="80" w:before="80"/>
      </w:pPr>
      <w:r>
        <w:rPr>
          <w:rFonts w:ascii="Arial" w:cs="Arial" w:eastAsia="Arial" w:hAnsi="Arial"/>
          <w:sz w:val="22"/>
          <w:szCs w:val="22"/>
        </w:rPr>
        <w:t xml:space="preserve">On competence achievement, AAI issues structural certificate — verifiable by any employer globally without credential checking intermediary</w:t>
      </w:r>
    </w:p>
    <w:p>
      <w:pPr>
        <w:spacing w:after="60" w:before="60"/>
      </w:pPr>
      <w:r>
        <w:t xml:space="preserve"/>
      </w:r>
    </w:p>
    <w:p>
      <w:pPr>
        <w:pBdr>
          <w:left w:val="single" w:color="2E6DA4" w:sz="6" w:space="8"/>
        </w:pBdr>
        <w:spacing w:after="160" w:before="160"/>
        <w:ind w:left="720" w:right="720"/>
      </w:pPr>
      <w:r>
        <w:rPr>
          <w:rFonts w:ascii="Arial" w:cs="Arial" w:eastAsia="Arial" w:hAnsi="Arial"/>
          <w:i/>
          <w:iCs/>
          <w:color w:val="2E6DA4"/>
          <w:sz w:val="24"/>
          <w:szCs w:val="24"/>
        </w:rPr>
        <w:t xml:space="preserve">The student never searches. The student never guesses. The student never pays for content that does not fit. The structure finds the teacher. The teacher finds the student. Learning happens.</w:t>
      </w:r>
    </w:p>
    <w:p>
      <w:pPr>
        <w:pBdr>
          <w:bottom w:val="single" w:color="2E6DA4" w:sz="4" w:space="1"/>
        </w:pBdr>
        <w:spacing w:after="240" w:before="240"/>
      </w:pPr>
    </w:p>
    <w:p>
      <w:pPr>
        <w:pStyle w:val="Heading1"/>
        <w:spacing w:after="200" w:before="480"/>
      </w:pPr>
      <w:r>
        <w:rPr>
          <w:rFonts w:ascii="Arial" w:cs="Arial" w:eastAsia="Arial" w:hAnsi="Arial"/>
          <w:b/>
          <w:bCs/>
          <w:color w:val="1A3A5C"/>
          <w:sz w:val="34"/>
          <w:szCs w:val="34"/>
        </w:rPr>
        <w:t xml:space="preserve">4. The Competence Economy</w:t>
      </w:r>
    </w:p>
    <w:p>
      <w:pPr>
        <w:pStyle w:val="Heading2"/>
        <w:spacing w:after="160" w:before="320"/>
      </w:pPr>
      <w:r>
        <w:rPr>
          <w:rFonts w:ascii="Arial" w:cs="Arial" w:eastAsia="Arial" w:hAnsi="Arial"/>
          <w:b/>
          <w:bCs/>
          <w:color w:val="2E6DA4"/>
          <w:sz w:val="26"/>
          <w:szCs w:val="26"/>
        </w:rPr>
        <w:t xml:space="preserve">4.1 The End of the Credential Proxy</w:t>
      </w:r>
    </w:p>
    <w:p>
      <w:pPr>
        <w:spacing w:after="80" w:before="80"/>
      </w:pPr>
      <w:r>
        <w:rPr>
          <w:rFonts w:ascii="Arial" w:cs="Arial" w:eastAsia="Arial" w:hAnsi="Arial"/>
          <w:color w:val="222222"/>
          <w:sz w:val="22"/>
          <w:szCs w:val="22"/>
        </w:rPr>
        <w:t xml:space="preserve">The degree is a proxy. It signals that someone spent time in an institution that had certain admission standards. It does not directly certify what they know or what they can do. Employers have always known this — and have always had to build their own assessment processes on top of credential screening.</w:t>
      </w:r>
    </w:p>
    <w:p>
      <w:pPr>
        <w:spacing w:after="60" w:before="60"/>
      </w:pPr>
      <w:r>
        <w:t xml:space="preserve"/>
      </w:r>
    </w:p>
    <w:p>
      <w:pPr>
        <w:spacing w:after="80" w:before="80"/>
      </w:pPr>
      <w:r>
        <w:rPr>
          <w:rFonts w:ascii="Arial" w:cs="Arial" w:eastAsia="Arial" w:hAnsi="Arial"/>
          <w:color w:val="222222"/>
          <w:sz w:val="22"/>
          <w:szCs w:val="22"/>
        </w:rPr>
        <w:t xml:space="preserve">AAI-issued structural competence certificates are not proxies. They are direct structural attestations of what an individual knows and can do — verified through PAI knowledge state assessment, not institutional time-serving.</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Credential Type</w:t>
            </w:r>
          </w:p>
        </w:tc>
        <w:tc>
          <w:tcPr>
            <w:tcW w:type="dxa" w:w="34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Current Form</w:t>
            </w:r>
          </w:p>
        </w:tc>
        <w:tc>
          <w:tcPr>
            <w:tcW w:type="dxa" w:w="34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Velsanet Form</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University degree</w:t>
            </w:r>
          </w:p>
        </w:tc>
        <w:tc>
          <w:tcPr>
            <w:tcW w:type="dxa" w:w="34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Proxy for 3-4 years institutional attendance</w:t>
            </w:r>
          </w:p>
        </w:tc>
        <w:tc>
          <w:tcPr>
            <w:tcW w:type="dxa" w:w="34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Structural competence map — verifiable, domain-specific, outcome-based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Professional certification</w:t>
            </w:r>
          </w:p>
        </w:tc>
        <w:tc>
          <w:tcPr>
            <w:tcW w:type="dxa" w:w="34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Exam passed on a given day — knowledge may decay</w:t>
            </w:r>
          </w:p>
        </w:tc>
        <w:tc>
          <w:tcPr>
            <w:tcW w:type="dxa" w:w="34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Continuous PAI competence tracking — certification reflects current state</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Work experience</w:t>
            </w:r>
          </w:p>
        </w:tc>
        <w:tc>
          <w:tcPr>
            <w:tcW w:type="dxa" w:w="34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Self-reported — employer verification cumbersome</w:t>
            </w:r>
          </w:p>
        </w:tc>
        <w:tc>
          <w:tcPr>
            <w:tcW w:type="dxa" w:w="34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Structural record of AAI-validated work execution — verifiable by any party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Skills assessment</w:t>
            </w:r>
          </w:p>
        </w:tc>
        <w:tc>
          <w:tcPr>
            <w:tcW w:type="dxa" w:w="34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Periodic test or portfolio review</w:t>
            </w:r>
          </w:p>
        </w:tc>
        <w:tc>
          <w:tcPr>
            <w:tcW w:type="dxa" w:w="34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Continuous PAI knowledge state — always current, always structural</w:t>
            </w:r>
          </w:p>
        </w:tc>
      </w:tr>
    </w:tbl>
    <w:p>
      <w:pPr>
        <w:spacing w:after="60" w:before="60"/>
      </w:pPr>
      <w:r>
        <w:t xml:space="preserve"/>
      </w:r>
    </w:p>
    <w:p>
      <w:pPr>
        <w:pStyle w:val="Heading2"/>
        <w:spacing w:after="160" w:before="320"/>
      </w:pPr>
      <w:r>
        <w:rPr>
          <w:rFonts w:ascii="Arial" w:cs="Arial" w:eastAsia="Arial" w:hAnsi="Arial"/>
          <w:b/>
          <w:bCs/>
          <w:color w:val="2E6DA4"/>
          <w:sz w:val="26"/>
          <w:szCs w:val="26"/>
        </w:rPr>
        <w:t xml:space="preserve">4.2 New Education Business Models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Business Model</w:t>
            </w:r>
          </w:p>
        </w:tc>
        <w:tc>
          <w:tcPr>
            <w:tcW w:type="dxa" w:w="6226"/>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Outcome-contingent tuition</w:t>
            </w:r>
          </w:p>
        </w:tc>
        <w:tc>
          <w:tcPr>
            <w:tcW w:type="dxa" w:w="62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Educational providers paid only on AAI-verified competence achievement — no outcome, no payment. Aligns institutional incentive with learning result.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Lifelong learning subscription</w:t>
            </w:r>
          </w:p>
        </w:tc>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PAI continuously identifies knowledge gaps relative to career trajectory. AAI matches micro-learning content automatically. Subscription covers continuous upskilling.</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Competence gap marketplace</w:t>
            </w:r>
          </w:p>
        </w:tc>
        <w:tc>
          <w:tcPr>
            <w:tcW w:type="dxa" w:w="62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Employers publish structural competence requirements. Education AAI matches learners seeking employment with providers who can close specific gaps. Employer co-funds targeted upskilling.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Knowledge cooperative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Expert individuals register as AsAI teaching providers. PAI-matched learners access expertise directly. AAI handles quality verification, payment, and outcome certification.</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AI-native curriculum design</w:t>
            </w:r>
          </w:p>
        </w:tc>
        <w:tc>
          <w:tcPr>
            <w:tcW w:type="dxa" w:w="62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Curriculum designed around PAI intent patterns — built to match what learners actually need, not what institutions traditionally offer.</w:t>
            </w:r>
          </w:p>
        </w:tc>
      </w:tr>
    </w:tbl>
    <w:p>
      <w:pPr>
        <w:pBdr>
          <w:bottom w:val="single" w:color="2E6DA4" w:sz="4" w:space="1"/>
        </w:pBdr>
        <w:spacing w:after="240" w:before="240"/>
      </w:pPr>
    </w:p>
    <w:p>
      <w:pPr>
        <w:pStyle w:val="Heading1"/>
        <w:spacing w:after="200" w:before="480"/>
      </w:pPr>
      <w:r>
        <w:rPr>
          <w:rFonts w:ascii="Arial" w:cs="Arial" w:eastAsia="Arial" w:hAnsi="Arial"/>
          <w:b/>
          <w:bCs/>
          <w:color w:val="1A3A5C"/>
          <w:sz w:val="34"/>
          <w:szCs w:val="34"/>
        </w:rPr>
        <w:t xml:space="preserve">5. Conclusion</w:t>
      </w:r>
    </w:p>
    <w:p>
      <w:pPr>
        <w:spacing w:after="80" w:before="80"/>
      </w:pPr>
      <w:r>
        <w:rPr>
          <w:rFonts w:ascii="Arial" w:cs="Arial" w:eastAsia="Arial" w:hAnsi="Arial"/>
          <w:color w:val="222222"/>
          <w:sz w:val="22"/>
          <w:szCs w:val="22"/>
        </w:rPr>
        <w:t xml:space="preserve">Education fails structurally because it cannot see the individual student. Every student receives the same content, at the same pace, assessed against the same standard — regardless of how they think, what they know, or what they need.</w:t>
      </w:r>
    </w:p>
    <w:p>
      <w:pPr>
        <w:spacing w:after="60" w:before="60"/>
      </w:pPr>
      <w:r>
        <w:t xml:space="preserve"/>
      </w:r>
    </w:p>
    <w:p>
      <w:pPr>
        <w:spacing w:after="80" w:before="80"/>
      </w:pPr>
      <w:r>
        <w:rPr>
          <w:rFonts w:ascii="Arial" w:cs="Arial" w:eastAsia="Arial" w:hAnsi="Arial"/>
          <w:color w:val="222222"/>
          <w:sz w:val="22"/>
          <w:szCs w:val="22"/>
        </w:rPr>
        <w:t xml:space="preserve">Velsanet makes the individual student structurally visible. PAI knows how they learn. AAI matches them with who can teach them best. AsAI delivers learning that is calibrated to their cognitive profile. And the outcome is certified structurally — not by an institution's brand, but by verified competence.</w:t>
      </w:r>
    </w:p>
    <w:p>
      <w:pPr>
        <w:spacing w:after="60" w:before="60"/>
      </w:pPr>
      <w:r>
        <w:t xml:space="preserve"/>
      </w:r>
    </w:p>
    <w:p>
      <w:pPr>
        <w:pBdr>
          <w:left w:val="single" w:color="2E6DA4" w:sz="6" w:space="8"/>
        </w:pBdr>
        <w:spacing w:after="160" w:before="160"/>
        <w:ind w:left="720" w:right="720"/>
      </w:pPr>
      <w:r>
        <w:rPr>
          <w:rFonts w:ascii="Arial" w:cs="Arial" w:eastAsia="Arial" w:hAnsi="Arial"/>
          <w:i/>
          <w:iCs/>
          <w:color w:val="2E6DA4"/>
          <w:sz w:val="24"/>
          <w:szCs w:val="24"/>
        </w:rPr>
        <w:t xml:space="preserve">In the Velsanet education economy, there is no such thing as a student who cannot learn. There is only a student who has not yet been matched with the teacher and the format that works for them.</w:t>
      </w:r>
    </w:p>
    <w:p>
      <w:pPr>
        <w:pBdr>
          <w:bottom w:val="single" w:color="2E6DA4" w:sz="4" w:space="1"/>
        </w:pBdr>
        <w:spacing w:after="240" w:before="240"/>
      </w:pPr>
    </w:p>
    <w:p>
      <w:pPr>
        <w:spacing w:after="80" w:before="400"/>
        <w:jc w:val="center"/>
      </w:pPr>
      <w:r>
        <w:rPr>
          <w:rFonts w:ascii="Arial" w:cs="Arial" w:eastAsia="Arial" w:hAnsi="Arial"/>
          <w:color w:val="888888"/>
          <w:sz w:val="18"/>
          <w:szCs w:val="18"/>
        </w:rPr>
        <w:t xml:space="preserve">Changho Song  ·  joa337@gmail.com</w:t>
      </w:r>
    </w:p>
    <w:p>
      <w:pPr>
        <w:spacing w:after="80" w:before="0"/>
        <w:jc w:val="center"/>
      </w:pPr>
      <w:r>
        <w:rPr>
          <w:rFonts w:ascii="Arial" w:cs="Arial" w:eastAsia="Arial" w:hAnsi="Arial"/>
          <w:color w:val="888888"/>
          <w:sz w:val="18"/>
          <w:szCs w:val="18"/>
        </w:rPr>
        <w:t xml:space="preserve">github.com/joa337/velsanet-whitepapers</w:t>
      </w:r>
    </w:p>
    <w:p>
      <w:pPr>
        <w:spacing w:after="0" w:before="0"/>
        <w:jc w:val="center"/>
      </w:pPr>
      <w:r>
        <w:rPr>
          <w:rFonts w:ascii="Arial" w:cs="Arial" w:eastAsia="Arial" w:hAnsi="Arial"/>
          <w:color w:val="AAAAAA"/>
          <w:sz w:val="18"/>
          <w:szCs w:val="18"/>
        </w:rPr>
        <w:t xml:space="preserve">April 2026  ·  Velsanet White Paper #WP-ECO-06</w:t>
      </w:r>
    </w:p>
    <w:p>
      <w:pPr>
        <w:spacing w:after="0" w:before="1400"/>
        <w:jc w:val="center"/>
      </w:pPr>
      <w:r>
        <w:rPr>
          <w:rFonts w:ascii="Arial" w:cs="Arial" w:eastAsia="Arial" w:hAnsi="Arial"/>
          <w:b/>
          <w:bCs/>
          <w:color w:val="1A3A5C"/>
          <w:sz w:val="64"/>
          <w:szCs w:val="64"/>
        </w:rPr>
        <w:t xml:space="preserve">VELSANET</w:t>
      </w:r>
    </w:p>
    <w:p>
      <w:pPr>
        <w:spacing w:after="80" w:before="0"/>
        <w:jc w:val="center"/>
      </w:pPr>
      <w:r>
        <w:rPr>
          <w:rFonts w:ascii="Arial" w:cs="Arial" w:eastAsia="Arial" w:hAnsi="Arial"/>
          <w:color w:val="999999"/>
          <w:sz w:val="20"/>
          <w:szCs w:val="20"/>
        </w:rPr>
        <w:t xml:space="preserve">White Paper #WP-ECO-07</w:t>
      </w:r>
    </w:p>
    <w:p>
      <w:pPr>
        <w:pBdr>
          <w:bottom w:val="single" w:color="2E6DA4" w:sz="8" w:space="4"/>
        </w:pBdr>
        <w:spacing w:after="0" w:before="200"/>
        <w:jc w:val="center"/>
      </w:pPr>
      <w:r>
        <w:rPr>
          <w:rFonts w:ascii="Arial" w:cs="Arial" w:eastAsia="Arial" w:hAnsi="Arial"/>
          <w:b/>
          <w:bCs/>
          <w:color w:val="2E6DA4"/>
          <w:sz w:val="44"/>
          <w:szCs w:val="44"/>
        </w:rPr>
        <w:t xml:space="preserve">The Finance Economy</w:t>
      </w:r>
    </w:p>
    <w:p>
      <w:pPr>
        <w:spacing w:after="600" w:before="240"/>
        <w:jc w:val="center"/>
      </w:pPr>
      <w:r>
        <w:rPr>
          <w:rFonts w:ascii="Arial" w:cs="Arial" w:eastAsia="Arial" w:hAnsi="Arial"/>
          <w:color w:val="444444"/>
          <w:sz w:val="26"/>
          <w:szCs w:val="26"/>
        </w:rPr>
        <w:t xml:space="preserve">How Velsanet Transforms Banking, Payments, and Capital Through Structural Trust and Sovereign Value</w:t>
      </w:r>
    </w:p>
    <w:p>
      <w:pPr>
        <w:spacing w:after="120" w:before="0"/>
        <w:jc w:val="center"/>
      </w:pPr>
      <w:r>
        <w:rPr>
          <w:rFonts w:ascii="Arial" w:cs="Arial" w:eastAsia="Arial" w:hAnsi="Arial"/>
          <w:b/>
          <w:bCs/>
          <w:color w:val="333333"/>
          <w:sz w:val="26"/>
          <w:szCs w:val="26"/>
        </w:rPr>
        <w:t xml:space="preserve">Changho Song</w:t>
      </w:r>
    </w:p>
    <w:p>
      <w:pPr>
        <w:spacing w:after="80" w:before="0"/>
        <w:jc w:val="center"/>
      </w:pPr>
      <w:r>
        <w:rPr>
          <w:rFonts w:ascii="Arial" w:cs="Arial" w:eastAsia="Arial" w:hAnsi="Arial"/>
          <w:color w:val="888888"/>
          <w:sz w:val="20"/>
          <w:szCs w:val="20"/>
        </w:rPr>
        <w:t xml:space="preserve">Independent Researcher  ·  Velsanet Architecture</w:t>
      </w:r>
    </w:p>
    <w:p>
      <w:pPr>
        <w:spacing w:after="0" w:before="0"/>
        <w:jc w:val="center"/>
      </w:pPr>
      <w:r>
        <w:rPr>
          <w:rFonts w:ascii="Arial" w:cs="Arial" w:eastAsia="Arial" w:hAnsi="Arial"/>
          <w:color w:val="888888"/>
          <w:sz w:val="20"/>
          <w:szCs w:val="20"/>
        </w:rPr>
        <w:t xml:space="preserve">April 2026</w:t>
      </w:r>
    </w:p>
    <w:p>
      <w:r>
        <w:br w:type="page"/>
      </w:r>
    </w:p>
    <w:p>
      <w:pPr>
        <w:pStyle w:val="Heading1"/>
        <w:spacing w:after="200" w:before="480"/>
      </w:pPr>
      <w:r>
        <w:rPr>
          <w:rFonts w:ascii="Arial" w:cs="Arial" w:eastAsia="Arial" w:hAnsi="Arial"/>
          <w:b/>
          <w:bCs/>
          <w:color w:val="1A3A5C"/>
          <w:sz w:val="34"/>
          <w:szCs w:val="34"/>
        </w:rPr>
        <w:t xml:space="preserve">1. The Financial System's Structural Tensions</w:t>
      </w:r>
    </w:p>
    <w:p>
      <w:pPr>
        <w:pStyle w:val="Heading2"/>
        <w:spacing w:after="160" w:before="320"/>
      </w:pPr>
      <w:r>
        <w:rPr>
          <w:rFonts w:ascii="Arial" w:cs="Arial" w:eastAsia="Arial" w:hAnsi="Arial"/>
          <w:b/>
          <w:bCs/>
          <w:color w:val="2E6DA4"/>
          <w:sz w:val="26"/>
          <w:szCs w:val="26"/>
        </w:rPr>
        <w:t xml:space="preserve">1.1 A System Built on Managed Distrust</w:t>
      </w:r>
    </w:p>
    <w:p>
      <w:pPr>
        <w:spacing w:after="80" w:before="80"/>
      </w:pPr>
      <w:r>
        <w:rPr>
          <w:rFonts w:ascii="Arial" w:cs="Arial" w:eastAsia="Arial" w:hAnsi="Arial"/>
          <w:color w:val="222222"/>
          <w:sz w:val="22"/>
          <w:szCs w:val="22"/>
        </w:rPr>
        <w:t xml:space="preserve">The modern financial system is an elaborate architecture for managing distrust. Banks exist because counterparties cannot trust each other directly. Settlement systems exist because banks cannot trust each other's records. Regulators exist because markets cannot trust participants to self-govern. Auditors exist because stakeholders cannot trust management's representations.</w:t>
      </w:r>
    </w:p>
    <w:p>
      <w:pPr>
        <w:spacing w:after="60" w:before="60"/>
      </w:pPr>
      <w:r>
        <w:t xml:space="preserve"/>
      </w:r>
    </w:p>
    <w:p>
      <w:pPr>
        <w:spacing w:after="80" w:before="80"/>
      </w:pPr>
      <w:r>
        <w:rPr>
          <w:rFonts w:ascii="Arial" w:cs="Arial" w:eastAsia="Arial" w:hAnsi="Arial"/>
          <w:color w:val="222222"/>
          <w:sz w:val="22"/>
          <w:szCs w:val="22"/>
        </w:rPr>
        <w:t xml:space="preserve">Each layer of intermediation adds cost, latency, and opacity. The system works — but at enormous friction. Global payment settlement takes days. Cross-border transactions cost 5-7% in fees. Small businesses cannot access credit because verification costs exceed loan value. Billions of people remain unbanked because onboarding cost exceeds projected revenue.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13"/>
        <w:gridCol w:w="4013"/>
      </w:tblGrid>
      <w:tr>
        <w:trPr>
          <w:tblHeader/>
        </w:trPr>
        <w:tc>
          <w:tcPr>
            <w:tcW w:type="dxa" w:w="20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Structural Tension</w:t>
            </w:r>
          </w:p>
        </w:tc>
        <w:tc>
          <w:tcPr>
            <w:tcW w:type="dxa" w:w="30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Current Reality</w:t>
            </w:r>
          </w:p>
        </w:tc>
        <w:tc>
          <w:tcPr>
            <w:tcW w:type="dxa" w:w="40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Economic Cost</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Settlement latency</w:t>
            </w:r>
          </w:p>
        </w:tc>
        <w:tc>
          <w:tcPr>
            <w:tcW w:type="dxa" w:w="30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International payments settle in 2-5 days through correspondent banking chains</w:t>
            </w:r>
          </w:p>
        </w:tc>
        <w:tc>
          <w:tcPr>
            <w:tcW w:type="dxa" w:w="40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Working capital tied up in transit; trade finance costs elevated; cash flow management distorted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Verification overhead</w:t>
            </w:r>
          </w:p>
        </w:tc>
        <w:tc>
          <w:tcPr>
            <w:tcW w:type="dxa" w:w="30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KYC/AML compliance costs $50-500 per customer onboarding</w:t>
            </w:r>
          </w:p>
        </w:tc>
        <w:tc>
          <w:tcPr>
            <w:tcW w:type="dxa" w:w="40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Financial exclusion of low-value customers; access inequality structural</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Intermediation markup</w:t>
            </w:r>
          </w:p>
        </w:tc>
        <w:tc>
          <w:tcPr>
            <w:tcW w:type="dxa" w:w="30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Payment processing, FX conversion, and correspondent fees consume 3-8% of transaction value</w:t>
            </w:r>
          </w:p>
        </w:tc>
        <w:tc>
          <w:tcPr>
            <w:tcW w:type="dxa" w:w="40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Remittance costs devastate developing economy transfers; SME margins compressed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Credit opacity</w:t>
            </w:r>
          </w:p>
        </w:tc>
        <w:tc>
          <w:tcPr>
            <w:tcW w:type="dxa" w:w="30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Creditworthiness assessed through historical proxy data — past behavior, not current capacity</w:t>
            </w:r>
          </w:p>
        </w:tc>
        <w:tc>
          <w:tcPr>
            <w:tcW w:type="dxa" w:w="40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Credit misallocation; deserving borrowers excluded; risk models systematically biased</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Audit latency</w:t>
            </w:r>
          </w:p>
        </w:tc>
        <w:tc>
          <w:tcPr>
            <w:tcW w:type="dxa" w:w="30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Financial statements prepared quarterly or annually — systemic risk invisible between reporting periods</w:t>
            </w:r>
          </w:p>
        </w:tc>
        <w:tc>
          <w:tcPr>
            <w:tcW w:type="dxa" w:w="40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Fraud and instability accumulate undetected; regulatory response always reactive</w:t>
            </w:r>
          </w:p>
        </w:tc>
      </w:tr>
    </w:tbl>
    <w:p>
      <w:pPr>
        <w:spacing w:after="60" w:before="60"/>
      </w:pPr>
      <w:r>
        <w:t xml:space="preserve"/>
      </w:r>
    </w:p>
    <w:p>
      <w:pPr>
        <w:pBdr>
          <w:left w:val="single" w:color="2E6DA4" w:sz="6" w:space="8"/>
        </w:pBdr>
        <w:spacing w:after="160" w:before="160"/>
        <w:ind w:left="720" w:right="720"/>
      </w:pPr>
      <w:r>
        <w:rPr>
          <w:rFonts w:ascii="Arial" w:cs="Arial" w:eastAsia="Arial" w:hAnsi="Arial"/>
          <w:i/>
          <w:iCs/>
          <w:color w:val="2E6DA4"/>
          <w:sz w:val="24"/>
          <w:szCs w:val="24"/>
        </w:rPr>
        <w:t xml:space="preserve">The financial system does not fail because bankers are dishonest. It fails because the structure requires trust to be manufactured by intermediaries — and intermediaries are expensive, slow, and systematically incentivized toward opacity.</w:t>
      </w:r>
    </w:p>
    <w:p>
      <w:pPr>
        <w:pBdr>
          <w:bottom w:val="single" w:color="2E6DA4" w:sz="4" w:space="1"/>
        </w:pBdr>
        <w:spacing w:after="240" w:before="240"/>
      </w:pPr>
    </w:p>
    <w:p>
      <w:pPr>
        <w:pStyle w:val="Heading1"/>
        <w:spacing w:after="200" w:before="480"/>
      </w:pPr>
      <w:r>
        <w:rPr>
          <w:rFonts w:ascii="Arial" w:cs="Arial" w:eastAsia="Arial" w:hAnsi="Arial"/>
          <w:b/>
          <w:bCs/>
          <w:color w:val="1A3A5C"/>
          <w:sz w:val="34"/>
          <w:szCs w:val="34"/>
        </w:rPr>
        <w:t xml:space="preserve">2. The Velsanet Finance Architecture</w:t>
      </w:r>
    </w:p>
    <w:p>
      <w:pPr>
        <w:pStyle w:val="Heading2"/>
        <w:spacing w:after="160" w:before="320"/>
      </w:pPr>
      <w:r>
        <w:rPr>
          <w:rFonts w:ascii="Arial" w:cs="Arial" w:eastAsia="Arial" w:hAnsi="Arial"/>
          <w:b/>
          <w:bCs/>
          <w:color w:val="2E6DA4"/>
          <w:sz w:val="26"/>
          <w:szCs w:val="26"/>
        </w:rPr>
        <w:t xml:space="preserve">2.1 PAI — The Personal Financial Cognitive Layer</w:t>
      </w:r>
    </w:p>
    <w:p>
      <w:pPr>
        <w:spacing w:after="80" w:before="80"/>
      </w:pPr>
      <w:r>
        <w:rPr>
          <w:rFonts w:ascii="Arial" w:cs="Arial" w:eastAsia="Arial" w:hAnsi="Arial"/>
          <w:color w:val="222222"/>
          <w:sz w:val="22"/>
          <w:szCs w:val="22"/>
        </w:rPr>
        <w:t xml:space="preserve">In the Velsanet financial economy, PAI is the individual's sovereign financial intelligence. It integrates all financial accounts, cards, assets, liabilities, and transaction history into a single structural cognitive representation — owned entirely by the individual.</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13"/>
        <w:gridCol w:w="3813"/>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PAI Finance Function</w:t>
            </w:r>
          </w:p>
        </w:tc>
        <w:tc>
          <w:tcPr>
            <w:tcW w:type="dxa" w:w="30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What It Does</w:t>
            </w:r>
          </w:p>
        </w:tc>
        <w:tc>
          <w:tcPr>
            <w:tcW w:type="dxa" w:w="38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Financial Value</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Account integration</w:t>
            </w:r>
          </w:p>
        </w:tc>
        <w:tc>
          <w:tcPr>
            <w:tcW w:type="dxa" w:w="30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All bank accounts, cards, investment accounts, and digital assets automatically integrated at PAI level</w:t>
            </w:r>
          </w:p>
        </w:tc>
        <w:tc>
          <w:tcPr>
            <w:tcW w:type="dxa" w:w="38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Complete financial picture always current — no manual reconciliation, no delayed statements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Cash flow modeling</w:t>
            </w:r>
          </w:p>
        </w:tc>
        <w:tc>
          <w:tcPr>
            <w:tcW w:type="dxa" w:w="30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T-axis maintains immutable transaction record; C-axis models spending patterns and income trajectory</w:t>
            </w:r>
          </w:p>
        </w:tc>
        <w:tc>
          <w:tcPr>
            <w:tcW w:type="dxa" w:w="38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Real-time financial position always available; cash flow forecasting structural, not estimated</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Credit capacity assessment</w:t>
            </w:r>
          </w:p>
        </w:tc>
        <w:tc>
          <w:tcPr>
            <w:tcW w:type="dxa" w:w="30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Continuous cash flow data provides structural creditworthiness — not historical proxy</w:t>
            </w:r>
          </w:p>
        </w:tc>
        <w:tc>
          <w:tcPr>
            <w:tcW w:type="dxa" w:w="38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Credit decisions based on actual capacity, not credit score approximation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Financial intent generation</w:t>
            </w:r>
          </w:p>
        </w:tc>
        <w:tc>
          <w:tcPr>
            <w:tcW w:type="dxa" w:w="30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PAI generates structured financial intent — 'transfer 500,000 KRW to savings with tax-efficient categorization'</w:t>
            </w:r>
          </w:p>
        </w:tc>
        <w:tc>
          <w:tcPr>
            <w:tcW w:type="dxa" w:w="38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Financial AAI receives precise, contextualized intent — not a transaction request</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Risk profile maintenance</w:t>
            </w:r>
          </w:p>
        </w:tc>
        <w:tc>
          <w:tcPr>
            <w:tcW w:type="dxa" w:w="30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E-axis captures financial stress indicators; I-axis tracks financial goal alignment</w:t>
            </w:r>
          </w:p>
        </w:tc>
        <w:tc>
          <w:tcPr>
            <w:tcW w:type="dxa" w:w="38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Financial advice matched to actual risk tolerance and goal structure — not questionnaire response</w:t>
            </w:r>
          </w:p>
        </w:tc>
      </w:tr>
    </w:tbl>
    <w:p>
      <w:pPr>
        <w:spacing w:after="60" w:before="60"/>
      </w:pPr>
      <w:r>
        <w:t xml:space="preserve"/>
      </w:r>
    </w:p>
    <w:p>
      <w:pPr>
        <w:pStyle w:val="Heading2"/>
        <w:spacing w:after="160" w:before="320"/>
      </w:pPr>
      <w:r>
        <w:rPr>
          <w:rFonts w:ascii="Arial" w:cs="Arial" w:eastAsia="Arial" w:hAnsi="Arial"/>
          <w:b/>
          <w:bCs/>
          <w:color w:val="2E6DA4"/>
          <w:sz w:val="26"/>
          <w:szCs w:val="26"/>
        </w:rPr>
        <w:t xml:space="preserve">2.2 AAI — The Financial Transaction Guardian</w:t>
      </w:r>
    </w:p>
    <w:p>
      <w:pPr>
        <w:spacing w:after="80" w:before="80"/>
      </w:pPr>
      <w:r>
        <w:rPr>
          <w:rFonts w:ascii="Arial" w:cs="Arial" w:eastAsia="Arial" w:hAnsi="Arial"/>
          <w:color w:val="222222"/>
          <w:sz w:val="22"/>
          <w:szCs w:val="22"/>
        </w:rPr>
        <w:t xml:space="preserve">Financial AAI is the structural replacement for the entire intermediation layer of the current financial system. It performs — simultaneously and at network speed — the verification, compliance, and authorization functions that currently require banks, payment processors, compliance officers, and regulators.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13"/>
        <w:gridCol w:w="4013"/>
      </w:tblGrid>
      <w:tr>
        <w:trPr>
          <w:tblHeader/>
        </w:trPr>
        <w:tc>
          <w:tcPr>
            <w:tcW w:type="dxa" w:w="20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AAI Finance Role</w:t>
            </w:r>
          </w:p>
        </w:tc>
        <w:tc>
          <w:tcPr>
            <w:tcW w:type="dxa" w:w="30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Function</w:t>
            </w:r>
          </w:p>
        </w:tc>
        <w:tc>
          <w:tcPr>
            <w:tcW w:type="dxa" w:w="40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Replaces</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Identity verification</w:t>
            </w:r>
          </w:p>
        </w:tc>
        <w:tc>
          <w:tcPr>
            <w:tcW w:type="dxa" w:w="30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Structural identity conformance — no KYC documentation process</w:t>
            </w:r>
          </w:p>
        </w:tc>
        <w:tc>
          <w:tcPr>
            <w:tcW w:type="dxa" w:w="40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KYC compliance officers and verification services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AML screening</w:t>
            </w:r>
          </w:p>
        </w:tc>
        <w:tc>
          <w:tcPr>
            <w:tcW w:type="dxa" w:w="30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Transaction pattern validation against structural AML parameters at Q4 layer</w:t>
            </w:r>
          </w:p>
        </w:tc>
        <w:tc>
          <w:tcPr>
            <w:tcW w:type="dxa" w:w="40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AML compliance systems and correspondent bank screening</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Credit authorization</w:t>
            </w:r>
          </w:p>
        </w:tc>
        <w:tc>
          <w:tcPr>
            <w:tcW w:type="dxa" w:w="30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Real-time PAI cash flow assessment — structural credit decision</w:t>
            </w:r>
          </w:p>
        </w:tc>
        <w:tc>
          <w:tcPr>
            <w:tcW w:type="dxa" w:w="40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Credit bureaus and underwriting departments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Regulatory compliance</w:t>
            </w:r>
          </w:p>
        </w:tc>
        <w:tc>
          <w:tcPr>
            <w:tcW w:type="dxa" w:w="30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All financial regulations encoded structurally at Q4 sovereign layer — automatic compliance</w:t>
            </w:r>
          </w:p>
        </w:tc>
        <w:tc>
          <w:tcPr>
            <w:tcW w:type="dxa" w:w="40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Compliance departments and regulatory reporting systems</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Tax validation</w:t>
            </w:r>
          </w:p>
        </w:tc>
        <w:tc>
          <w:tcPr>
            <w:tcW w:type="dxa" w:w="30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Transaction categorization and tax treatment applied structurally at point of transaction</w:t>
            </w:r>
          </w:p>
        </w:tc>
        <w:tc>
          <w:tcPr>
            <w:tcW w:type="dxa" w:w="40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Tax advisors and annual reporting processes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Fraud detection</w:t>
            </w:r>
          </w:p>
        </w:tc>
        <w:tc>
          <w:tcPr>
            <w:tcW w:type="dxa" w:w="30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Intent-authenticated transactions — Ghost Data cannot produce financial effects</w:t>
            </w:r>
          </w:p>
        </w:tc>
        <w:tc>
          <w:tcPr>
            <w:tcW w:type="dxa" w:w="40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Fraud detection systems and chargeback processes</w:t>
            </w:r>
          </w:p>
        </w:tc>
      </w:tr>
    </w:tbl>
    <w:p>
      <w:pPr>
        <w:spacing w:after="60" w:before="60"/>
      </w:pPr>
      <w:r>
        <w:t xml:space="preserve"/>
      </w:r>
    </w:p>
    <w:p>
      <w:pPr>
        <w:pBdr>
          <w:left w:val="single" w:color="2E6DA4" w:sz="6" w:space="8"/>
        </w:pBdr>
        <w:spacing w:after="160" w:before="160"/>
        <w:ind w:left="720" w:right="720"/>
      </w:pPr>
      <w:r>
        <w:rPr>
          <w:rFonts w:ascii="Arial" w:cs="Arial" w:eastAsia="Arial" w:hAnsi="Arial"/>
          <w:i/>
          <w:iCs/>
          <w:color w:val="2E6DA4"/>
          <w:sz w:val="24"/>
          <w:szCs w:val="24"/>
        </w:rPr>
        <w:t xml:space="preserve">Financial AAI does not add a compliance layer. It makes compliance a structural property of every transaction — present before execution, not checked after the fact.</w:t>
      </w:r>
    </w:p>
    <w:p>
      <w:pPr>
        <w:spacing w:after="60" w:before="60"/>
      </w:pPr>
      <w:r>
        <w:t xml:space="preserve"/>
      </w:r>
    </w:p>
    <w:p>
      <w:pPr>
        <w:pStyle w:val="Heading2"/>
        <w:spacing w:after="160" w:before="320"/>
      </w:pPr>
      <w:r>
        <w:rPr>
          <w:rFonts w:ascii="Arial" w:cs="Arial" w:eastAsia="Arial" w:hAnsi="Arial"/>
          <w:b/>
          <w:bCs/>
          <w:color w:val="2E6DA4"/>
          <w:sz w:val="26"/>
          <w:szCs w:val="26"/>
        </w:rPr>
        <w:t xml:space="preserve">2.3 AsAI — The Financial Execution Layer</w:t>
      </w:r>
    </w:p>
    <w:p>
      <w:pPr>
        <w:spacing w:after="80" w:before="80"/>
      </w:pPr>
      <w:r>
        <w:rPr>
          <w:rFonts w:ascii="Arial" w:cs="Arial" w:eastAsia="Arial" w:hAnsi="Arial"/>
          <w:color w:val="222222"/>
          <w:sz w:val="22"/>
          <w:szCs w:val="22"/>
        </w:rPr>
        <w:t xml:space="preserve">Financial AsAI encompasses every entity that executes financial transactions: banks, payment processors, investment platforms, insurance companies, and lending institutions. In the Velsanet economy, these entities receive only AAI-validated, pre-authorized financial intents — eliminating the overhead of independent verification.</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AsAI Finance Provider</w:t>
            </w:r>
          </w:p>
        </w:tc>
        <w:tc>
          <w:tcPr>
            <w:tcW w:type="dxa" w:w="6626"/>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What Changes</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Banks</w:t>
            </w:r>
          </w:p>
        </w:tc>
        <w:tc>
          <w:tcPr>
            <w:tcW w:type="dxa" w:w="66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Receive AAI-validated payment instructions. Settlement executed at network speed — no correspondent chain. KYC completed at PAI level. Compliance verified structurally before instruction arrival.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Payment processors</w:t>
            </w:r>
          </w:p>
        </w:tc>
        <w:tc>
          <w:tcPr>
            <w:tcW w:type="dxa" w:w="6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Transaction volume increases dramatically as friction eliminated. Margin per transaction falls — volume compensates. Fraud losses approach zero — Ghost Data cannot execute.</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Lenders</w:t>
            </w:r>
          </w:p>
        </w:tc>
        <w:tc>
          <w:tcPr>
            <w:tcW w:type="dxa" w:w="66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Credit decisions based on PAI cash flow data — real-time, structural, consent-governed. Onboarding cost approaches zero. Default prediction dramatically improved.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Insurers</w:t>
            </w:r>
          </w:p>
        </w:tc>
        <w:tc>
          <w:tcPr>
            <w:tcW w:type="dxa" w:w="6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Risk assessment based on continuous PAI behavioral data. Premium calculation real-time. Claims triggered automatically by AAI-verified events. Fraud structurally impossible.</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Investment platforms</w:t>
            </w:r>
          </w:p>
        </w:tc>
        <w:tc>
          <w:tcPr>
            <w:tcW w:type="dxa" w:w="66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Portfolio management aligned with PAI financial intent and risk profile. Execution at network speed. Tax treatment applied structurally at transaction point.</w:t>
            </w:r>
          </w:p>
        </w:tc>
      </w:tr>
    </w:tbl>
    <w:p>
      <w:pPr>
        <w:pBdr>
          <w:bottom w:val="single" w:color="2E6DA4" w:sz="4" w:space="1"/>
        </w:pBdr>
        <w:spacing w:after="240" w:before="240"/>
      </w:pPr>
    </w:p>
    <w:p>
      <w:pPr>
        <w:pStyle w:val="Heading1"/>
        <w:spacing w:after="200" w:before="480"/>
      </w:pPr>
      <w:r>
        <w:rPr>
          <w:rFonts w:ascii="Arial" w:cs="Arial" w:eastAsia="Arial" w:hAnsi="Arial"/>
          <w:b/>
          <w:bCs/>
          <w:color w:val="1A3A5C"/>
          <w:sz w:val="34"/>
          <w:szCs w:val="34"/>
        </w:rPr>
        <w:t xml:space="preserve">3. The Payments Revolution</w:t>
      </w:r>
    </w:p>
    <w:p>
      <w:pPr>
        <w:pStyle w:val="Heading2"/>
        <w:spacing w:after="160" w:before="320"/>
      </w:pPr>
      <w:r>
        <w:rPr>
          <w:rFonts w:ascii="Arial" w:cs="Arial" w:eastAsia="Arial" w:hAnsi="Arial"/>
          <w:b/>
          <w:bCs/>
          <w:color w:val="2E6DA4"/>
          <w:sz w:val="26"/>
          <w:szCs w:val="26"/>
        </w:rPr>
        <w:t xml:space="preserve">3.1 From Settlement to Structural Execution</w:t>
      </w:r>
    </w:p>
    <w:p>
      <w:pPr>
        <w:spacing w:after="80" w:before="80"/>
      </w:pPr>
      <w:r>
        <w:rPr>
          <w:rFonts w:ascii="Arial" w:cs="Arial" w:eastAsia="Arial" w:hAnsi="Arial"/>
          <w:color w:val="222222"/>
          <w:sz w:val="22"/>
          <w:szCs w:val="22"/>
        </w:rPr>
        <w:t xml:space="preserve">The current global payments system is a layered hierarchy of trust intermediaries: card networks, correspondent banks, central bank settlement systems, and cross-border messaging protocols. Each layer adds cost and latency because each layer must independently verify what the previous layer claimed.</w:t>
      </w:r>
    </w:p>
    <w:p>
      <w:pPr>
        <w:spacing w:after="60" w:before="60"/>
      </w:pPr>
      <w:r>
        <w:t xml:space="preserve"/>
      </w:r>
    </w:p>
    <w:p>
      <w:pPr>
        <w:spacing w:after="80" w:before="80"/>
      </w:pPr>
      <w:r>
        <w:rPr>
          <w:rFonts w:ascii="Arial" w:cs="Arial" w:eastAsia="Arial" w:hAnsi="Arial"/>
          <w:color w:val="222222"/>
          <w:sz w:val="22"/>
          <w:szCs w:val="22"/>
        </w:rPr>
        <w:t xml:space="preserve">In the Velsanet financial economy, this entire hierarchy collapses to a single structural event: PAI generates intent, AAI validates, AsAI executes. The correspondent chain does not exist because trust is not manufactured by intermediaries — it is a structural property of the transaction itself.</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913"/>
        <w:gridCol w:w="3913"/>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Payment Type</w:t>
            </w:r>
          </w:p>
        </w:tc>
        <w:tc>
          <w:tcPr>
            <w:tcW w:type="dxa" w:w="29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Current Cost/Speed</w:t>
            </w:r>
          </w:p>
        </w:tc>
        <w:tc>
          <w:tcPr>
            <w:tcW w:type="dxa" w:w="39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Velsanet Cost/Speed</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Domestic retail payment</w:t>
            </w:r>
          </w:p>
        </w:tc>
        <w:tc>
          <w:tcPr>
            <w:tcW w:type="dxa" w:w="29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0.5-2% fee, same-day to next-day settlement</w:t>
            </w:r>
          </w:p>
        </w:tc>
        <w:tc>
          <w:tcPr>
            <w:tcW w:type="dxa" w:w="39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Basis point fee, network-speed execution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Cross-border transfer</w:t>
            </w:r>
          </w:p>
        </w:tc>
        <w:tc>
          <w:tcPr>
            <w:tcW w:type="dxa" w:w="29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3-8% fee, 2-5 day settlement</w:t>
            </w:r>
          </w:p>
        </w:tc>
        <w:tc>
          <w:tcPr>
            <w:tcW w:type="dxa" w:w="39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Structural Q4 authorization fee, sub-second execution</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B2B invoice settlement</w:t>
            </w:r>
          </w:p>
        </w:tc>
        <w:tc>
          <w:tcPr>
            <w:tcW w:type="dxa" w:w="29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30-90 day payment terms, factoring costs</w:t>
            </w:r>
          </w:p>
        </w:tc>
        <w:tc>
          <w:tcPr>
            <w:tcW w:type="dxa" w:w="39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AAI-validated invoice, AsAI execution on delivery confirmation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Remittance (developing economies)</w:t>
            </w:r>
          </w:p>
        </w:tc>
        <w:tc>
          <w:tcPr>
            <w:tcW w:type="dxa" w:w="29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5-10% fee, 1-3 day delivery</w:t>
            </w:r>
          </w:p>
        </w:tc>
        <w:tc>
          <w:tcPr>
            <w:tcW w:type="dxa" w:w="39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Structural fee, immediate execution — financial inclusion enabled</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Micropayment</w:t>
            </w:r>
          </w:p>
        </w:tc>
        <w:tc>
          <w:tcPr>
            <w:tcW w:type="dxa" w:w="29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Economically unviable below ~$1 due to fixed processing costs</w:t>
            </w:r>
          </w:p>
        </w:tc>
        <w:tc>
          <w:tcPr>
            <w:tcW w:type="dxa" w:w="39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Structurally viable at any value — fixed overhead eliminated</w:t>
            </w:r>
          </w:p>
        </w:tc>
      </w:tr>
    </w:tbl>
    <w:p>
      <w:pPr>
        <w:spacing w:after="60" w:before="60"/>
      </w:pPr>
      <w:r>
        <w:t xml:space="preserve"/>
      </w:r>
    </w:p>
    <w:p>
      <w:pPr>
        <w:pStyle w:val="Heading2"/>
        <w:spacing w:after="160" w:before="320"/>
      </w:pPr>
      <w:r>
        <w:rPr>
          <w:rFonts w:ascii="Arial" w:cs="Arial" w:eastAsia="Arial" w:hAnsi="Arial"/>
          <w:b/>
          <w:bCs/>
          <w:color w:val="2E6DA4"/>
          <w:sz w:val="26"/>
          <w:szCs w:val="26"/>
        </w:rPr>
        <w:t xml:space="preserve">3.2 Financial Inclusion as Structural Consequence</w:t>
      </w:r>
    </w:p>
    <w:p>
      <w:pPr>
        <w:spacing w:after="80" w:before="80"/>
      </w:pPr>
      <w:r>
        <w:rPr>
          <w:rFonts w:ascii="Arial" w:cs="Arial" w:eastAsia="Arial" w:hAnsi="Arial"/>
          <w:color w:val="222222"/>
          <w:sz w:val="22"/>
          <w:szCs w:val="22"/>
        </w:rPr>
        <w:t xml:space="preserve">Financial exclusion is an economic problem. In the current system, onboarding a new customer costs $50-500 in KYC/AML compliance. A customer whose lifetime expected revenue is below this threshold is not economically viable to serve.</w:t>
      </w:r>
    </w:p>
    <w:p>
      <w:pPr>
        <w:spacing w:after="60" w:before="60"/>
      </w:pPr>
      <w:r>
        <w:t xml:space="preserve"/>
      </w:r>
    </w:p>
    <w:p>
      <w:pPr>
        <w:spacing w:after="80" w:before="80"/>
      </w:pPr>
      <w:r>
        <w:rPr>
          <w:rFonts w:ascii="Arial" w:cs="Arial" w:eastAsia="Arial" w:hAnsi="Arial"/>
          <w:color w:val="222222"/>
          <w:sz w:val="22"/>
          <w:szCs w:val="22"/>
        </w:rPr>
        <w:t xml:space="preserve">In the Velsanet economy, identity verification is structural — the cost approaches zero. The unbanked gain access not because of regulatory mandate or social program, but because the structural barrier that made serving them uneconomic has been eliminated.</w:t>
      </w:r>
    </w:p>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1.4 billion unbanked adults globally — structural access enabled at near-zero marginal cost</w:t>
      </w:r>
    </w:p>
    <w:p>
      <w:pPr>
        <w:pStyle w:val="ListParagraph"/>
        <w:numPr>
          <w:ilvl w:val="0"/>
          <w:numId w:val="2"/>
        </w:numPr>
        <w:spacing w:after="60" w:before="60"/>
      </w:pPr>
      <w:r>
        <w:rPr>
          <w:rFonts w:ascii="Arial" w:cs="Arial" w:eastAsia="Arial" w:hAnsi="Arial"/>
          <w:sz w:val="22"/>
          <w:szCs w:val="22"/>
        </w:rPr>
        <w:t xml:space="preserve">Remittance corridors: $800 billion annually transferred by migrant workers — 5-10% fee elimination represents $40-80 billion returned to developing economies</w:t>
      </w:r>
    </w:p>
    <w:p>
      <w:pPr>
        <w:pStyle w:val="ListParagraph"/>
        <w:numPr>
          <w:ilvl w:val="0"/>
          <w:numId w:val="2"/>
        </w:numPr>
        <w:spacing w:after="60" w:before="60"/>
      </w:pPr>
      <w:r>
        <w:rPr>
          <w:rFonts w:ascii="Arial" w:cs="Arial" w:eastAsia="Arial" w:hAnsi="Arial"/>
          <w:sz w:val="22"/>
          <w:szCs w:val="22"/>
        </w:rPr>
        <w:t xml:space="preserve">SME credit access: Structural cash flow data eliminates the information asymmetry that currently prices small business credit at 3-5x large corporate rates</w:t>
      </w:r>
    </w:p>
    <w:p>
      <w:pPr>
        <w:pStyle w:val="ListParagraph"/>
        <w:numPr>
          <w:ilvl w:val="0"/>
          <w:numId w:val="2"/>
        </w:numPr>
        <w:spacing w:after="60" w:before="60"/>
      </w:pPr>
      <w:r>
        <w:rPr>
          <w:rFonts w:ascii="Arial" w:cs="Arial" w:eastAsia="Arial" w:hAnsi="Arial"/>
          <w:sz w:val="22"/>
          <w:szCs w:val="22"/>
        </w:rPr>
        <w:t xml:space="preserve">Agricultural finance: Seasonal cash flow patterns structurally visible — crop finance available to smallholders currently excluded from formal credit</w:t>
      </w:r>
    </w:p>
    <w:p>
      <w:pPr>
        <w:pBdr>
          <w:bottom w:val="single" w:color="2E6DA4" w:sz="4" w:space="1"/>
        </w:pBdr>
        <w:spacing w:after="240" w:before="240"/>
      </w:pPr>
    </w:p>
    <w:p>
      <w:pPr>
        <w:pStyle w:val="Heading1"/>
        <w:spacing w:after="200" w:before="480"/>
      </w:pPr>
      <w:r>
        <w:rPr>
          <w:rFonts w:ascii="Arial" w:cs="Arial" w:eastAsia="Arial" w:hAnsi="Arial"/>
          <w:b/>
          <w:bCs/>
          <w:color w:val="1A3A5C"/>
          <w:sz w:val="34"/>
          <w:szCs w:val="34"/>
        </w:rPr>
        <w:t xml:space="preserve">4. The Capital Markets Transformation</w:t>
      </w:r>
    </w:p>
    <w:p>
      <w:pPr>
        <w:pStyle w:val="Heading2"/>
        <w:spacing w:after="160" w:before="320"/>
      </w:pPr>
      <w:r>
        <w:rPr>
          <w:rFonts w:ascii="Arial" w:cs="Arial" w:eastAsia="Arial" w:hAnsi="Arial"/>
          <w:b/>
          <w:bCs/>
          <w:color w:val="2E6DA4"/>
          <w:sz w:val="26"/>
          <w:szCs w:val="26"/>
        </w:rPr>
        <w:t xml:space="preserve">4.1 Structural Settlement and Continuous Audit</w:t>
      </w:r>
    </w:p>
    <w:p>
      <w:pPr>
        <w:spacing w:after="80" w:before="80"/>
      </w:pPr>
      <w:r>
        <w:rPr>
          <w:rFonts w:ascii="Arial" w:cs="Arial" w:eastAsia="Arial" w:hAnsi="Arial"/>
          <w:color w:val="222222"/>
          <w:sz w:val="22"/>
          <w:szCs w:val="22"/>
        </w:rPr>
        <w:t xml:space="preserve">Capital markets operate on a fundamental information lag: financial statements are prepared periodically, audited retrospectively, and published with delay. Investors make decisions based on information that is already weeks or months old. Systemic risk accumulates between reporting periods.</w:t>
      </w:r>
    </w:p>
    <w:p>
      <w:pPr>
        <w:spacing w:after="60" w:before="60"/>
      </w:pPr>
      <w:r>
        <w:t xml:space="preserve"/>
      </w:r>
    </w:p>
    <w:p>
      <w:pPr>
        <w:spacing w:after="80" w:before="80"/>
      </w:pPr>
      <w:r>
        <w:rPr>
          <w:rFonts w:ascii="Arial" w:cs="Arial" w:eastAsia="Arial" w:hAnsi="Arial"/>
          <w:color w:val="222222"/>
          <w:sz w:val="22"/>
          <w:szCs w:val="22"/>
        </w:rPr>
        <w:t xml:space="preserve">In the Velsanet financial economy, every entity's financial position is structurally current — because every transaction generates an automatic accounting entry and AAI validates every financial event in real time.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13"/>
        <w:gridCol w:w="3813"/>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Capital Market Function</w:t>
            </w:r>
          </w:p>
        </w:tc>
        <w:tc>
          <w:tcPr>
            <w:tcW w:type="dxa" w:w="30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Current Form</w:t>
            </w:r>
          </w:p>
        </w:tc>
        <w:tc>
          <w:tcPr>
            <w:tcW w:type="dxa" w:w="3813"/>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Velsanet Form</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Financial reporting</w:t>
            </w:r>
          </w:p>
        </w:tc>
        <w:tc>
          <w:tcPr>
            <w:tcW w:type="dxa" w:w="30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Quarterly statements, annual audit</w:t>
            </w:r>
          </w:p>
        </w:tc>
        <w:tc>
          <w:tcPr>
            <w:tcW w:type="dxa" w:w="38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Continuous structural accounting — always current, always verified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Credit rating</w:t>
            </w:r>
          </w:p>
        </w:tc>
        <w:tc>
          <w:tcPr>
            <w:tcW w:type="dxa" w:w="30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Periodic assessment based on historical data</w:t>
            </w:r>
          </w:p>
        </w:tc>
        <w:tc>
          <w:tcPr>
            <w:tcW w:type="dxa" w:w="38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Structural real-time rating based on continuous PAI financial data</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Trade settlement</w:t>
            </w:r>
          </w:p>
        </w:tc>
        <w:tc>
          <w:tcPr>
            <w:tcW w:type="dxa" w:w="30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T+2 equity settlement, T+1 government bonds</w:t>
            </w:r>
          </w:p>
        </w:tc>
        <w:tc>
          <w:tcPr>
            <w:tcW w:type="dxa" w:w="38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Structural execution — settlement at transaction time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Derivatives clearing</w:t>
            </w:r>
          </w:p>
        </w:tc>
        <w:tc>
          <w:tcPr>
            <w:tcW w:type="dxa" w:w="30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Central counterparty clearing with margin requirements</w:t>
            </w:r>
          </w:p>
        </w:tc>
        <w:tc>
          <w:tcPr>
            <w:tcW w:type="dxa" w:w="38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Structural counterparty validation — margin determined by real-time AAI risk assessment</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IPO/capital raising</w:t>
            </w:r>
          </w:p>
        </w:tc>
        <w:tc>
          <w:tcPr>
            <w:tcW w:type="dxa" w:w="30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Prospectus-based disclosure, underwriter verification</w:t>
            </w:r>
          </w:p>
        </w:tc>
        <w:tc>
          <w:tcPr>
            <w:tcW w:type="dxa" w:w="3813"/>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Structural financial history — investor due diligence replaced by AAI-verified data access</w:t>
            </w:r>
          </w:p>
        </w:tc>
      </w:tr>
    </w:tbl>
    <w:p>
      <w:pPr>
        <w:spacing w:after="60" w:before="60"/>
      </w:pPr>
      <w:r>
        <w:t xml:space="preserve"/>
      </w:r>
    </w:p>
    <w:p>
      <w:pPr>
        <w:pStyle w:val="Heading2"/>
        <w:spacing w:after="160" w:before="320"/>
      </w:pPr>
      <w:r>
        <w:rPr>
          <w:rFonts w:ascii="Arial" w:cs="Arial" w:eastAsia="Arial" w:hAnsi="Arial"/>
          <w:b/>
          <w:bCs/>
          <w:color w:val="2E6DA4"/>
          <w:sz w:val="26"/>
          <w:szCs w:val="26"/>
        </w:rPr>
        <w:t xml:space="preserve">4.2 New Financial Business Models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Business Model</w:t>
            </w:r>
          </w:p>
        </w:tc>
        <w:tc>
          <w:tcPr>
            <w:tcW w:type="dxa" w:w="6226"/>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Real-time credit</w:t>
            </w:r>
          </w:p>
        </w:tc>
        <w:tc>
          <w:tcPr>
            <w:tcW w:type="dxa" w:w="62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Lending decisions based on continuous PAI cash flow — credit extended at point of need, repaid automatically when cash flow allows. No application, no approval delay.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Intent-based insurance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Insurance coverage activated by PAI intent — travel insurance triggers when travel intent detected, not when policy is purchased. Premium charged only for actual coverage period.</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Structural investment matching</w:t>
            </w:r>
          </w:p>
        </w:tc>
        <w:tc>
          <w:tcPr>
            <w:tcW w:type="dxa" w:w="62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Investment opportunities matched to PAI financial intent and risk profile. Capital allocation optimized at population scale — matching savers with investments structurally aligned to their goals.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Continuous tax optimization</w:t>
            </w:r>
          </w:p>
        </w:tc>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Tax treatment applied structurally at each transaction — no year-end optimization, no missed deductions, no compliance risk.</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Financial health cooperative</w:t>
            </w:r>
          </w:p>
        </w:tc>
        <w:tc>
          <w:tcPr>
            <w:tcW w:type="dxa" w:w="62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0"/>
                <w:szCs w:val="20"/>
              </w:rPr>
              <w:t xml:space="preserve">Individuals pool anonymized PAI financial data under AAI governance. Collective data used to negotiate better terms with financial AsAI providers — group purchasing power for individuals.</w:t>
            </w:r>
          </w:p>
        </w:tc>
      </w:tr>
    </w:tbl>
    <w:p>
      <w:pPr>
        <w:pBdr>
          <w:bottom w:val="single" w:color="2E6DA4" w:sz="4" w:space="1"/>
        </w:pBdr>
        <w:spacing w:after="240" w:before="240"/>
      </w:pPr>
    </w:p>
    <w:p>
      <w:pPr>
        <w:pStyle w:val="Heading1"/>
        <w:spacing w:after="200" w:before="480"/>
      </w:pPr>
      <w:r>
        <w:rPr>
          <w:rFonts w:ascii="Arial" w:cs="Arial" w:eastAsia="Arial" w:hAnsi="Arial"/>
          <w:b/>
          <w:bCs/>
          <w:color w:val="1A3A5C"/>
          <w:sz w:val="34"/>
          <w:szCs w:val="34"/>
        </w:rPr>
        <w:t xml:space="preserve">5. Conclusion</w:t>
      </w:r>
    </w:p>
    <w:p>
      <w:pPr>
        <w:spacing w:after="80" w:before="80"/>
      </w:pPr>
      <w:r>
        <w:rPr>
          <w:rFonts w:ascii="Arial" w:cs="Arial" w:eastAsia="Arial" w:hAnsi="Arial"/>
          <w:color w:val="222222"/>
          <w:sz w:val="22"/>
          <w:szCs w:val="22"/>
        </w:rPr>
        <w:t xml:space="preserve">The financial system's fundamental purpose is to allocate capital efficiently and enable exchange at scale. Its current form achieves this through an architecture of managed distrust — expensive intermediaries that manufacture the trust the system cannot generate structurally.</w:t>
      </w:r>
    </w:p>
    <w:p>
      <w:pPr>
        <w:spacing w:after="60" w:before="60"/>
      </w:pPr>
      <w:r>
        <w:t xml:space="preserve"/>
      </w:r>
    </w:p>
    <w:p>
      <w:pPr>
        <w:spacing w:after="80" w:before="80"/>
      </w:pPr>
      <w:r>
        <w:rPr>
          <w:rFonts w:ascii="Arial" w:cs="Arial" w:eastAsia="Arial" w:hAnsi="Arial"/>
          <w:color w:val="222222"/>
          <w:sz w:val="22"/>
          <w:szCs w:val="22"/>
        </w:rPr>
        <w:t xml:space="preserve">Velsanet eliminates the need for managed distrust by making trust a structural property of every transaction. PAI provides sovereign financial identity and real-time cash flow data. AAI validates every transaction against applicable law, regulation, and ethics before execution. AsAI executes at network speed with automatic accounting and settlement.</w:t>
      </w:r>
    </w:p>
    <w:p>
      <w:pPr>
        <w:spacing w:after="60" w:before="60"/>
      </w:pPr>
      <w:r>
        <w:t xml:space="preserve"/>
      </w:r>
    </w:p>
    <w:p>
      <w:pPr>
        <w:spacing w:after="80" w:before="80"/>
      </w:pPr>
      <w:r>
        <w:rPr>
          <w:rFonts w:ascii="Arial" w:cs="Arial" w:eastAsia="Arial" w:hAnsi="Arial"/>
          <w:color w:val="222222"/>
          <w:sz w:val="22"/>
          <w:szCs w:val="22"/>
        </w:rPr>
        <w:t xml:space="preserve">The result is not a better bank. It is a financial economy in which the infrastructure cost of trust has been reduced to near zero — and the economic gains from that reduction flow to individuals, businesses, and economies that the current system systematically excludes.</w:t>
      </w:r>
    </w:p>
    <w:p>
      <w:pPr>
        <w:spacing w:after="60" w:before="60"/>
      </w:pPr>
      <w:r>
        <w:t xml:space="preserve"/>
      </w:r>
    </w:p>
    <w:p>
      <w:pPr>
        <w:pBdr>
          <w:left w:val="single" w:color="2E6DA4" w:sz="6" w:space="8"/>
        </w:pBdr>
        <w:spacing w:after="160" w:before="160"/>
        <w:ind w:left="720" w:right="720"/>
      </w:pPr>
      <w:r>
        <w:rPr>
          <w:rFonts w:ascii="Arial" w:cs="Arial" w:eastAsia="Arial" w:hAnsi="Arial"/>
          <w:i/>
          <w:iCs/>
          <w:color w:val="2E6DA4"/>
          <w:sz w:val="24"/>
          <w:szCs w:val="24"/>
        </w:rPr>
        <w:t xml:space="preserve">In the Velsanet financial economy, the question is not whether you can be trusted. The question is whether your intent conforms to structure. If it does, execution is immediate. If it does not, execution is impossible.</w:t>
      </w:r>
    </w:p>
    <w:p>
      <w:pPr>
        <w:pBdr>
          <w:bottom w:val="single" w:color="2E6DA4" w:sz="4" w:space="1"/>
        </w:pBdr>
        <w:spacing w:after="240" w:before="240"/>
      </w:pPr>
    </w:p>
    <w:p>
      <w:pPr>
        <w:spacing w:after="80" w:before="400"/>
        <w:jc w:val="center"/>
      </w:pPr>
      <w:r>
        <w:rPr>
          <w:rFonts w:ascii="Arial" w:cs="Arial" w:eastAsia="Arial" w:hAnsi="Arial"/>
          <w:color w:val="888888"/>
          <w:sz w:val="18"/>
          <w:szCs w:val="18"/>
        </w:rPr>
        <w:t xml:space="preserve">Changho Song  ·  joa337@gmail.com</w:t>
      </w:r>
    </w:p>
    <w:p>
      <w:pPr>
        <w:spacing w:after="80" w:before="0"/>
        <w:jc w:val="center"/>
      </w:pPr>
      <w:r>
        <w:rPr>
          <w:rFonts w:ascii="Arial" w:cs="Arial" w:eastAsia="Arial" w:hAnsi="Arial"/>
          <w:color w:val="888888"/>
          <w:sz w:val="18"/>
          <w:szCs w:val="18"/>
        </w:rPr>
        <w:t xml:space="preserve">github.com/joa337/velsanet-whitepapers</w:t>
      </w:r>
    </w:p>
    <w:p>
      <w:pPr>
        <w:spacing w:after="0" w:before="0"/>
        <w:jc w:val="center"/>
      </w:pPr>
      <w:r>
        <w:rPr>
          <w:rFonts w:ascii="Arial" w:cs="Arial" w:eastAsia="Arial" w:hAnsi="Arial"/>
          <w:color w:val="AAAAAA"/>
          <w:sz w:val="18"/>
          <w:szCs w:val="18"/>
        </w:rPr>
        <w:t xml:space="preserve">April 2026  ·  Velsanet White Paper #WP-ECO-07</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