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#WP-ECO-07</w:t>
      </w:r>
    </w:p>
    <w:p>
      <w:pPr>
        <w:pBdr>
          <w:bottom w:val="single" w:color="2E6DA4" w:sz="8" w:space="4"/>
        </w:pBdr>
        <w:spacing w:after="0" w:before="200"/>
        <w:jc w:val="center"/>
      </w:pPr>
      <w:r>
        <w:rPr>
          <w:rFonts w:ascii="Arial" w:cs="Arial" w:eastAsia="Arial" w:hAnsi="Arial"/>
          <w:b/>
          <w:bCs/>
          <w:color w:val="2E6DA4"/>
          <w:sz w:val="44"/>
          <w:szCs w:val="44"/>
        </w:rPr>
        <w:t xml:space="preserve">The Finance Economy</w:t>
      </w:r>
    </w:p>
    <w:p>
      <w:pPr>
        <w:spacing w:after="600" w:before="240"/>
        <w:jc w:val="center"/>
      </w:pPr>
      <w:r>
        <w:rPr>
          <w:rFonts w:ascii="Arial" w:cs="Arial" w:eastAsia="Arial" w:hAnsi="Arial"/>
          <w:color w:val="444444"/>
          <w:sz w:val="26"/>
          <w:szCs w:val="26"/>
        </w:rPr>
        <w:t xml:space="preserve">How Velsanet Transforms Banking, Payments, and Capital Through Structural Trust and Sovereign Value</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Financial System's Structural Tensions</w:t>
      </w:r>
    </w:p>
    <w:p>
      <w:pPr>
        <w:pStyle w:val="Heading2"/>
        <w:spacing w:after="160" w:before="320"/>
      </w:pPr>
      <w:r>
        <w:rPr>
          <w:rFonts w:ascii="Arial" w:cs="Arial" w:eastAsia="Arial" w:hAnsi="Arial"/>
          <w:b/>
          <w:bCs/>
          <w:color w:val="2E6DA4"/>
          <w:sz w:val="26"/>
          <w:szCs w:val="26"/>
        </w:rPr>
        <w:t xml:space="preserve">1.1 A System Built on Managed Distrust</w:t>
      </w:r>
    </w:p>
    <w:p>
      <w:pPr>
        <w:spacing w:after="80" w:before="80"/>
      </w:pPr>
      <w:r>
        <w:rPr>
          <w:rFonts w:ascii="Arial" w:cs="Arial" w:eastAsia="Arial" w:hAnsi="Arial"/>
          <w:color w:val="222222"/>
          <w:sz w:val="22"/>
          <w:szCs w:val="22"/>
        </w:rPr>
        <w:t xml:space="preserve">The modern financial system is an elaborate architecture for managing distrust. Banks exist because counterparties cannot trust each other directly. Settlement systems exist because banks cannot trust each other's records. Regulators exist because markets cannot trust participants to self-govern. Auditors exist because stakeholders cannot trust management's representations.</w:t>
      </w:r>
    </w:p>
    <w:p>
      <w:pPr>
        <w:spacing w:after="60" w:before="60"/>
      </w:pPr>
      <w:r>
        <w:t xml:space="preserve"/>
      </w:r>
    </w:p>
    <w:p>
      <w:pPr>
        <w:spacing w:after="80" w:before="80"/>
      </w:pPr>
      <w:r>
        <w:rPr>
          <w:rFonts w:ascii="Arial" w:cs="Arial" w:eastAsia="Arial" w:hAnsi="Arial"/>
          <w:color w:val="222222"/>
          <w:sz w:val="22"/>
          <w:szCs w:val="22"/>
        </w:rPr>
        <w:t xml:space="preserve">Each layer of intermediation adds cost, latency, and opacity. The system works — but at enormous friction. Global payment settlement takes days. Cross-border transactions cost 5-7% in fees. Small businesses cannot access credit because verification costs exceed loan value. Billions of people remain unbanked because onboarding cost exceeds projected revenue.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Tension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Economic Cost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Settlement latency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International payments settle in 2-5 days through correspondent banking chains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Working capital tied up in transit; trade finance costs elevated; cash flow management distorted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Verification overhead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KYC/AML compliance costs $50-500 per customer onboarding</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exclusion of low-value customers; access inequality structural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Intermediation markup</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Payment processing, FX conversion, and correspondent fees consume 3-8% of transaction value</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Remittance costs devastate developing economy transfers; SME margins compressed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opacity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Creditworthiness assessed through historical proxy data — past behavior, not current capacity</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misallocation; deserving borrowers excluded; risk models systematically biased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Audit latency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statements prepared quarterly or annually — systemic risk invisible between reporting periods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Fraud and instability accumulate undetected; regulatory response always reactive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financial system does not fail because bankers are dishonest. It fails because the structure requires trust to be manufactured by intermediaries — and intermediaries are expensive, slow, and systematically incentivized toward opacity.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Finance Architecture</w:t>
      </w:r>
    </w:p>
    <w:p>
      <w:pPr>
        <w:pStyle w:val="Heading2"/>
        <w:spacing w:after="160" w:before="320"/>
      </w:pPr>
      <w:r>
        <w:rPr>
          <w:rFonts w:ascii="Arial" w:cs="Arial" w:eastAsia="Arial" w:hAnsi="Arial"/>
          <w:b/>
          <w:bCs/>
          <w:color w:val="2E6DA4"/>
          <w:sz w:val="26"/>
          <w:szCs w:val="26"/>
        </w:rPr>
        <w:t xml:space="preserve">2.1 PAI — The Personal Financial Cognitive Layer</w:t>
      </w:r>
    </w:p>
    <w:p>
      <w:pPr>
        <w:spacing w:after="80" w:before="80"/>
      </w:pPr>
      <w:r>
        <w:rPr>
          <w:rFonts w:ascii="Arial" w:cs="Arial" w:eastAsia="Arial" w:hAnsi="Arial"/>
          <w:color w:val="222222"/>
          <w:sz w:val="22"/>
          <w:szCs w:val="22"/>
        </w:rPr>
        <w:t xml:space="preserve">In the Velsanet financial economy, PAI is the individual's sovereign financial intelligence. It integrates all financial accounts, cards, assets, liabilities, and transaction history into a single structural cognitive representation — owned entirely by the 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Finance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Financial Value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Account integration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bank accounts, cards, investment accounts, and digital assets automatically integrated at PAI level</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Complete financial picture always current — no manual reconciliation, no delayed statements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Cash flow modeling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T-axis maintains immutable transaction record; C-axis models spending patterns and income trajectory</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financial position always available; cash flow forecasting structural, not estimated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capacity assessment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cash flow data provides structural creditworthiness — not historical proxy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decisions based on actual capacity, not credit score approximation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intent generation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generates structured financial intent — 'transfer 500,000 KRW to savings with tax-efficient categorization'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AAI receives precise, contextualized intent — not a transaction request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Risk profile maintenance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E-axis captures financial stress indicators; I-axis tracks financial goal alignment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advice matched to actual risk tolerance and goal structure — not questionnaire response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Financial Transaction Guardian</w:t>
      </w:r>
    </w:p>
    <w:p>
      <w:pPr>
        <w:spacing w:after="80" w:before="80"/>
      </w:pPr>
      <w:r>
        <w:rPr>
          <w:rFonts w:ascii="Arial" w:cs="Arial" w:eastAsia="Arial" w:hAnsi="Arial"/>
          <w:color w:val="222222"/>
          <w:sz w:val="22"/>
          <w:szCs w:val="22"/>
        </w:rPr>
        <w:t xml:space="preserve">Financial AAI is the structural replacement for the entire intermediation layer of the current financial system. It performs — simultaneously and at network speed — the verification, compliance, and authorization functions that currently require banks, payment processors, compliance officers, and regulators.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Finance Role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Replaces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Identity verification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identity conformance — no KYC documentation process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KYC compliance officers and verification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AML screening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pattern validation against structural AML parameters at Q4 layer</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AML compliance systems and correspondent bank screening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authorization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Real-time PAI cash flow assessment — structural credit decision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bureaus and underwriting departments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compliance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financial regulations encoded structurally at Q4 sovereign layer — automatic compliance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departments and regulatory reporting systems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validation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Transaction categorization and tax treatment applied structurally at point of transaction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advisors and annual reporting processes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detection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Intent-authenticated transactions — Ghost Data cannot produce financial effects</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detection systems and chargeback processes</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Financial AAI does not add a compliance layer. It makes compliance a structural property of every transaction — present before execution, not checked after the fact.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Financial Execution Layer</w:t>
      </w:r>
    </w:p>
    <w:p>
      <w:pPr>
        <w:spacing w:after="80" w:before="80"/>
      </w:pPr>
      <w:r>
        <w:rPr>
          <w:rFonts w:ascii="Arial" w:cs="Arial" w:eastAsia="Arial" w:hAnsi="Arial"/>
          <w:color w:val="222222"/>
          <w:sz w:val="22"/>
          <w:szCs w:val="22"/>
        </w:rPr>
        <w:t xml:space="preserve">Financial AsAI encompasses every entity that executes financial transactions: banks, payment processors, investment platforms, insurance companies, and lending institutions. In the Velsanet economy, these entities receive only AAI-validated, pre-authorized financial intents — eliminating the overhead of independent verification.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Finance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Banks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AAI-validated payment instructions. Settlement executed at network speed — no correspondent chain. KYC completed at PAI level. Compliance verified structurally before instruction arrival.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 processors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volume increases dramatically as friction eliminated. Margin per transaction falls — volume compensates. Fraud losses approach zero — Ghost Data cannot execute.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Lenders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decisions based on PAI cash flow data — real-time, structural, consent-governed. Onboarding cost approaches zero. Default prediction dramatically improved.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Insurers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assessment based on continuous PAI behavioral data. Premium calculation real-time. Claims triggered automatically by AAI-verified events. Fraud structurally impossible.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Investment platforms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Portfolio management aligned with PAI financial intent and risk profile. Execution at network speed. Tax treatment applied structurally at transaction point.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Payments Revolution</w:t>
      </w:r>
    </w:p>
    <w:p>
      <w:pPr>
        <w:pStyle w:val="Heading2"/>
        <w:spacing w:after="160" w:before="320"/>
      </w:pPr>
      <w:r>
        <w:rPr>
          <w:rFonts w:ascii="Arial" w:cs="Arial" w:eastAsia="Arial" w:hAnsi="Arial"/>
          <w:b/>
          <w:bCs/>
          <w:color w:val="2E6DA4"/>
          <w:sz w:val="26"/>
          <w:szCs w:val="26"/>
        </w:rPr>
        <w:t xml:space="preserve">3.1 From Settlement to Structural Execution</w:t>
      </w:r>
    </w:p>
    <w:p>
      <w:pPr>
        <w:spacing w:after="80" w:before="80"/>
      </w:pPr>
      <w:r>
        <w:rPr>
          <w:rFonts w:ascii="Arial" w:cs="Arial" w:eastAsia="Arial" w:hAnsi="Arial"/>
          <w:color w:val="222222"/>
          <w:sz w:val="22"/>
          <w:szCs w:val="22"/>
        </w:rPr>
        <w:t xml:space="preserve">The current global payments system is a layered hierarchy of trust intermediaries: card networks, correspondent banks, central bank settlement systems, and cross-border messaging protocols. Each layer adds cost and latency because each layer must independently verify what the previous layer claimed.</w:t>
      </w:r>
    </w:p>
    <w:p>
      <w:pPr>
        <w:spacing w:after="60" w:before="60"/>
      </w:pPr>
      <w:r>
        <w:t xml:space="preserve"/>
      </w:r>
    </w:p>
    <w:p>
      <w:pPr>
        <w:spacing w:after="80" w:before="80"/>
      </w:pPr>
      <w:r>
        <w:rPr>
          <w:rFonts w:ascii="Arial" w:cs="Arial" w:eastAsia="Arial" w:hAnsi="Arial"/>
          <w:color w:val="222222"/>
          <w:sz w:val="22"/>
          <w:szCs w:val="22"/>
        </w:rPr>
        <w:t xml:space="preserve">In the Velsanet financial economy, this entire hierarchy collapses to a single structural event: PAI generates intent, AAI validates, AsAI executes. The correspondent chain does not exist because trust is not manufactured by intermediaries — it is a structural property of the transaction itself.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Payment Type</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Cost/Speed</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Cost/Speed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Domestic retail payment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0.5-2% fee, same-day to next-day settlement</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Basis point fee, network-speed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transfer</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3-8% fee, 2-5 day settlement</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Q4 authorization fee, sub-second execution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B2B invoice settlement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30-90 day payment terms, factoring costs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AAI-validated invoice, AsAI execution on delivery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Remittance (developing economies)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5-10% fee, 1-3 day delivery</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fee, immediate execution — financial inclusion enabled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Micropayment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Economically unviable below ~$1 due to fixed processing costs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Structurally viable at any value — fixed overhead eliminated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Financial Inclusion as Structural Consequence</w:t>
      </w:r>
    </w:p>
    <w:p>
      <w:pPr>
        <w:spacing w:after="80" w:before="80"/>
      </w:pPr>
      <w:r>
        <w:rPr>
          <w:rFonts w:ascii="Arial" w:cs="Arial" w:eastAsia="Arial" w:hAnsi="Arial"/>
          <w:color w:val="222222"/>
          <w:sz w:val="22"/>
          <w:szCs w:val="22"/>
        </w:rPr>
        <w:t xml:space="preserve">Financial exclusion is an economic problem. In the current system, onboarding a new customer costs $50-500 in KYC/AML compliance. A customer whose lifetime expected revenue is below this threshold is not economically viable to serve.</w:t>
      </w:r>
    </w:p>
    <w:p>
      <w:pPr>
        <w:spacing w:after="60" w:before="60"/>
      </w:pPr>
      <w:r>
        <w:t xml:space="preserve"/>
      </w:r>
    </w:p>
    <w:p>
      <w:pPr>
        <w:spacing w:after="80" w:before="80"/>
      </w:pPr>
      <w:r>
        <w:rPr>
          <w:rFonts w:ascii="Arial" w:cs="Arial" w:eastAsia="Arial" w:hAnsi="Arial"/>
          <w:color w:val="222222"/>
          <w:sz w:val="22"/>
          <w:szCs w:val="22"/>
        </w:rPr>
        <w:t xml:space="preserve">In the Velsanet economy, identity verification is structural — the cost approaches zero. The unbanked gain access not because of regulatory mandate or social program, but because the structural barrier that made serving them uneconomic has been eliminated.</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1.4 billion unbanked adults globally — structural access enabled at near-zero marginal cost</w:t>
      </w:r>
    </w:p>
    <w:p>
      <w:pPr>
        <w:pStyle w:val="ListParagraph"/>
        <w:numPr>
          <w:ilvl w:val="0"/>
          <w:numId w:val="2"/>
        </w:numPr>
        <w:spacing w:after="60" w:before="60"/>
      </w:pPr>
      <w:r>
        <w:rPr>
          <w:rFonts w:ascii="Arial" w:cs="Arial" w:eastAsia="Arial" w:hAnsi="Arial"/>
          <w:sz w:val="22"/>
          <w:szCs w:val="22"/>
        </w:rPr>
        <w:t xml:space="preserve">Remittance corridors: $800 billion annually transferred by migrant workers — 5-10% fee elimination represents $40-80 billion returned to developing economies</w:t>
      </w:r>
    </w:p>
    <w:p>
      <w:pPr>
        <w:pStyle w:val="ListParagraph"/>
        <w:numPr>
          <w:ilvl w:val="0"/>
          <w:numId w:val="2"/>
        </w:numPr>
        <w:spacing w:after="60" w:before="60"/>
      </w:pPr>
      <w:r>
        <w:rPr>
          <w:rFonts w:ascii="Arial" w:cs="Arial" w:eastAsia="Arial" w:hAnsi="Arial"/>
          <w:sz w:val="22"/>
          <w:szCs w:val="22"/>
        </w:rPr>
        <w:t xml:space="preserve">SME credit access: Structural cash flow data eliminates the information asymmetry that currently prices small business credit at 3-5x large corporate rates</w:t>
      </w:r>
    </w:p>
    <w:p>
      <w:pPr>
        <w:pStyle w:val="ListParagraph"/>
        <w:numPr>
          <w:ilvl w:val="0"/>
          <w:numId w:val="2"/>
        </w:numPr>
        <w:spacing w:after="60" w:before="60"/>
      </w:pPr>
      <w:r>
        <w:rPr>
          <w:rFonts w:ascii="Arial" w:cs="Arial" w:eastAsia="Arial" w:hAnsi="Arial"/>
          <w:sz w:val="22"/>
          <w:szCs w:val="22"/>
        </w:rPr>
        <w:t xml:space="preserve">Agricultural finance: Seasonal cash flow patterns structurally visible — crop finance available to smallholders currently excluded from formal credit</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Capital Markets Transformation</w:t>
      </w:r>
    </w:p>
    <w:p>
      <w:pPr>
        <w:pStyle w:val="Heading2"/>
        <w:spacing w:after="160" w:before="320"/>
      </w:pPr>
      <w:r>
        <w:rPr>
          <w:rFonts w:ascii="Arial" w:cs="Arial" w:eastAsia="Arial" w:hAnsi="Arial"/>
          <w:b/>
          <w:bCs/>
          <w:color w:val="2E6DA4"/>
          <w:sz w:val="26"/>
          <w:szCs w:val="26"/>
        </w:rPr>
        <w:t xml:space="preserve">4.1 Structural Settlement and Continuous Audit</w:t>
      </w:r>
    </w:p>
    <w:p>
      <w:pPr>
        <w:spacing w:after="80" w:before="80"/>
      </w:pPr>
      <w:r>
        <w:rPr>
          <w:rFonts w:ascii="Arial" w:cs="Arial" w:eastAsia="Arial" w:hAnsi="Arial"/>
          <w:color w:val="222222"/>
          <w:sz w:val="22"/>
          <w:szCs w:val="22"/>
        </w:rPr>
        <w:t xml:space="preserve">Capital markets operate on a fundamental information lag: financial statements are prepared periodically, audited retrospectively, and published with delay. Investors make decisions based on information that is already weeks or months old. Systemic risk accumulates between reporting periods.</w:t>
      </w:r>
    </w:p>
    <w:p>
      <w:pPr>
        <w:spacing w:after="60" w:before="60"/>
      </w:pPr>
      <w:r>
        <w:t xml:space="preserve"/>
      </w:r>
    </w:p>
    <w:p>
      <w:pPr>
        <w:spacing w:after="80" w:before="80"/>
      </w:pPr>
      <w:r>
        <w:rPr>
          <w:rFonts w:ascii="Arial" w:cs="Arial" w:eastAsia="Arial" w:hAnsi="Arial"/>
          <w:color w:val="222222"/>
          <w:sz w:val="22"/>
          <w:szCs w:val="22"/>
        </w:rPr>
        <w:t xml:space="preserve">In the Velsanet financial economy, every entity's financial position is structurally current — because every transaction generates an automatic accounting entry and AAI validates every financial event in real time.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Capital Market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reporting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Quarterly statements, annual audit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structural accounting — always current, always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rating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assessment based on historical data</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real-time rating based on continuous PAI financial data</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Trade settlement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T+2 equity settlement, T+1 government bonds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execution — settlement at transaction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Derivatives clearing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Central counterparty clearing with margin requirements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counterparty validation — margin determined by real-time AAI risk assessment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IPO/capital raising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Prospectus-based disclosure, underwriter verification</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financial history — investor due diligence replaced by AAI-verified data access</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New Financial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Real-time credit</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Lending decisions based on continuous PAI cash flow — credit extended at point of need, repaid automatically when cash flow allows. No application, no approval delay.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Intent-based insurance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 coverage activated by PAI intent — travel insurance triggers when travel intent detected, not when policy is purchased. Premium charged only for actual coverage period.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investment matching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Investment opportunities matched to PAI financial intent and risk profile. Capital allocation optimized at population scale — matching savers with investments structurally aligned to their goals.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tax optimization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 treatment applied structurally at each transaction — no year-end optimization, no missed deductions, no compliance risk.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health cooperative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Individuals pool anonymized PAI financial data under AAI governance. Collective data used to negotiate better terms with financial AsAI providers — group purchasing power for individuals.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The financial system's fundamental purpose is to allocate capital efficiently and enable exchange at scale. Its current form achieves this through an architecture of managed distrust — expensive intermediaries that manufacture the trust the system cannot generate structurally.</w:t>
      </w:r>
    </w:p>
    <w:p>
      <w:pPr>
        <w:spacing w:after="60" w:before="60"/>
      </w:pPr>
      <w:r>
        <w:t xml:space="preserve"/>
      </w:r>
    </w:p>
    <w:p>
      <w:pPr>
        <w:spacing w:after="80" w:before="80"/>
      </w:pPr>
      <w:r>
        <w:rPr>
          <w:rFonts w:ascii="Arial" w:cs="Arial" w:eastAsia="Arial" w:hAnsi="Arial"/>
          <w:color w:val="222222"/>
          <w:sz w:val="22"/>
          <w:szCs w:val="22"/>
        </w:rPr>
        <w:t xml:space="preserve">Velsanet eliminates the need for managed distrust by making trust a structural property of every transaction. PAI provides sovereign financial identity and real-time cash flow data. AAI validates every transaction against applicable law, regulation, and ethics before execution. AsAI executes at network speed with automatic accounting and settlement.</w:t>
      </w:r>
    </w:p>
    <w:p>
      <w:pPr>
        <w:spacing w:after="60" w:before="60"/>
      </w:pPr>
      <w:r>
        <w:t xml:space="preserve"/>
      </w:r>
    </w:p>
    <w:p>
      <w:pPr>
        <w:spacing w:after="80" w:before="80"/>
      </w:pPr>
      <w:r>
        <w:rPr>
          <w:rFonts w:ascii="Arial" w:cs="Arial" w:eastAsia="Arial" w:hAnsi="Arial"/>
          <w:color w:val="222222"/>
          <w:sz w:val="22"/>
          <w:szCs w:val="22"/>
        </w:rPr>
        <w:t xml:space="preserve">The result is not a better bank. It is a financial economy in which the infrastructure cost of trust has been reduced to near zero — and the economic gains from that reduction flow to individuals, businesses, and economies that the current system systematically excludes.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financial economy, the question is not whether you can be trusted. The question is whether your intent conforms to structure. If it does, execution is immediate. If it does not, execution is impossible.</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2026-04-10T22:09:54.191Z</dcterms:created>
  <dcterms:modified xsi:type="dcterms:W3CDTF">2026-04-10T22:09:54.192Z</dcterms:modified>
</cp:coreProperties>
</file>

<file path=docProps/custom.xml><?xml version="1.0" encoding="utf-8"?>
<Properties xmlns="http://schemas.openxmlformats.org/officeDocument/2006/custom-properties" xmlns:vt="http://schemas.openxmlformats.org/officeDocument/2006/docPropsVTypes"/>
</file>