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#WP-ECO-02</w:t>
      </w:r>
    </w:p>
    <w:p>
      <w:pPr>
        <w:pBdr>
          <w:bottom w:val="single" w:color="2E6DA4" w:sz="8" w:space="4"/>
        </w:pBdr>
        <w:spacing w:after="0" w:before="200"/>
        <w:jc w:val="center"/>
      </w:pPr>
      <w:r>
        <w:rPr>
          <w:rFonts w:ascii="Arial" w:cs="Arial" w:eastAsia="Arial" w:hAnsi="Arial"/>
          <w:b/>
          <w:bCs/>
          <w:color w:val="2E6DA4"/>
          <w:sz w:val="44"/>
          <w:szCs w:val="44"/>
        </w:rPr>
        <w:t xml:space="preserve">Trust by Architecture</w:t>
      </w:r>
    </w:p>
    <w:p>
      <w:pPr>
        <w:spacing w:after="600" w:before="240"/>
        <w:jc w:val="center"/>
      </w:pPr>
      <w:r>
        <w:rPr>
          <w:rFonts w:ascii="Arial" w:cs="Arial" w:eastAsia="Arial" w:hAnsi="Arial"/>
          <w:color w:val="444444"/>
          <w:sz w:val="26"/>
          <w:szCs w:val="26"/>
        </w:rPr>
        <w:t xml:space="preserve">AAI as the Structural Trust and Security Layer of the Velsanet Economy</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Preface</w:t>
      </w:r>
    </w:p>
    <w:p>
      <w:pPr>
        <w:spacing w:after="80" w:before="80"/>
      </w:pPr>
      <w:r>
        <w:rPr>
          <w:rFonts w:ascii="Arial" w:cs="Arial" w:eastAsia="Arial" w:hAnsi="Arial"/>
          <w:color w:val="222222"/>
          <w:sz w:val="22"/>
          <w:szCs w:val="22"/>
        </w:rPr>
        <w:t xml:space="preserve">Trust is the invisible infrastructure of every economy. Without it, no transaction completes. No contract holds. No institution functions.</w:t>
      </w:r>
    </w:p>
    <w:p>
      <w:pPr>
        <w:spacing w:after="60" w:before="60"/>
      </w:pPr>
      <w:r>
        <w:t xml:space="preserve"/>
      </w:r>
    </w:p>
    <w:p>
      <w:pPr>
        <w:spacing w:after="80" w:before="80"/>
      </w:pPr>
      <w:r>
        <w:rPr>
          <w:rFonts w:ascii="Arial" w:cs="Arial" w:eastAsia="Arial" w:hAnsi="Arial"/>
          <w:color w:val="222222"/>
          <w:sz w:val="22"/>
          <w:szCs w:val="22"/>
        </w:rPr>
        <w:t xml:space="preserve">The current economy manufactures trust through intermediaries: lawyers verify agreements, accountants certify numbers, notaries authenticate identities, auditors confirm compliance, courts resolve disputes. These intermediaries are not flaws in the system. They are the system.</w:t>
      </w:r>
    </w:p>
    <w:p>
      <w:pPr>
        <w:spacing w:after="60" w:before="60"/>
      </w:pPr>
      <w:r>
        <w:t xml:space="preserve"/>
      </w:r>
    </w:p>
    <w:p>
      <w:pPr>
        <w:spacing w:after="80" w:before="80"/>
      </w:pPr>
      <w:r>
        <w:rPr>
          <w:rFonts w:ascii="Arial" w:cs="Arial" w:eastAsia="Arial" w:hAnsi="Arial"/>
          <w:color w:val="222222"/>
          <w:sz w:val="22"/>
          <w:szCs w:val="22"/>
        </w:rPr>
        <w:t xml:space="preserve">But they were designed for a world of human-speed transactions, local jurisdictions, and paper records. The AI economy operates at a fundamentally different scale: millisecond execution, global reach, and autonomous systems that have no inherent accountability.</w:t>
      </w:r>
    </w:p>
    <w:p>
      <w:pPr>
        <w:spacing w:after="60" w:before="60"/>
      </w:pPr>
      <w:r>
        <w:t xml:space="preserve"/>
      </w:r>
    </w:p>
    <w:p>
      <w:pPr>
        <w:spacing w:after="80" w:before="80"/>
      </w:pPr>
      <w:r>
        <w:rPr>
          <w:rFonts w:ascii="Arial" w:cs="Arial" w:eastAsia="Arial" w:hAnsi="Arial"/>
          <w:color w:val="222222"/>
          <w:sz w:val="22"/>
          <w:szCs w:val="22"/>
        </w:rPr>
        <w:t xml:space="preserve">This paper describes how Velsanet solves the trust problem — not by replacing existing institutions, but by embedding their logic into the architecture of the network itself. The result is a system in which trust is not manufactured after the fact by intermediaries. It is a structural property of every transaction from the moment it originates.</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Velsanet, trust is not a service. It is an architectural invariant.</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 The Structural Weakness of Current Trust Systems</w:t>
      </w:r>
    </w:p>
    <w:p>
      <w:pPr>
        <w:pStyle w:val="Heading2"/>
        <w:spacing w:after="160" w:before="320"/>
      </w:pPr>
      <w:r>
        <w:rPr>
          <w:rFonts w:ascii="Arial" w:cs="Arial" w:eastAsia="Arial" w:hAnsi="Arial"/>
          <w:b/>
          <w:bCs/>
          <w:color w:val="2E6DA4"/>
          <w:sz w:val="26"/>
          <w:szCs w:val="26"/>
        </w:rPr>
        <w:t xml:space="preserve">1.1 Trust as an Afterthought</w:t>
      </w:r>
    </w:p>
    <w:p>
      <w:pPr>
        <w:spacing w:after="80" w:before="80"/>
      </w:pPr>
      <w:r>
        <w:rPr>
          <w:rFonts w:ascii="Arial" w:cs="Arial" w:eastAsia="Arial" w:hAnsi="Arial"/>
          <w:color w:val="222222"/>
          <w:sz w:val="22"/>
          <w:szCs w:val="22"/>
        </w:rPr>
        <w:t xml:space="preserve">In every existing network architecture, trust is applied after the fact. Data travels first. Authentication is checked afterwards. Compliance is verified periodically. Disputes are resolved when they arise.</w:t>
      </w:r>
    </w:p>
    <w:p>
      <w:pPr>
        <w:spacing w:after="60" w:before="60"/>
      </w:pPr>
      <w:r>
        <w:t xml:space="preserve"/>
      </w:r>
    </w:p>
    <w:p>
      <w:pPr>
        <w:spacing w:after="80" w:before="80"/>
      </w:pPr>
      <w:r>
        <w:rPr>
          <w:rFonts w:ascii="Arial" w:cs="Arial" w:eastAsia="Arial" w:hAnsi="Arial"/>
          <w:color w:val="222222"/>
          <w:sz w:val="22"/>
          <w:szCs w:val="22"/>
        </w:rPr>
        <w:t xml:space="preserve">This post-hoc model creates four structural vulnerabilities that cannot be patched by optimization: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Vulnerability</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Consequence</w:t>
            </w:r>
          </w:p>
        </w:tc>
        <w:tc>
          <w:tcPr>
            <w:tcW w:type="dxa" w:w="3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At AI Scale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Verification latency</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Days or weeks for legal/accounting verification</w:t>
            </w:r>
          </w:p>
        </w:tc>
        <w:tc>
          <w:tcPr>
            <w:tcW w:type="dxa" w:w="3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Millisecond AI decisions cannot wait for human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Jurisdiction gaps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Laws differ across borders; enforcement is inconsistent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systems operate globally with no inherent jurisdiction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Auditability limits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Records are created by parties with interest in the outcome</w:t>
            </w:r>
          </w:p>
        </w:tc>
        <w:tc>
          <w:tcPr>
            <w:tcW w:type="dxa" w:w="3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AI-generated records can be altered before human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Intermediary bottlenecks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transaction requires human professional involvement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transaction volumes exceed human review capacity by orders of magnitude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1.2 The Fundamental Problem: Trust Is Detached from Execution</w:t>
      </w:r>
    </w:p>
    <w:p>
      <w:pPr>
        <w:spacing w:after="80" w:before="80"/>
      </w:pPr>
      <w:r>
        <w:rPr>
          <w:rFonts w:ascii="Arial" w:cs="Arial" w:eastAsia="Arial" w:hAnsi="Arial"/>
          <w:color w:val="222222"/>
          <w:sz w:val="22"/>
          <w:szCs w:val="22"/>
        </w:rPr>
        <w:t xml:space="preserve">The deepest problem is architectural: in all current systems, the act of execution is structurally detached from the act of verification. A transaction can be executed before it is verified. An action can be taken before its authorization is confirmed. A record can be created before its integrity is established.</w:t>
      </w:r>
    </w:p>
    <w:p>
      <w:pPr>
        <w:spacing w:after="60" w:before="60"/>
      </w:pPr>
      <w:r>
        <w:t xml:space="preserve"/>
      </w:r>
    </w:p>
    <w:p>
      <w:pPr>
        <w:spacing w:after="80" w:before="80"/>
      </w:pPr>
      <w:r>
        <w:rPr>
          <w:rFonts w:ascii="Arial" w:cs="Arial" w:eastAsia="Arial" w:hAnsi="Arial"/>
          <w:color w:val="222222"/>
          <w:sz w:val="22"/>
          <w:szCs w:val="22"/>
        </w:rPr>
        <w:t xml:space="preserve">This detachment is not a bug. It is the foundational design assumption of every network built on packet-switched, address-based communication. Data moves first. Everything else follows.</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Velsanet inverts this assumption entirely. Verification is not what follows execution. Verification is the structural precondition of execution.</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 AAI — The Digital Certified Professional Group</w:t>
      </w:r>
    </w:p>
    <w:p>
      <w:pPr>
        <w:pStyle w:val="Heading2"/>
        <w:spacing w:after="160" w:before="320"/>
      </w:pPr>
      <w:r>
        <w:rPr>
          <w:rFonts w:ascii="Arial" w:cs="Arial" w:eastAsia="Arial" w:hAnsi="Arial"/>
          <w:b/>
          <w:bCs/>
          <w:color w:val="2E6DA4"/>
          <w:sz w:val="26"/>
          <w:szCs w:val="26"/>
        </w:rPr>
        <w:t xml:space="preserve">2.1 What AAI Actually Is</w:t>
      </w:r>
    </w:p>
    <w:p>
      <w:pPr>
        <w:spacing w:after="80" w:before="80"/>
      </w:pPr>
      <w:r>
        <w:rPr>
          <w:rFonts w:ascii="Arial" w:cs="Arial" w:eastAsia="Arial" w:hAnsi="Arial"/>
          <w:color w:val="222222"/>
          <w:sz w:val="22"/>
          <w:szCs w:val="22"/>
        </w:rPr>
        <w:t xml:space="preserve">AAI (Agent AI) is the Transaction Guardian layer of the Velsanet architecture. It is structurally embedded at the Dodecahedron (D12) node — the regional coordination center of the network, positioned between individual cognition (PAI) and infrastructure execution (AsAI).</w:t>
      </w:r>
    </w:p>
    <w:p>
      <w:pPr>
        <w:spacing w:after="60" w:before="60"/>
      </w:pPr>
      <w:r>
        <w:t xml:space="preserve"/>
      </w:r>
    </w:p>
    <w:p>
      <w:pPr>
        <w:spacing w:after="80" w:before="80"/>
      </w:pPr>
      <w:r>
        <w:rPr>
          <w:rFonts w:ascii="Arial" w:cs="Arial" w:eastAsia="Arial" w:hAnsi="Arial"/>
          <w:color w:val="222222"/>
          <w:sz w:val="22"/>
          <w:szCs w:val="22"/>
        </w:rPr>
        <w:t xml:space="preserve">AAI is not a software service. It is not a middleware layer. It is the structural home of the professional expertise that currently exists outside the network — and it performs three simultaneous roles that no single institution in the current economy can combine: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Professional Equivalent</w:t>
            </w:r>
          </w:p>
        </w:tc>
        <w:tc>
          <w:tcPr>
            <w:tcW w:type="dxa" w:w="5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AAI Does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Agent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Lawyer / Representative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Acts on behalf of the individual in translating cognitive intent into structurally actionable form. Applies applicable law and policy.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Guardian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 Officer / Regulator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Enforces the conditions under which execution is permitted. Not as rules that can be circumvented, but as architectural gates that cannot be bypassed.</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Witness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Notary / Auditor / Court of Record</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Creates an immutable structural record of every validation event. This record is not a document. It is a topologically fixed data object that cannot be retroactively altered.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The Professional Expertise That Lives Inside AAI</w:t>
      </w:r>
    </w:p>
    <w:p>
      <w:pPr>
        <w:spacing w:after="80" w:before="80"/>
      </w:pPr>
      <w:r>
        <w:rPr>
          <w:rFonts w:ascii="Arial" w:cs="Arial" w:eastAsia="Arial" w:hAnsi="Arial"/>
          <w:color w:val="222222"/>
          <w:sz w:val="22"/>
          <w:szCs w:val="22"/>
        </w:rPr>
        <w:t xml:space="preserve">AAI does not replace professional expertise. It embeds it. The knowledge, judgment standards, and verification logic of entire professional domains become structural parameters of the AAI layer: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4613"/>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Professional Domain</w:t>
            </w:r>
          </w:p>
        </w:tc>
        <w:tc>
          <w:tcPr>
            <w:tcW w:type="dxa" w:w="2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4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Inside AAI</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Lawyers interpret statutes and advise on compliance</w:t>
            </w:r>
          </w:p>
        </w:tc>
        <w:tc>
          <w:tcPr>
            <w:tcW w:type="dxa" w:w="4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Statutory logic encoded as structural validation parameters. Applicable law determined by Q4 sovereign layer. No interpretation required — structural conformance is binary.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Accounting</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Accountants verify financial statements and certify compliance</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Resource flows tracked structurally in real time. Every transaction produces an automatic accounting entry. No periodic audit — continuous structural verification.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Notary / Authentication</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Notaries certify identity and authenticate signatures</w:t>
            </w:r>
          </w:p>
        </w:tc>
        <w:tc>
          <w:tcPr>
            <w:tcW w:type="dxa" w:w="4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Identity verified through structural conformance at spatial genesis phase. Authentication is architectural, not documentary.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Auditing</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Auditors review past records and issue compliance opinions</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Pre-execution audit (structural gate), runtime audit (continuous monitoring), post-execution audit (automatic settlement report). No retroactive review possible or needed.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Insurance / Risk</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Actuaries assess risk; underwriters set terms; claims adjusters verify</w:t>
            </w:r>
          </w:p>
        </w:tc>
        <w:tc>
          <w:tcPr>
            <w:tcW w:type="dxa" w:w="4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Risk parameters encoded structurally. Event triggers automatic payout. No claims process. No adjuster. No dispute.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 officers monitor ongoing regulatory adherence</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requirements encoded at Q4 layer. Every action validated against current regulatory state before execution. Compliance is continuous, not periodic.</w:t>
            </w:r>
          </w:p>
        </w:tc>
      </w:tr>
    </w:tbl>
    <w:p>
      <w:pPr>
        <w:spacing w:after="60" w:before="60"/>
      </w:pPr>
      <w:r>
        <w:t xml:space="preserve"/>
      </w:r>
    </w:p>
    <w:p>
      <w:pPr>
        <w:spacing w:after="80" w:before="80"/>
      </w:pPr>
      <w:r>
        <w:rPr>
          <w:rFonts w:ascii="Arial" w:cs="Arial" w:eastAsia="Arial" w:hAnsi="Arial"/>
          <w:color w:val="222222"/>
          <w:sz w:val="22"/>
          <w:szCs w:val="22"/>
        </w:rPr>
        <w:t xml:space="preserve">To be precise: these professionals do not become obsolete. Their role evolves. They become the designers of the structural parameters — the architects of the rules that AAI enforces. The judgment moves upstream, from transaction-by-transaction review to the design of structural standards.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III: The Three-Stage Verification Mechanism</w:t>
      </w:r>
    </w:p>
    <w:p>
      <w:pPr>
        <w:spacing w:after="80" w:before="80"/>
      </w:pPr>
      <w:r>
        <w:rPr>
          <w:rFonts w:ascii="Arial" w:cs="Arial" w:eastAsia="Arial" w:hAnsi="Arial"/>
          <w:color w:val="222222"/>
          <w:sz w:val="22"/>
          <w:szCs w:val="22"/>
        </w:rPr>
        <w:t xml:space="preserve">AAI's verification function operates across three structural stages that together create a complete, unbroken chain of accountability for every transaction in the Velsanet economy.</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3.1 Stage One — Pre-Execution Audit (Structural Gate)</w:t>
      </w:r>
    </w:p>
    <w:p>
      <w:pPr>
        <w:spacing w:after="80" w:before="80"/>
      </w:pPr>
      <w:r>
        <w:rPr>
          <w:rFonts w:ascii="Arial" w:cs="Arial" w:eastAsia="Arial" w:hAnsi="Arial"/>
          <w:color w:val="222222"/>
          <w:sz w:val="22"/>
          <w:szCs w:val="22"/>
        </w:rPr>
        <w:t xml:space="preserve">Before any AsAI execution occurs, AAI performs a complete structural validation of the intent received from PAI. This is not a check against a policy database. It is a structural gate: the execution path does not exist until validation is complete.</w:t>
      </w:r>
    </w:p>
    <w:p>
      <w:pPr>
        <w:spacing w:after="60" w:before="60"/>
      </w:pPr>
      <w:r>
        <w:t xml:space="preserve"/>
      </w:r>
    </w:p>
    <w:p>
      <w:pPr>
        <w:spacing w:after="80" w:before="80"/>
      </w:pPr>
      <w:r>
        <w:rPr>
          <w:rFonts w:ascii="Arial" w:cs="Arial" w:eastAsia="Arial" w:hAnsi="Arial"/>
          <w:color w:val="222222"/>
          <w:sz w:val="22"/>
          <w:szCs w:val="22"/>
        </w:rPr>
        <w:t xml:space="preserve">The pre-execution audit covers: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Legal conformance: Is this intent permissible under the applicable jurisdiction's law, as encoded at the Q4 sovereign layer?</w:t>
      </w:r>
    </w:p>
    <w:p>
      <w:pPr>
        <w:pStyle w:val="ListParagraph"/>
        <w:numPr>
          <w:ilvl w:val="0"/>
          <w:numId w:val="2"/>
        </w:numPr>
        <w:spacing w:after="60" w:before="60"/>
      </w:pPr>
      <w:r>
        <w:rPr>
          <w:rFonts w:ascii="Arial" w:cs="Arial" w:eastAsia="Arial" w:hAnsi="Arial"/>
          <w:b w:val="false"/>
          <w:bCs w:val="false"/>
          <w:sz w:val="22"/>
          <w:szCs w:val="22"/>
        </w:rPr>
        <w:t xml:space="preserve">Policy compliance: Does this intent conform to applicable government policy, regulatory requirements, and administrative rules?</w:t>
      </w:r>
    </w:p>
    <w:p>
      <w:pPr>
        <w:pStyle w:val="ListParagraph"/>
        <w:numPr>
          <w:ilvl w:val="0"/>
          <w:numId w:val="2"/>
        </w:numPr>
        <w:spacing w:after="60" w:before="60"/>
      </w:pPr>
      <w:r>
        <w:rPr>
          <w:rFonts w:ascii="Arial" w:cs="Arial" w:eastAsia="Arial" w:hAnsi="Arial"/>
          <w:b w:val="false"/>
          <w:bCs w:val="false"/>
          <w:sz w:val="22"/>
          <w:szCs w:val="22"/>
        </w:rPr>
        <w:t xml:space="preserve">Ethical validation: Does this intent satisfy the ethical constraints applicable to the domain and jurisdiction?</w:t>
      </w:r>
    </w:p>
    <w:p>
      <w:pPr>
        <w:pStyle w:val="ListParagraph"/>
        <w:numPr>
          <w:ilvl w:val="0"/>
          <w:numId w:val="2"/>
        </w:numPr>
        <w:spacing w:after="60" w:before="60"/>
      </w:pPr>
      <w:r>
        <w:rPr>
          <w:rFonts w:ascii="Arial" w:cs="Arial" w:eastAsia="Arial" w:hAnsi="Arial"/>
          <w:b w:val="false"/>
          <w:bCs w:val="false"/>
          <w:sz w:val="22"/>
          <w:szCs w:val="22"/>
        </w:rPr>
        <w:t xml:space="preserve">Resource authorization: Is the requesting entity authorized to consume the resources required for execution?</w:t>
      </w:r>
    </w:p>
    <w:p>
      <w:pPr>
        <w:pStyle w:val="ListParagraph"/>
        <w:numPr>
          <w:ilvl w:val="0"/>
          <w:numId w:val="2"/>
        </w:numPr>
        <w:spacing w:after="60" w:before="60"/>
      </w:pPr>
      <w:r>
        <w:rPr>
          <w:rFonts w:ascii="Arial" w:cs="Arial" w:eastAsia="Arial" w:hAnsi="Arial"/>
          <w:b w:val="false"/>
          <w:bCs w:val="false"/>
          <w:sz w:val="22"/>
          <w:szCs w:val="22"/>
        </w:rPr>
        <w:t xml:space="preserve">Counterparty verification: In multi-party transactions, has the counterparty's AAI also validated its corresponding intent?</w:t>
      </w:r>
    </w:p>
    <w:p>
      <w:pPr>
        <w:spacing w:after="60" w:before="60"/>
      </w:pPr>
      <w:r>
        <w:t xml:space="preserve"/>
      </w:r>
    </w:p>
    <w:p>
      <w:pPr>
        <w:spacing w:after="80" w:before="80"/>
      </w:pPr>
      <w:r>
        <w:rPr>
          <w:rFonts w:ascii="Arial" w:cs="Arial" w:eastAsia="Arial" w:hAnsi="Arial"/>
          <w:color w:val="222222"/>
          <w:sz w:val="22"/>
          <w:szCs w:val="22"/>
        </w:rPr>
        <w:t xml:space="preserve">If any validation fails, execution does not proceed. There is no override mechanism. There is no exception pathway. The structural gate is closed until the conditions are met.</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This is not a policy restriction. It is an architectural impossibility. The execution path does not exist for unvalidated intent.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3.2 Stage Two — Runtime Verification (Continuous Monitoring)</w:t>
      </w:r>
    </w:p>
    <w:p>
      <w:pPr>
        <w:spacing w:after="80" w:before="80"/>
      </w:pPr>
      <w:r>
        <w:rPr>
          <w:rFonts w:ascii="Arial" w:cs="Arial" w:eastAsia="Arial" w:hAnsi="Arial"/>
          <w:color w:val="222222"/>
          <w:sz w:val="22"/>
          <w:szCs w:val="22"/>
        </w:rPr>
        <w:t xml:space="preserve">Once execution begins, AAI does not step back. It monitors the execution in real time, comparing AsAI's ongoing actions against the validated intent that authorized them.</w:t>
      </w:r>
    </w:p>
    <w:p>
      <w:pPr>
        <w:spacing w:after="60" w:before="60"/>
      </w:pPr>
      <w:r>
        <w:t xml:space="preserve"/>
      </w:r>
    </w:p>
    <w:p>
      <w:pPr>
        <w:spacing w:after="80" w:before="80"/>
      </w:pPr>
      <w:r>
        <w:rPr>
          <w:rFonts w:ascii="Arial" w:cs="Arial" w:eastAsia="Arial" w:hAnsi="Arial"/>
          <w:color w:val="222222"/>
          <w:sz w:val="22"/>
          <w:szCs w:val="22"/>
        </w:rPr>
        <w:t xml:space="preserve">Runtime verification detects three categories of deviation: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13"/>
        <w:gridCol w:w="38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Deviation Type</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Response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Scope deviation</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takes actions beyond the boundaries of the validated intent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Immediate structural halt. Deviation recorded. Authorization re-validation required before resumption.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Resource overrun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AsAI consumes resources beyond the authorized budget or quota</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Automatic throttle or halt. Overrun recorded as structural evidence. Accounting entry generated.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Environmental change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External conditions change such that the original validation no longer applies (e.g., law changes, counterparty status changes)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paused. Re-validation triggered. Transaction cannot complete in a changed legal environment without fresh authorization.</w:t>
            </w:r>
          </w:p>
        </w:tc>
      </w:tr>
    </w:tbl>
    <w:p>
      <w:pPr>
        <w:spacing w:after="60" w:before="60"/>
      </w:pPr>
      <w:r>
        <w:t xml:space="preserve"/>
      </w:r>
    </w:p>
    <w:p>
      <w:pPr>
        <w:spacing w:after="80" w:before="80"/>
      </w:pPr>
      <w:r>
        <w:rPr>
          <w:rFonts w:ascii="Arial" w:cs="Arial" w:eastAsia="Arial" w:hAnsi="Arial"/>
          <w:color w:val="222222"/>
          <w:sz w:val="22"/>
          <w:szCs w:val="22"/>
        </w:rPr>
        <w:t xml:space="preserve">Runtime verification operates at network speed — not human review speed. By the time a human auditor would have noticed a deviation, AAI has already detected, halted, and recorded it.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3.3 Stage Three — Post-Settlement Audit (Structural Accounting)</w:t>
      </w:r>
    </w:p>
    <w:p>
      <w:pPr>
        <w:spacing w:after="80" w:before="80"/>
      </w:pPr>
      <w:r>
        <w:rPr>
          <w:rFonts w:ascii="Arial" w:cs="Arial" w:eastAsia="Arial" w:hAnsi="Arial"/>
          <w:color w:val="222222"/>
          <w:sz w:val="22"/>
          <w:szCs w:val="22"/>
        </w:rPr>
        <w:t xml:space="preserve">When execution completes, AAI automatically generates a post-settlement report — a complete, structurally immutable record of what was authorized, what was executed, and how the two compare.</w:t>
      </w:r>
    </w:p>
    <w:p>
      <w:pPr>
        <w:spacing w:after="60" w:before="60"/>
      </w:pPr>
      <w:r>
        <w:t xml:space="preserve"/>
      </w:r>
    </w:p>
    <w:p>
      <w:pPr>
        <w:spacing w:after="80" w:before="80"/>
      </w:pPr>
      <w:r>
        <w:rPr>
          <w:rFonts w:ascii="Arial" w:cs="Arial" w:eastAsia="Arial" w:hAnsi="Arial"/>
          <w:color w:val="222222"/>
          <w:sz w:val="22"/>
          <w:szCs w:val="22"/>
        </w:rPr>
        <w:t xml:space="preserve">The post-settlement report contains: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Complete validation record: Every pre-execution validation decision, with the structural basis for each decision</w:t>
      </w:r>
    </w:p>
    <w:p>
      <w:pPr>
        <w:pStyle w:val="ListParagraph"/>
        <w:numPr>
          <w:ilvl w:val="0"/>
          <w:numId w:val="2"/>
        </w:numPr>
        <w:spacing w:after="60" w:before="60"/>
      </w:pPr>
      <w:r>
        <w:rPr>
          <w:rFonts w:ascii="Arial" w:cs="Arial" w:eastAsia="Arial" w:hAnsi="Arial"/>
          <w:b w:val="false"/>
          <w:bCs w:val="false"/>
          <w:sz w:val="22"/>
          <w:szCs w:val="22"/>
        </w:rPr>
        <w:t xml:space="preserve">Execution trace: Every action taken by AsAI, timestamped and linked to the authorizing validation</w:t>
      </w:r>
    </w:p>
    <w:p>
      <w:pPr>
        <w:pStyle w:val="ListParagraph"/>
        <w:numPr>
          <w:ilvl w:val="0"/>
          <w:numId w:val="2"/>
        </w:numPr>
        <w:spacing w:after="60" w:before="60"/>
      </w:pPr>
      <w:r>
        <w:rPr>
          <w:rFonts w:ascii="Arial" w:cs="Arial" w:eastAsia="Arial" w:hAnsi="Arial"/>
          <w:b w:val="false"/>
          <w:bCs w:val="false"/>
          <w:sz w:val="22"/>
          <w:szCs w:val="22"/>
        </w:rPr>
        <w:t xml:space="preserve">Resource accounting: Complete accounting of resources consumed, costs incurred, and value produced</w:t>
      </w:r>
    </w:p>
    <w:p>
      <w:pPr>
        <w:pStyle w:val="ListParagraph"/>
        <w:numPr>
          <w:ilvl w:val="0"/>
          <w:numId w:val="2"/>
        </w:numPr>
        <w:spacing w:after="60" w:before="60"/>
      </w:pPr>
      <w:r>
        <w:rPr>
          <w:rFonts w:ascii="Arial" w:cs="Arial" w:eastAsia="Arial" w:hAnsi="Arial"/>
          <w:b w:val="false"/>
          <w:bCs w:val="false"/>
          <w:sz w:val="22"/>
          <w:szCs w:val="22"/>
        </w:rPr>
        <w:t xml:space="preserve">Deviation log: Any runtime deviations detected, actions taken, and resolutions</w:t>
      </w:r>
    </w:p>
    <w:p>
      <w:pPr>
        <w:pStyle w:val="ListParagraph"/>
        <w:numPr>
          <w:ilvl w:val="0"/>
          <w:numId w:val="2"/>
        </w:numPr>
        <w:spacing w:after="60" w:before="60"/>
      </w:pPr>
      <w:r>
        <w:rPr>
          <w:rFonts w:ascii="Arial" w:cs="Arial" w:eastAsia="Arial" w:hAnsi="Arial"/>
          <w:b w:val="false"/>
          <w:bCs w:val="false"/>
          <w:sz w:val="22"/>
          <w:szCs w:val="22"/>
        </w:rPr>
        <w:t xml:space="preserve">Settlement confirmation: Structural confirmation that execution matched authorization within defined tolerances</w:t>
      </w:r>
    </w:p>
    <w:p>
      <w:pPr>
        <w:spacing w:after="60" w:before="60"/>
      </w:pPr>
      <w:r>
        <w:t xml:space="preserve"/>
      </w:r>
    </w:p>
    <w:p>
      <w:pPr>
        <w:spacing w:after="80" w:before="80"/>
      </w:pPr>
      <w:r>
        <w:rPr>
          <w:rFonts w:ascii="Arial" w:cs="Arial" w:eastAsia="Arial" w:hAnsi="Arial"/>
          <w:color w:val="222222"/>
          <w:sz w:val="22"/>
          <w:szCs w:val="22"/>
        </w:rPr>
        <w:t xml:space="preserve">This report is not created after the fact by a human accountant reviewing records. It is generated automatically by the structural verification process itself. It is topologically fixed at the moment of generation — meaning it cannot be altered, backdated, or selectively omitted from.</w:t>
      </w:r>
    </w:p>
    <w:p>
      <w:pPr>
        <w:spacing w:after="60" w:before="60"/>
      </w:pPr>
      <w:r>
        <w:t xml:space="preserve"/>
      </w:r>
    </w:p>
    <w:p>
      <w:pPr>
        <w:spacing w:after="80" w:before="80"/>
      </w:pPr>
      <w:r>
        <w:rPr>
          <w:rFonts w:ascii="Arial" w:cs="Arial" w:eastAsia="Arial" w:hAnsi="Arial"/>
          <w:b/>
          <w:bCs/>
          <w:color w:val="1A3A5C"/>
          <w:sz w:val="22"/>
          <w:szCs w:val="22"/>
        </w:rPr>
        <w:t xml:space="preserve">This is Structural Evidence — the most legally robust form of record that has ever existed.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IV: Structural Evidence — The End of Documentary Proof</w:t>
      </w:r>
    </w:p>
    <w:p>
      <w:pPr>
        <w:pStyle w:val="Heading2"/>
        <w:spacing w:after="160" w:before="320"/>
      </w:pPr>
      <w:r>
        <w:rPr>
          <w:rFonts w:ascii="Arial" w:cs="Arial" w:eastAsia="Arial" w:hAnsi="Arial"/>
          <w:b/>
          <w:bCs/>
          <w:color w:val="2E6DA4"/>
          <w:sz w:val="26"/>
          <w:szCs w:val="26"/>
        </w:rPr>
        <w:t xml:space="preserve">4.1 What Makes Evidence Structural</w:t>
      </w:r>
    </w:p>
    <w:p>
      <w:pPr>
        <w:spacing w:after="80" w:before="80"/>
      </w:pPr>
      <w:r>
        <w:rPr>
          <w:rFonts w:ascii="Arial" w:cs="Arial" w:eastAsia="Arial" w:hAnsi="Arial"/>
          <w:color w:val="222222"/>
          <w:sz w:val="22"/>
          <w:szCs w:val="22"/>
        </w:rPr>
        <w:t xml:space="preserve">In the current legal system, evidence is documentary. Contracts are signed. Invoices are issued. Emails are sent. Financial statements are prepared. The legal system then evaluates the authenticity and reliability of these documents when disputes arise.</w:t>
      </w:r>
    </w:p>
    <w:p>
      <w:pPr>
        <w:spacing w:after="60" w:before="60"/>
      </w:pPr>
      <w:r>
        <w:t xml:space="preserve"/>
      </w:r>
    </w:p>
    <w:p>
      <w:pPr>
        <w:spacing w:after="80" w:before="80"/>
      </w:pPr>
      <w:r>
        <w:rPr>
          <w:rFonts w:ascii="Arial" w:cs="Arial" w:eastAsia="Arial" w:hAnsi="Arial"/>
          <w:color w:val="222222"/>
          <w:sz w:val="22"/>
          <w:szCs w:val="22"/>
        </w:rPr>
        <w:t xml:space="preserve">Documentary evidence has three fundamental weaknesses:</w:t>
      </w:r>
    </w:p>
    <w:p>
      <w:pPr>
        <w:spacing w:after="60" w:before="60"/>
      </w:pPr>
      <w:r>
        <w:t xml:space="preserve"/>
      </w:r>
    </w:p>
    <w:p>
      <w:pPr>
        <w:pStyle w:val="ListParagraph"/>
        <w:numPr>
          <w:ilvl w:val="0"/>
          <w:numId w:val="3"/>
        </w:numPr>
        <w:spacing w:after="80" w:before="80"/>
      </w:pPr>
      <w:r>
        <w:rPr>
          <w:rFonts w:ascii="Arial" w:cs="Arial" w:eastAsia="Arial" w:hAnsi="Arial"/>
          <w:sz w:val="22"/>
          <w:szCs w:val="22"/>
        </w:rPr>
        <w:t xml:space="preserve">It is created by parties with an interest in the outcome — creating inherent authenticity risk</w:t>
      </w:r>
    </w:p>
    <w:p>
      <w:pPr>
        <w:pStyle w:val="ListParagraph"/>
        <w:numPr>
          <w:ilvl w:val="0"/>
          <w:numId w:val="3"/>
        </w:numPr>
        <w:spacing w:after="80" w:before="80"/>
      </w:pPr>
      <w:r>
        <w:rPr>
          <w:rFonts w:ascii="Arial" w:cs="Arial" w:eastAsia="Arial" w:hAnsi="Arial"/>
          <w:sz w:val="22"/>
          <w:szCs w:val="22"/>
        </w:rPr>
        <w:t xml:space="preserve">It is created after the event it records — creating temporal integrity risk</w:t>
      </w:r>
    </w:p>
    <w:p>
      <w:pPr>
        <w:pStyle w:val="ListParagraph"/>
        <w:numPr>
          <w:ilvl w:val="0"/>
          <w:numId w:val="3"/>
        </w:numPr>
        <w:spacing w:after="80" w:before="80"/>
      </w:pPr>
      <w:r>
        <w:rPr>
          <w:rFonts w:ascii="Arial" w:cs="Arial" w:eastAsia="Arial" w:hAnsi="Arial"/>
          <w:sz w:val="22"/>
          <w:szCs w:val="22"/>
        </w:rPr>
        <w:t xml:space="preserve">It is stored in systems controlled by one party — creating custodial integrity risk</w:t>
      </w:r>
    </w:p>
    <w:p>
      <w:pPr>
        <w:spacing w:after="60" w:before="60"/>
      </w:pPr>
      <w:r>
        <w:t xml:space="preserve"/>
      </w:r>
    </w:p>
    <w:p>
      <w:pPr>
        <w:spacing w:after="80" w:before="80"/>
      </w:pPr>
      <w:r>
        <w:rPr>
          <w:rFonts w:ascii="Arial" w:cs="Arial" w:eastAsia="Arial" w:hAnsi="Arial"/>
          <w:color w:val="222222"/>
          <w:sz w:val="22"/>
          <w:szCs w:val="22"/>
        </w:rPr>
        <w:t xml:space="preserve">Structural Evidence, as generated by AAI's verification mechanism, eliminates all three weaknesses: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Weakness</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Documentary Evidence</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Evidence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Who creates it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Party to the transaction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 structurally independent of all parties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When it is created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After the event, by human action</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 the moment of execution, automatically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Where it is stored</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System controlled by one party</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Topologically fixed in the Velsanet structure — no single party controls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 it be altered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with sufficient access or collusion</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topological fixation makes retroactive alteration architecturally impossible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Legal weight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Requires authentication and chain of custody proof</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Self-authenticating — structural conformance is verifiable by any authorized party at any time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Implications for Legal and Financial Systems</w:t>
      </w:r>
    </w:p>
    <w:p>
      <w:pPr>
        <w:spacing w:after="80" w:before="80"/>
      </w:pPr>
      <w:r>
        <w:rPr>
          <w:rFonts w:ascii="Arial" w:cs="Arial" w:eastAsia="Arial" w:hAnsi="Arial"/>
          <w:color w:val="222222"/>
          <w:sz w:val="22"/>
          <w:szCs w:val="22"/>
        </w:rPr>
        <w:t xml:space="preserve">When Structural Evidence becomes the standard record of economic transactions, the implications for legal and financial systems are profound:</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Contract disputes: The question is no longer 'what did the parties agree to?' but 'what did AAI validate?' The structural record is unimpeachable.</w:t>
      </w:r>
    </w:p>
    <w:p>
      <w:pPr>
        <w:pStyle w:val="ListParagraph"/>
        <w:numPr>
          <w:ilvl w:val="0"/>
          <w:numId w:val="2"/>
        </w:numPr>
        <w:spacing w:after="60" w:before="60"/>
      </w:pPr>
      <w:r>
        <w:rPr>
          <w:rFonts w:ascii="Arial" w:cs="Arial" w:eastAsia="Arial" w:hAnsi="Arial"/>
          <w:b w:val="false"/>
          <w:bCs w:val="false"/>
          <w:sz w:val="22"/>
          <w:szCs w:val="22"/>
        </w:rPr>
        <w:t xml:space="preserve">Financial audits: Continuous structural accounting eliminates the need for periodic audits. The audit is always current, always complete, always accessible.</w:t>
      </w:r>
    </w:p>
    <w:p>
      <w:pPr>
        <w:pStyle w:val="ListParagraph"/>
        <w:numPr>
          <w:ilvl w:val="0"/>
          <w:numId w:val="2"/>
        </w:numPr>
        <w:spacing w:after="60" w:before="60"/>
      </w:pPr>
      <w:r>
        <w:rPr>
          <w:rFonts w:ascii="Arial" w:cs="Arial" w:eastAsia="Arial" w:hAnsi="Arial"/>
          <w:b w:val="false"/>
          <w:bCs w:val="false"/>
          <w:sz w:val="22"/>
          <w:szCs w:val="22"/>
        </w:rPr>
        <w:t xml:space="preserve">Regulatory enforcement: Regulators access the structural record directly. No subpoena required. No document production. No discovery process.</w:t>
      </w:r>
    </w:p>
    <w:p>
      <w:pPr>
        <w:pStyle w:val="ListParagraph"/>
        <w:numPr>
          <w:ilvl w:val="0"/>
          <w:numId w:val="2"/>
        </w:numPr>
        <w:spacing w:after="60" w:before="60"/>
      </w:pPr>
      <w:r>
        <w:rPr>
          <w:rFonts w:ascii="Arial" w:cs="Arial" w:eastAsia="Arial" w:hAnsi="Arial"/>
          <w:b w:val="false"/>
          <w:bCs w:val="false"/>
          <w:sz w:val="22"/>
          <w:szCs w:val="22"/>
        </w:rPr>
        <w:t xml:space="preserve">Cross-border litigation: Jurisdiction is structurally determined at Q4. The applicable law and its application are part of the structural record. No conflict of laws analysis needed.</w:t>
      </w:r>
    </w:p>
    <w:p>
      <w:pPr>
        <w:pStyle w:val="ListParagraph"/>
        <w:numPr>
          <w:ilvl w:val="0"/>
          <w:numId w:val="2"/>
        </w:numPr>
        <w:spacing w:after="60" w:before="60"/>
      </w:pPr>
      <w:r>
        <w:rPr>
          <w:rFonts w:ascii="Arial" w:cs="Arial" w:eastAsia="Arial" w:hAnsi="Arial"/>
          <w:b w:val="false"/>
          <w:bCs w:val="false"/>
          <w:sz w:val="22"/>
          <w:szCs w:val="22"/>
        </w:rPr>
        <w:t xml:space="preserve">Insurance claims: The structural record determines whether the triggering event occurred and whether the conditions for payout were met. No claims adjuster required.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 Security — Why the Architecture Cannot Be Compromised</w:t>
      </w:r>
    </w:p>
    <w:p>
      <w:pPr>
        <w:pStyle w:val="Heading2"/>
        <w:spacing w:after="160" w:before="320"/>
      </w:pPr>
      <w:r>
        <w:rPr>
          <w:rFonts w:ascii="Arial" w:cs="Arial" w:eastAsia="Arial" w:hAnsi="Arial"/>
          <w:b/>
          <w:bCs/>
          <w:color w:val="2E6DA4"/>
          <w:sz w:val="26"/>
          <w:szCs w:val="26"/>
        </w:rPr>
        <w:t xml:space="preserve">5.1 Connection, Not Access</w:t>
      </w:r>
    </w:p>
    <w:p>
      <w:pPr>
        <w:spacing w:after="80" w:before="80"/>
      </w:pPr>
      <w:r>
        <w:rPr>
          <w:rFonts w:ascii="Arial" w:cs="Arial" w:eastAsia="Arial" w:hAnsi="Arial"/>
          <w:color w:val="222222"/>
          <w:sz w:val="22"/>
          <w:szCs w:val="22"/>
        </w:rPr>
        <w:t xml:space="preserve">All existing network security is built on the concept of access control: entities request access to resources, and security systems decide whether to grant it. This model has one fundamental weakness: if the access control system is compromised, the security is gone.</w:t>
      </w:r>
    </w:p>
    <w:p>
      <w:pPr>
        <w:spacing w:after="60" w:before="60"/>
      </w:pPr>
      <w:r>
        <w:t xml:space="preserve"/>
      </w:r>
    </w:p>
    <w:p>
      <w:pPr>
        <w:spacing w:after="80" w:before="80"/>
      </w:pPr>
      <w:r>
        <w:rPr>
          <w:rFonts w:ascii="Arial" w:cs="Arial" w:eastAsia="Arial" w:hAnsi="Arial"/>
          <w:color w:val="222222"/>
          <w:sz w:val="22"/>
          <w:szCs w:val="22"/>
        </w:rPr>
        <w:t xml:space="preserve">Velsanet is built on a different concept entirely: connection, not access. In Velsanet, network relationships are established through structural conformance at the physical layer — not through software-mediated access requests. A device either conforms structurally to the network or it does not exist within it.</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There is no access to deny because there is no access to grant. There is only structural conformance or structural absence.</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5.2 The AAI Security Chain</w:t>
      </w:r>
    </w:p>
    <w:p>
      <w:pPr>
        <w:spacing w:after="80" w:before="80"/>
      </w:pPr>
      <w:r>
        <w:rPr>
          <w:rFonts w:ascii="Arial" w:cs="Arial" w:eastAsia="Arial" w:hAnsi="Arial"/>
          <w:color w:val="222222"/>
          <w:sz w:val="22"/>
          <w:szCs w:val="22"/>
        </w:rPr>
        <w:t xml:space="preserve">Even if a malicious entity could somehow achieve structural conformance (which requires physical hardware integration at the Velsanet node level), it would still face the AAI security chain — a layered set of structural barriers that make unauthorized execution architecturally impossible.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13"/>
        <w:gridCol w:w="44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Security Layer</w:t>
            </w:r>
          </w:p>
        </w:tc>
        <w:tc>
          <w:tcPr>
            <w:tcW w:type="dxa" w:w="2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4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Prevents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conformance</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Physical MOCT integration required for network presence</w:t>
            </w:r>
          </w:p>
        </w:tc>
        <w:tc>
          <w:tcPr>
            <w:tcW w:type="dxa" w:w="4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Unauthorized devices cannot exist in the network — no software exploit can substitute for physical structural conformance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sovereignty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 originates only from structurally bound PAI</w:t>
            </w:r>
          </w:p>
        </w:tc>
        <w:tc>
          <w:tcPr>
            <w:tcW w:type="dxa" w:w="4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Injected or fabricated intent has no PAI origin — it cannot enter the validation chain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pre-execution gate</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 execution path exists without AAI validation</w:t>
            </w:r>
          </w:p>
        </w:tc>
        <w:tc>
          <w:tcPr>
            <w:tcW w:type="dxa" w:w="4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Even if AsAI is compromised, it cannot execute without AAI authorization — the execution path does not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runtime monitoring</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AsAI actions monitored against validated intent</w:t>
            </w:r>
          </w:p>
        </w:tc>
        <w:tc>
          <w:tcPr>
            <w:tcW w:type="dxa" w:w="4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deviation from authorized intent triggers immediate halt — execution cannot drift beyond its structural authorization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Q4 sovereign boundary</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Cross-national execution requires structural authorization at Q4</w:t>
            </w:r>
          </w:p>
        </w:tc>
        <w:tc>
          <w:tcPr>
            <w:tcW w:type="dxa" w:w="4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Cross-border attacks cannot propagate without Q4 authorization — sovereign boundaries are architectural, not firewall-based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Evidence immutability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records topologically fixed at creation</w:t>
            </w:r>
          </w:p>
        </w:tc>
        <w:tc>
          <w:tcPr>
            <w:tcW w:type="dxa" w:w="4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Post-hoc falsification of transaction records is architecturally impossible — there is no mechanism to alter a topologically fixed record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5.3 Ghost Data — The Fate of Unauthorized Actions</w:t>
      </w:r>
    </w:p>
    <w:p>
      <w:pPr>
        <w:spacing w:after="80" w:before="80"/>
      </w:pPr>
      <w:r>
        <w:rPr>
          <w:rFonts w:ascii="Arial" w:cs="Arial" w:eastAsia="Arial" w:hAnsi="Arial"/>
          <w:color w:val="222222"/>
          <w:sz w:val="22"/>
          <w:szCs w:val="22"/>
        </w:rPr>
        <w:t xml:space="preserve">When an unauthorized action is attempted in the Velsanet architecture — whether by an external attacker, a compromised device, or a malicious insider — the result is not a security breach. It is the creation of what can be called Ghost Data.</w:t>
      </w:r>
    </w:p>
    <w:p>
      <w:pPr>
        <w:spacing w:after="60" w:before="60"/>
      </w:pPr>
      <w:r>
        <w:t xml:space="preserve"/>
      </w:r>
    </w:p>
    <w:p>
      <w:pPr>
        <w:spacing w:after="80" w:before="80"/>
      </w:pPr>
      <w:r>
        <w:rPr>
          <w:rFonts w:ascii="Arial" w:cs="Arial" w:eastAsia="Arial" w:hAnsi="Arial"/>
          <w:color w:val="222222"/>
          <w:sz w:val="22"/>
          <w:szCs w:val="22"/>
        </w:rPr>
        <w:t xml:space="preserve">Ghost Data is data that exists physically in some part of the network but has no structural validity. It has no AAI validation record. It has no PAI origin. It has no Q4 authorization. It cannot produce AsAI execution. It cannot generate Structural Evidence.</w:t>
      </w:r>
    </w:p>
    <w:p>
      <w:pPr>
        <w:spacing w:after="60" w:before="60"/>
      </w:pPr>
      <w:r>
        <w:t xml:space="preserve"/>
      </w:r>
    </w:p>
    <w:p>
      <w:pPr>
        <w:spacing w:after="80" w:before="80"/>
      </w:pPr>
      <w:r>
        <w:rPr>
          <w:rFonts w:ascii="Arial" w:cs="Arial" w:eastAsia="Arial" w:hAnsi="Arial"/>
          <w:color w:val="222222"/>
          <w:sz w:val="22"/>
          <w:szCs w:val="22"/>
        </w:rPr>
        <w:t xml:space="preserve">From the perspective of the Velsanet economy, Ghost Data does not exist. It cannot complete a transaction. It cannot create a legal record. It cannot consume authorized resources. It cannot cross a Q4 boundary. It is automatically isolated by the structural verification process — not because a security system detected it, but because it structurally cannot participate in the network's operation.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Velsanet, the network does not defend against attacks. It simply does not recognize unauthorized actions as real. They produce no structural effect.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5.4 Comparison with Conventional Security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Security Property</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Conventional Model</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Structural Model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Authentication</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Cryptographic certificates; can be stolen or forged</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conformance at physical layer; cannot be emulated in software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Authorization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Access control lists; can be misconfigured or bypassed</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structural gate; no execution path without validation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Integrity</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Cryptographic hashing; depends on key security</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Topological fixation; no mechanism for retroactive alteration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Non-repudiation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Digital signatures; requires key custody chain</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Evidence; self-authenticating, no key required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Boundary enforcement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Firewalls and VPNs; software-based, bypassable</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Q4 sovereign layer; architectural, not software-enforced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 files; can be deleted or altered</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Evidence; topologically immutable, continuously generated</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VI: The Moment Law Becomes Architecture</w:t>
      </w:r>
    </w:p>
    <w:p>
      <w:pPr>
        <w:pStyle w:val="Heading2"/>
        <w:spacing w:after="160" w:before="320"/>
      </w:pPr>
      <w:r>
        <w:rPr>
          <w:rFonts w:ascii="Arial" w:cs="Arial" w:eastAsia="Arial" w:hAnsi="Arial"/>
          <w:b/>
          <w:bCs/>
          <w:color w:val="2E6DA4"/>
          <w:sz w:val="26"/>
          <w:szCs w:val="26"/>
        </w:rPr>
        <w:t xml:space="preserve">6.1 What Changes for Governments</w:t>
      </w:r>
    </w:p>
    <w:p>
      <w:pPr>
        <w:spacing w:after="80" w:before="80"/>
      </w:pPr>
      <w:r>
        <w:rPr>
          <w:rFonts w:ascii="Arial" w:cs="Arial" w:eastAsia="Arial" w:hAnsi="Arial"/>
          <w:color w:val="222222"/>
          <w:sz w:val="22"/>
          <w:szCs w:val="22"/>
        </w:rPr>
        <w:t xml:space="preserve">In the current system, governments create law and then spend enormous resources trying to enforce it: through regulatory agencies, inspections, audits, courts, and sanctions. The gap between law and compliance is a permanent feature of every legal system.</w:t>
      </w:r>
    </w:p>
    <w:p>
      <w:pPr>
        <w:spacing w:after="60" w:before="60"/>
      </w:pPr>
      <w:r>
        <w:t xml:space="preserve"/>
      </w:r>
    </w:p>
    <w:p>
      <w:pPr>
        <w:spacing w:after="80" w:before="80"/>
      </w:pPr>
      <w:r>
        <w:rPr>
          <w:rFonts w:ascii="Arial" w:cs="Arial" w:eastAsia="Arial" w:hAnsi="Arial"/>
          <w:color w:val="222222"/>
          <w:sz w:val="22"/>
          <w:szCs w:val="22"/>
        </w:rPr>
        <w:t xml:space="preserve">In the Velsanet economy, governments provide law as data — and the architecture enforces it automatically.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Government Function</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Form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Legislation</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Statutes interpreted by lawyers and courts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Statutory logic encoded as AAI validation parameters at Q4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Rules enforced by agencies through inspection and penalty</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conditions encoded as structural execution gates — non-compliance is architecturally impossible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Taxation</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Self-reported by entities; verified by periodic audit</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accounting generates automatic tax record at transaction time; evasion is architecturally impossible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Border control</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Physical inspection; documentary verification</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structural boundary requires authorization for any cross-border execution; no physical inspection needed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Public services</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Application processes; eligibility verification by human administrators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validates eligibility structurally; AsAI executes delivery automatically; no administrative overhead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6.2 What Changes for Enterprises</w:t>
      </w:r>
    </w:p>
    <w:p>
      <w:pPr>
        <w:spacing w:after="80" w:before="80"/>
      </w:pPr>
      <w:r>
        <w:rPr>
          <w:rFonts w:ascii="Arial" w:cs="Arial" w:eastAsia="Arial" w:hAnsi="Arial"/>
          <w:color w:val="222222"/>
          <w:sz w:val="22"/>
          <w:szCs w:val="22"/>
        </w:rPr>
        <w:t xml:space="preserve">For enterprises, the Velsanet trust architecture eliminates entire categories of cost and risk that are currently treated as the unavoidable overhead of doing business: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Compliance costs: Eliminated. Structural conformance is automatic. There is nothing to comply with separately from transacting.</w:t>
      </w:r>
    </w:p>
    <w:p>
      <w:pPr>
        <w:pStyle w:val="ListParagraph"/>
        <w:numPr>
          <w:ilvl w:val="0"/>
          <w:numId w:val="2"/>
        </w:numPr>
        <w:spacing w:after="60" w:before="60"/>
      </w:pPr>
      <w:r>
        <w:rPr>
          <w:rFonts w:ascii="Arial" w:cs="Arial" w:eastAsia="Arial" w:hAnsi="Arial"/>
          <w:b w:val="false"/>
          <w:bCs w:val="false"/>
          <w:sz w:val="22"/>
          <w:szCs w:val="22"/>
        </w:rPr>
        <w:t xml:space="preserve">Audit costs: Eliminated. Structural accounting is continuous and automatic. No periodic audit engagement required.</w:t>
      </w:r>
    </w:p>
    <w:p>
      <w:pPr>
        <w:pStyle w:val="ListParagraph"/>
        <w:numPr>
          <w:ilvl w:val="0"/>
          <w:numId w:val="2"/>
        </w:numPr>
        <w:spacing w:after="60" w:before="60"/>
      </w:pPr>
      <w:r>
        <w:rPr>
          <w:rFonts w:ascii="Arial" w:cs="Arial" w:eastAsia="Arial" w:hAnsi="Arial"/>
          <w:b w:val="false"/>
          <w:bCs w:val="false"/>
          <w:sz w:val="22"/>
          <w:szCs w:val="22"/>
        </w:rPr>
        <w:t xml:space="preserve">Legal dispute costs: Dramatically reduced. Structural Evidence resolves most factual disputes before they reach litigation. The question becomes one of structural record interpretation, not document authenticity.</w:t>
      </w:r>
    </w:p>
    <w:p>
      <w:pPr>
        <w:pStyle w:val="ListParagraph"/>
        <w:numPr>
          <w:ilvl w:val="0"/>
          <w:numId w:val="2"/>
        </w:numPr>
        <w:spacing w:after="60" w:before="60"/>
      </w:pPr>
      <w:r>
        <w:rPr>
          <w:rFonts w:ascii="Arial" w:cs="Arial" w:eastAsia="Arial" w:hAnsi="Arial"/>
          <w:b w:val="false"/>
          <w:bCs w:val="false"/>
          <w:sz w:val="22"/>
          <w:szCs w:val="22"/>
        </w:rPr>
        <w:t xml:space="preserve">Counterparty risk: Structurally managed. AAI validates counterparty authorization before execution. No transaction completes without bilateral structural validation.</w:t>
      </w:r>
    </w:p>
    <w:p>
      <w:pPr>
        <w:pStyle w:val="ListParagraph"/>
        <w:numPr>
          <w:ilvl w:val="0"/>
          <w:numId w:val="2"/>
        </w:numPr>
        <w:spacing w:after="60" w:before="60"/>
      </w:pPr>
      <w:r>
        <w:rPr>
          <w:rFonts w:ascii="Arial" w:cs="Arial" w:eastAsia="Arial" w:hAnsi="Arial"/>
          <w:b w:val="false"/>
          <w:bCs w:val="false"/>
          <w:sz w:val="22"/>
          <w:szCs w:val="22"/>
        </w:rPr>
        <w:t xml:space="preserve">Cross-border friction: Eliminated. Q4 sovereign boundaries are structural. Applicable law is automatically determined and applied. No multi-jurisdiction legal analysis required for routine transactions.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6.3 What Changes for Individuals</w:t>
      </w:r>
    </w:p>
    <w:p>
      <w:pPr>
        <w:spacing w:after="80" w:before="80"/>
      </w:pPr>
      <w:r>
        <w:rPr>
          <w:rFonts w:ascii="Arial" w:cs="Arial" w:eastAsia="Arial" w:hAnsi="Arial"/>
          <w:color w:val="222222"/>
          <w:sz w:val="22"/>
          <w:szCs w:val="22"/>
        </w:rPr>
        <w:t xml:space="preserve">For individuals, the transformation is more personal. The professional intermediaries that currently stand between a person and the execution of their intentions — lawyers to draft contracts, accountants to prepare filings, notaries to authenticate documents — are no longer gatekeepers.</w:t>
      </w:r>
    </w:p>
    <w:p>
      <w:pPr>
        <w:spacing w:after="60" w:before="60"/>
      </w:pPr>
      <w:r>
        <w:t xml:space="preserve"/>
      </w:r>
    </w:p>
    <w:p>
      <w:pPr>
        <w:spacing w:after="80" w:before="80"/>
      </w:pPr>
      <w:r>
        <w:rPr>
          <w:rFonts w:ascii="Arial" w:cs="Arial" w:eastAsia="Arial" w:hAnsi="Arial"/>
          <w:color w:val="222222"/>
          <w:sz w:val="22"/>
          <w:szCs w:val="22"/>
        </w:rPr>
        <w:t xml:space="preserve">This does not mean these professionals disappear. It means they are no longer required for every transaction. Their expertise becomes available to everyone through the AAI layer — not as bespoke professional services, but as structural guarantees that operate automatically.</w:t>
      </w:r>
    </w:p>
    <w:p>
      <w:pPr>
        <w:spacing w:after="60" w:before="60"/>
      </w:pPr>
      <w:r>
        <w:t xml:space="preserve"/>
      </w:r>
    </w:p>
    <w:p>
      <w:pPr>
        <w:spacing w:after="80" w:before="80"/>
      </w:pPr>
      <w:r>
        <w:rPr>
          <w:rFonts w:ascii="Arial" w:cs="Arial" w:eastAsia="Arial" w:hAnsi="Arial"/>
          <w:color w:val="222222"/>
          <w:sz w:val="22"/>
          <w:szCs w:val="22"/>
        </w:rPr>
        <w:t xml:space="preserve">The individual's PAI generates intent. AAI validates it with the full weight of applicable law, policy, and ethics. AsAI executes it. The individual has access to the institutional trust infrastructure of the entire legal and financial system — automatically, at hardware speed, for every transaction, regardless of scale.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For the first time in human history, institutional trust is not a privilege of those who can afford professional intermediaries. It is a structural property of every transaction.</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Conclusion: Trust as Infrastructure</w:t>
      </w:r>
    </w:p>
    <w:p>
      <w:pPr>
        <w:spacing w:after="80" w:before="80"/>
      </w:pPr>
      <w:r>
        <w:rPr>
          <w:rFonts w:ascii="Arial" w:cs="Arial" w:eastAsia="Arial" w:hAnsi="Arial"/>
          <w:color w:val="222222"/>
          <w:sz w:val="22"/>
          <w:szCs w:val="22"/>
        </w:rPr>
        <w:t xml:space="preserve">The history of economic development is, in large part, the history of trust infrastructure. Property rights enabled land markets. Contract law enabled commerce. Banking enabled capital allocation. Accounting standards enabled investment. Each layer of trust infrastructure unlocked a new layer of economic activity.</w:t>
      </w:r>
    </w:p>
    <w:p>
      <w:pPr>
        <w:spacing w:after="60" w:before="60"/>
      </w:pPr>
      <w:r>
        <w:t xml:space="preserve"/>
      </w:r>
    </w:p>
    <w:p>
      <w:pPr>
        <w:spacing w:after="80" w:before="80"/>
      </w:pPr>
      <w:r>
        <w:rPr>
          <w:rFonts w:ascii="Arial" w:cs="Arial" w:eastAsia="Arial" w:hAnsi="Arial"/>
          <w:color w:val="222222"/>
          <w:sz w:val="22"/>
          <w:szCs w:val="22"/>
        </w:rPr>
        <w:t xml:space="preserve">Velsanet adds the next layer: structural trust — trust that is not manufactured by intermediaries after the fact, but embedded in the architecture of the network before any transaction begins.</w:t>
      </w:r>
    </w:p>
    <w:p>
      <w:pPr>
        <w:spacing w:after="60" w:before="60"/>
      </w:pPr>
      <w:r>
        <w:t xml:space="preserve"/>
      </w:r>
    </w:p>
    <w:p>
      <w:pPr>
        <w:spacing w:after="80" w:before="80"/>
      </w:pPr>
      <w:r>
        <w:rPr>
          <w:rFonts w:ascii="Arial" w:cs="Arial" w:eastAsia="Arial" w:hAnsi="Arial"/>
          <w:color w:val="222222"/>
          <w:sz w:val="22"/>
          <w:szCs w:val="22"/>
        </w:rPr>
        <w:t xml:space="preserve">AAI is the mechanism of this structural trust. As Digital Certified Professional — simultaneously lawyer, accountant, notary, auditor, and compliance officer — it performs the verification function that currently requires armies of human professionals, at network speed, for every transaction, automatically.</w:t>
      </w:r>
    </w:p>
    <w:p>
      <w:pPr>
        <w:spacing w:after="60" w:before="60"/>
      </w:pPr>
      <w:r>
        <w:t xml:space="preserve"/>
      </w:r>
    </w:p>
    <w:p>
      <w:pPr>
        <w:spacing w:after="80" w:before="80"/>
      </w:pPr>
      <w:r>
        <w:rPr>
          <w:rFonts w:ascii="Arial" w:cs="Arial" w:eastAsia="Arial" w:hAnsi="Arial"/>
          <w:color w:val="222222"/>
          <w:sz w:val="22"/>
          <w:szCs w:val="22"/>
        </w:rPr>
        <w:t xml:space="preserve">The security that results from this architecture is not the product of clever cryptography or vigilant monitoring. It is the structural consequence of a network in which unauthorized actions are not detected and blocked — they simply produce no effect. Ghost Data cannot transact. Unvalidated intent cannot execute. Unauthorized execution cannot generate Structural Evidence.</w:t>
      </w:r>
    </w:p>
    <w:p>
      <w:pPr>
        <w:spacing w:after="60" w:before="60"/>
      </w:pPr>
      <w:r>
        <w:t xml:space="preserve"/>
      </w:r>
    </w:p>
    <w:p>
      <w:pPr>
        <w:spacing w:after="80" w:before="80"/>
      </w:pPr>
      <w:r>
        <w:rPr>
          <w:rFonts w:ascii="Arial" w:cs="Arial" w:eastAsia="Arial" w:hAnsi="Arial"/>
          <w:color w:val="222222"/>
          <w:sz w:val="22"/>
          <w:szCs w:val="22"/>
        </w:rPr>
        <w:t xml:space="preserve">The moment law becomes architecture is not a metaphor. It is a precise description of what happens when the validation logic of legal, financial, and ethical systems is encoded as structural parameters of a network that cannot execute without them.</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Velsanet, you do not trust the system because you believe it is honest. You trust it because dishonesty is architecturally impossible.</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2026-04-10T21:36:09.673Z</dcterms:created>
  <dcterms:modified xsi:type="dcterms:W3CDTF">2026-04-10T21:36:09.673Z</dcterms:modified>
</cp:coreProperties>
</file>

<file path=docProps/custom.xml><?xml version="1.0" encoding="utf-8"?>
<Properties xmlns="http://schemas.openxmlformats.org/officeDocument/2006/custom-properties" xmlns:vt="http://schemas.openxmlformats.org/officeDocument/2006/docPropsVTypes"/>
</file>