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595959"/>
          <w:sz w:val="20"/>
          <w:szCs w:val="20"/>
        </w:rPr>
        <w:t xml:space="preserve">VELSANET ARCHITECTURE GROUP | TECHNICAL DESIGN DOCUMENT</w:t>
      </w:r>
    </w:p>
    <w:p>
      <w:pPr>
        <w:pStyle w:val="Title"/>
        <w:spacing w:after="60" w:before="0"/>
        <w:jc w:val="center"/>
      </w:pPr>
      <w:r>
        <w:rPr>
          <w:b/>
          <w:bCs/>
        </w:rPr>
        <w:t xml:space="preserve">WP#27 — PAI AI Data Center Deployment Guide</w:t>
      </w:r>
    </w:p>
    <w:p>
      <w:pPr>
        <w:spacing w:after="160" w:before="40"/>
        <w:jc w:val="center"/>
      </w:pPr>
      <w:r>
        <w:rPr>
          <w:i/>
          <w:iCs/>
          <w:color w:val="595959"/>
          <w:sz w:val="18"/>
          <w:szCs w:val="18"/>
        </w:rPr>
        <w:t xml:space="preserve">Multi-Instance Parallel Operation · Rack Wiring · DC Power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6"/>
        <w:gridCol w:w="703"/>
        <w:gridCol w:w="3559"/>
        <w:gridCol w:w="3912"/>
      </w:tblGrid>
      <w:tr>
        <w:trPr>
          <w:tblHeader/>
        </w:trPr>
        <w:tc>
          <w:tcPr>
            <w:tcW w:type="dxa" w:w="118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Classification</w:t>
            </w:r>
          </w:p>
        </w:tc>
        <w:tc>
          <w:tcPr>
            <w:tcW w:type="dxa" w:w="70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Version</w:t>
            </w:r>
          </w:p>
        </w:tc>
        <w:tc>
          <w:tcPr>
            <w:tcW w:type="dxa" w:w="355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Scope</w:t>
            </w:r>
          </w:p>
        </w:tc>
        <w:tc>
          <w:tcPr>
            <w:tcW w:type="dxa" w:w="391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118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Public — Open Specification</w:t>
            </w:r>
          </w:p>
        </w:tc>
        <w:tc>
          <w:tcPr>
            <w:tcW w:type="dxa" w:w="70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v1.1 (R2) │ 2026</w:t>
            </w:r>
          </w:p>
        </w:tc>
        <w:tc>
          <w:tcPr>
            <w:tcW w:type="dxa" w:w="355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Data Center Deployment — Multi-Instance Operation, Rack Wiring, Power Spec</w:t>
            </w:r>
          </w:p>
        </w:tc>
        <w:tc>
          <w:tcPr>
            <w:tcW w:type="dxa" w:w="39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Extends Cognition Cube HW Design v1.1 §1.1, §7; WP#24 §11.1; WP#25 R1 Table B-5; WP#26 §4</w:t>
            </w:r>
          </w:p>
        </w:tc>
      </w:tr>
    </w:tbl>
    <w:p>
      <w:pPr>
        <w:spacing w:after="80"/>
      </w:pPr>
    </w:p>
    <w:p>
      <w:pPr>
        <w:spacing w:after="200" w:before="0"/>
        <w:jc w:val="center"/>
      </w:pPr>
      <w:r>
        <w:rPr>
          <w:color w:val="808080"/>
          <w:sz w:val="18"/>
          <w:szCs w:val="18"/>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Governance note: This specification is published in full under the Velsanet open-specification policy. Certification against the deployment parameters in this document — not confidentiality — is the mechanism by which conformance and interoperability are controlled.</w:t>
            </w:r>
          </w:p>
        </w:tc>
      </w:tr>
    </w:tbl>
    <w:p>
      <w:pPr>
        <w:spacing w:after="80"/>
      </w:pPr>
    </w:p>
    <w:p>
      <w:pPr>
        <w:pStyle w:val="Heading1"/>
        <w:spacing w:after="120" w:before="260"/>
      </w:pPr>
      <w:r>
        <w:t xml:space="preserve">1. Purpose and Scope</w:t>
      </w:r>
    </w:p>
    <w:p>
      <w:pPr>
        <w:spacing w:after="140"/>
      </w:pPr>
      <w:r>
        <w:t xml:space="preserve">WP#27 is the deployment-facing counterpart to WP#26 for the PAI (Personal AI) side of the Velsanet Cognition Cube architecture. Where WP#26 fixed the SEU1 RTL engine template shared by every PAI and every EAI, this document fixes how that engine is deployed at scale in an AI Data Center: multiple concurrent PAI instances sharing a Node_8 hub, the physical rack wiring that connects them, and the power specification that differs fundamentally from EAI’s field deployment (WP#28).</w:t>
      </w:r>
    </w:p>
    <w:p>
      <w:pPr>
        <w:spacing w:after="140"/>
      </w:pPr>
      <w:r>
        <w:t xml:space="preserve">Scope includes: the architectural basis for multi-instance PAI operation (Section 4); rack-level physical wiring using the MOCT fixed-ribbon convention (Section 5); AI Data Center power specification (Section 6); and the environmental/physical contrasts with EAI that justify a separate deployment guide (Section 3).</w:t>
      </w:r>
    </w:p>
    <w:p>
      <w:pPr>
        <w:spacing w:after="140"/>
      </w:pPr>
      <w:r>
        <w:t xml:space="preserve">Out of scope: the SEU1 RTL engine itself (WP#26 Section 4, unchanged here — this document is deployment, not RTL); EAI/E2E Center deployment (WP#28); O8/D12/I20 geographic placement (deferred per WP#25 R1-4 to a separate forthcoming document).</w:t>
      </w:r>
    </w:p>
    <w:p>
      <w:pPr>
        <w:pStyle w:val="Heading1"/>
        <w:spacing w:after="120" w:before="260"/>
      </w:pPr>
      <w:r>
        <w:t xml:space="preserve">2. Positioning in the Document Sequence</w:t>
      </w:r>
    </w:p>
    <w:p>
      <w:pPr>
        <w:spacing w:after="140"/>
      </w:pPr>
      <w:r>
        <w:t xml:space="preserve">WP#27 was proposed at WP#24 §11.1 and restated at WP#25 R1 Table C-2 and WP#26 Table 2-1/11-1. This document completes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1"/>
        <w:gridCol w:w="2102"/>
        <w:gridCol w:w="4605"/>
        <w:gridCol w:w="1802"/>
      </w:tblGrid>
      <w:tr>
        <w:trPr>
          <w:tblHeader/>
        </w:trPr>
        <w:tc>
          <w:tcPr>
            <w:tcW w:type="dxa" w:w="85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Doc No.</w:t>
            </w:r>
          </w:p>
        </w:tc>
        <w:tc>
          <w:tcPr>
            <w:tcW w:type="dxa" w:w="21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Title</w:t>
            </w:r>
          </w:p>
        </w:tc>
        <w:tc>
          <w:tcPr>
            <w:tcW w:type="dxa" w:w="460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 Content</w:t>
            </w:r>
          </w:p>
        </w:tc>
        <w:tc>
          <w:tcPr>
            <w:tcW w:type="dxa" w:w="18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#24</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Cube Physical Spec (HBM/HBF)</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register map, HBF ACL bit fields, electrical interfaces</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#25 R1</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 Synchronization Specification</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(common) / SEU2 (EAI-only) record format, PTP profiles, completeness algorithms</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 R8</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Equipment FPGA/ASIC Design Guide</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engine templates, timing analysis, 800G optical interface, FPGA→ASIC migration</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(R8) — 12 open items remain</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#27</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DC Deployment Guide</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Multi-instance parallel operation, rack wiring, DC power spec</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(this document)</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#28</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Guide</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Outdoor install, CH11 independent power, Dual E2E field validation</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(companion document)</w:t>
            </w:r>
          </w:p>
        </w:tc>
      </w:tr>
      <w:tr>
        <w:tc>
          <w:tcPr>
            <w:tcW w:type="dxa" w:w="85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unnumbered)</w:t>
            </w:r>
          </w:p>
        </w:tc>
        <w:tc>
          <w:tcPr>
            <w:tcW w:type="dxa" w:w="21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O8 Connectivity &amp; Placement Spec</w:t>
            </w:r>
          </w:p>
        </w:tc>
        <w:tc>
          <w:tcPr>
            <w:tcW w:type="dxa" w:w="460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D12 boundary as a function of O8-cluster density; Core Stack negotiation protocol</w:t>
            </w:r>
          </w:p>
        </w:tc>
        <w:tc>
          <w:tcPr>
            <w:tcW w:type="dxa" w:w="18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spun off</w:t>
            </w:r>
          </w:p>
        </w:tc>
      </w:tr>
    </w:tbl>
    <w:p>
      <w:pPr>
        <w:spacing w:after="80"/>
      </w:pPr>
    </w:p>
    <w:p>
      <w:pPr>
        <w:spacing w:after="160" w:before="40"/>
        <w:jc w:val="center"/>
      </w:pPr>
      <w:r>
        <w:rPr>
          <w:i/>
          <w:iCs/>
          <w:color w:val="595959"/>
          <w:sz w:val="18"/>
          <w:szCs w:val="18"/>
        </w:rPr>
        <w:t xml:space="preserve">Table 2-1. Document Sequence — Updated at WP#27</w:t>
      </w:r>
    </w:p>
    <w:p>
      <w:pPr>
        <w:pStyle w:val="Heading1"/>
        <w:spacing w:after="120" w:before="260"/>
      </w:pPr>
      <w:r>
        <w:t xml:space="preserve">3. Deployment Context — Why PAI Needs a Separate Deployment Guide</w:t>
      </w:r>
    </w:p>
    <w:p>
      <w:pPr>
        <w:spacing w:after="140"/>
      </w:pPr>
      <w:r>
        <w:t xml:space="preserve">Cognition Cube HW Design v1.1 §1.1 fixes the core premise: EAI is deployed at the E2E Center (city/regional scale); PAI is deployed in the AI Data Center. Both use Velsanet MOCT fixed ribbon cable, but location, processing objective, and channel configuration differ fundamentally — summarized in Table 3-1, restated from that document’s Table 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0"/>
        <w:gridCol w:w="3377"/>
        <w:gridCol w:w="4053"/>
      </w:tblGrid>
      <w:tr>
        <w:trPr>
          <w:tblHeader/>
        </w:trPr>
        <w:tc>
          <w:tcPr>
            <w:tcW w:type="dxa" w:w="193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Design Item</w:t>
            </w:r>
          </w:p>
        </w:tc>
        <w:tc>
          <w:tcPr>
            <w:tcW w:type="dxa" w:w="337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PAI (AI Data Center)</w:t>
            </w:r>
          </w:p>
        </w:tc>
        <w:tc>
          <w:tcPr>
            <w:tcW w:type="dxa" w:w="405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EAI (E2E Center, for contrast — see WP#28)</w:t>
            </w:r>
          </w:p>
        </w:tc>
      </w:tr>
      <w:tr>
        <w:tc>
          <w:tcPr>
            <w:tcW w:type="dxa" w:w="19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Channel count</w:t>
            </w:r>
          </w:p>
        </w:tc>
        <w:tc>
          <w:tcPr>
            <w:tcW w:type="dxa" w:w="33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8-channel single E2E (SEU1 only)</w:t>
            </w:r>
          </w:p>
        </w:tc>
        <w:tc>
          <w:tcPr>
            <w:tcW w:type="dxa" w:w="40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16-channel Dual E2E (SEU1 + SEU2)</w:t>
            </w:r>
          </w:p>
        </w:tc>
      </w:tr>
      <w:tr>
        <w:tc>
          <w:tcPr>
            <w:tcW w:type="dxa" w:w="19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Safety Override</w:t>
            </w:r>
          </w:p>
        </w:tc>
        <w:tc>
          <w:tcPr>
            <w:tcW w:type="dxa" w:w="33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applied</w:t>
            </w:r>
          </w:p>
        </w:tc>
        <w:tc>
          <w:tcPr>
            <w:tcW w:type="dxa" w:w="40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independent power + relay required</w:t>
            </w:r>
          </w:p>
        </w:tc>
      </w:tr>
      <w:tr>
        <w:tc>
          <w:tcPr>
            <w:tcW w:type="dxa" w:w="19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Environmental rating</w:t>
            </w:r>
          </w:p>
        </w:tc>
        <w:tc>
          <w:tcPr>
            <w:tcW w:type="dxa" w:w="33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Data center standard (20–25°C)</w:t>
            </w:r>
          </w:p>
        </w:tc>
        <w:tc>
          <w:tcPr>
            <w:tcW w:type="dxa" w:w="40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IP54+, −10°C to +60°C</w:t>
            </w:r>
          </w:p>
        </w:tc>
      </w:tr>
      <w:tr>
        <w:tc>
          <w:tcPr>
            <w:tcW w:type="dxa" w:w="19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Ribbon cable length</w:t>
            </w:r>
          </w:p>
        </w:tc>
        <w:tc>
          <w:tcPr>
            <w:tcW w:type="dxa" w:w="33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1–3 m (server rack wiring)</w:t>
            </w:r>
          </w:p>
        </w:tc>
        <w:tc>
          <w:tcPr>
            <w:tcW w:type="dxa" w:w="40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 m+ (outdoor pole installation)</w:t>
            </w:r>
          </w:p>
        </w:tc>
      </w:tr>
      <w:tr>
        <w:tc>
          <w:tcPr>
            <w:tcW w:type="dxa" w:w="19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Parallel instances</w:t>
            </w:r>
          </w:p>
        </w:tc>
        <w:tc>
          <w:tcPr>
            <w:tcW w:type="dxa" w:w="33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PAI-1, PAI-2, …, PAI-N concurrent</w:t>
            </w:r>
          </w:p>
        </w:tc>
        <w:tc>
          <w:tcPr>
            <w:tcW w:type="dxa" w:w="40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Robot/drone unit, 1:1</w:t>
            </w:r>
          </w:p>
        </w:tc>
      </w:tr>
      <w:tr>
        <w:tc>
          <w:tcPr>
            <w:tcW w:type="dxa" w:w="19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Primary M-Axis use</w:t>
            </w:r>
          </w:p>
        </w:tc>
        <w:tc>
          <w:tcPr>
            <w:tcW w:type="dxa" w:w="33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Interpretation tags, policy updates</w:t>
            </w:r>
          </w:p>
        </w:tc>
        <w:tc>
          <w:tcPr>
            <w:tcW w:type="dxa" w:w="40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Mission experience, autonomy growth</w:t>
            </w:r>
          </w:p>
        </w:tc>
      </w:tr>
      <w:tr>
        <w:tc>
          <w:tcPr>
            <w:tcW w:type="dxa" w:w="193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supply</w:t>
            </w:r>
          </w:p>
        </w:tc>
        <w:tc>
          <w:tcPr>
            <w:tcW w:type="dxa" w:w="337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Data center PDU standard power</w:t>
            </w:r>
          </w:p>
        </w:tc>
        <w:tc>
          <w:tcPr>
            <w:tcW w:type="dxa" w:w="40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PoE++ or independent DC + UPS</w:t>
            </w:r>
          </w:p>
        </w:tc>
      </w:tr>
    </w:tbl>
    <w:p>
      <w:pPr>
        <w:spacing w:after="80"/>
      </w:pPr>
    </w:p>
    <w:p>
      <w:pPr>
        <w:spacing w:after="160" w:before="40"/>
        <w:jc w:val="center"/>
      </w:pPr>
      <w:r>
        <w:rPr>
          <w:i/>
          <w:iCs/>
          <w:color w:val="595959"/>
          <w:sz w:val="18"/>
          <w:szCs w:val="18"/>
        </w:rPr>
        <w:t xml:space="preserve">Table 3-1. PAI vs EAI Design Differences (restated from Cognition Cube HW Design v1.1 Table 7-1)</w:t>
      </w:r>
    </w:p>
    <w:p>
      <w:pPr>
        <w:spacing w:after="140"/>
      </w:pPr>
      <w:r>
        <w:t xml:space="preserve">Per WP#25 R1 Table B-5 / §B.13.1: a PAI instance operates at Core Stack Layer 0 only (SEU1, 1 fixed core) — Layer 1 (SEU2-A) is what distinguishes EAI mode from PAI mode by definition, and a PAI implementation exposes no SEU2 register surface or record path at all. This document therefore concerns SEU1-engine deployment exclusively; nothing here applies to SEU2, which does not exist in a PAI instance.</w:t>
      </w:r>
    </w:p>
    <w:p>
      <w:pPr>
        <w:pStyle w:val="Heading1"/>
        <w:spacing w:after="120" w:before="260"/>
      </w:pPr>
      <w:r>
        <w:t xml:space="preserve">4. Multi-Instance Parallel Operation</w:t>
      </w:r>
    </w:p>
    <w:p>
      <w:pPr>
        <w:spacing w:after="140"/>
      </w:pPr>
      <w:r>
        <w:t xml:space="preserve">Cognition Cube HW Design v1.1 §7.2 fixes the architectural basis for running many PAI instances concurrently against a shared Node_8 (O8)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7520"/>
      </w:tblGrid>
      <w:tr>
        <w:trPr>
          <w:tblHeader/>
        </w:trPr>
        <w:tc>
          <w:tcPr>
            <w:tcW w:type="dxa" w:w="184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Element</w:t>
            </w:r>
          </w:p>
        </w:tc>
        <w:tc>
          <w:tcPr>
            <w:tcW w:type="dxa" w:w="752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Lane source</w:t>
            </w:r>
          </w:p>
        </w:tc>
        <w:tc>
          <w:tcPr>
            <w:tcW w:type="dxa" w:w="75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Node_8 Face B/C: 192 optical cores × 2 faces = 384 Cube lanes</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Instance allocation</w:t>
            </w:r>
          </w:p>
        </w:tc>
        <w:tc>
          <w:tcPr>
            <w:tcW w:type="dxa" w:w="75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Each lane maps to one independent PAI instance</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Non-collision guarantee</w:t>
            </w:r>
          </w:p>
        </w:tc>
        <w:tc>
          <w:tcPr>
            <w:tcW w:type="dxa" w:w="75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Core(ri) ∩ Core(rj) = ∅ — physical guarantee, not a software policy</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Instance independence</w:t>
            </w:r>
          </w:p>
        </w:tc>
        <w:tc>
          <w:tcPr>
            <w:tcW w:type="dxa" w:w="75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PAI-1, PAI-2, …, PAI-N, each with its own 8-channel SEU1 engine, independent T-Axis and M-Axis</w:t>
            </w:r>
          </w:p>
        </w:tc>
      </w:tr>
      <w:tr>
        <w:tc>
          <w:tcPr>
            <w:tcW w:type="dxa" w:w="18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Uplink</w:t>
            </w:r>
          </w:p>
        </w:tc>
        <w:tc>
          <w:tcPr>
            <w:tcW w:type="dxa" w:w="75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Each PAI instance → its own 24-core Bundle → D12 AAI node</w:t>
            </w:r>
          </w:p>
        </w:tc>
      </w:tr>
    </w:tbl>
    <w:p>
      <w:pPr>
        <w:spacing w:after="80"/>
      </w:pPr>
    </w:p>
    <w:p>
      <w:pPr>
        <w:spacing w:after="160" w:before="40"/>
        <w:jc w:val="center"/>
      </w:pPr>
      <w:r>
        <w:rPr>
          <w:i/>
          <w:iCs/>
          <w:color w:val="595959"/>
          <w:sz w:val="18"/>
          <w:szCs w:val="18"/>
        </w:rPr>
        <w:t xml:space="preserve">Table 4-1. Parallel Multi-Instance PAI Architecture (restated from Cognition Cube HW Design v1.1 §7.2)</w:t>
      </w:r>
    </w:p>
    <w:p>
      <w:pPr>
        <w:spacing w:after="140"/>
      </w:pPr>
      <w:r>
        <w:t xml:space="preserve">Because the non-collision guarantee (Core(ri) ∩ Core(rj) = ∅) is physical rather than logical, instance isolation at the AI Data Center follows the same structural principle WP#26 established for SEU1/SEU2 isolation at the EAI level (WP#26 §6.1): no shared clock domain, no shared register bus, and — per Section 5 below — no shared physical ribbon segment between instances.</w:t>
      </w:r>
    </w:p>
    <w:p>
      <w:pPr>
        <w:pStyle w:val="Heading2"/>
        <w:spacing w:after="120" w:before="260"/>
      </w:pPr>
      <w:r>
        <w:t xml:space="preserve">4.1 Instance Addressing</w:t>
      </w:r>
    </w:p>
    <w:p>
      <w:pPr>
        <w:spacing w:after="140"/>
      </w:pPr>
      <w:r>
        <w:t xml:space="preserve">Each PAI instance’s SEU1 engine carries its own WORM_CHAN_ID (WP#24 §1, Table 1-1, offset 0x14, fixed at fabrication) and its own NODE_ID (WP#25 R1 Table A-1), both fixed per physical optical core. Instance identity at the rack level is therefore a direct physical consequence of which core a PAI instance is wired to — there is no separate software-assigned instance ID layer to keep synchronized with the physical wiring.</w:t>
      </w:r>
    </w:p>
    <w:p>
      <w:pPr>
        <w:spacing w:after="140"/>
      </w:pPr>
      <w:r>
        <w:rPr>
          <w:b/>
          <w:bCs/>
        </w:rPr>
        <w:t xml:space="preserve">Open — OI-27-01:</w:t>
      </w:r>
      <w:r>
        <w:rPr>
          <w:b/>
          <w:bCs/>
        </w:rPr>
        <w:t xml:space="preserve"> </w:t>
      </w:r>
      <w:r>
        <w:rPr>
          <w:i/>
          <w:iCs/>
        </w:rPr>
        <w:t xml:space="preserve">Maximum practical N (number of concurrent PAI instances per Node_8) is bounded above by 384 lanes (Table 4-1) but no realistic operating N is fixed in this document — that depends on per-instance compute load at the AI Data Center, which is outside Velsanet</w:t>
      </w:r>
      <w:r>
        <w:rPr>
          <w:b/>
          <w:bCs/>
        </w:rPr>
        <w:t xml:space="preserve">*’</w:t>
      </w:r>
      <w:r>
        <w:rPr>
          <w:i/>
          <w:iCs/>
        </w:rPr>
        <w:t xml:space="preserve">*s architecture scope and belongs to deployment capacity planning. Decision owner: 창호 / data center operations planning.</w:t>
      </w:r>
    </w:p>
    <w:p>
      <w:pPr>
        <w:pStyle w:val="Heading1"/>
        <w:spacing w:after="120" w:before="260"/>
      </w:pPr>
      <w:r>
        <w:t xml:space="preserve">5. Rack Wiring Specification</w:t>
      </w:r>
    </w:p>
    <w:p>
      <w:pPr>
        <w:spacing w:after="140"/>
      </w:pPr>
      <w:r>
        <w:t xml:space="preserve">Rack wiring follows the same MOCT fixed-ribbon convention used throughout the architecture (WP#24 §1.4; WP#03 MOCT White Paper): factory-fused, no field connectors, no branching, 0dB insertion loss. The AI Data Center context changes only the physical scale and routing pattern, not the connector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6"/>
        <w:gridCol w:w="8144"/>
      </w:tblGrid>
      <w:tr>
        <w:trPr>
          <w:tblHeader/>
        </w:trPr>
        <w:tc>
          <w:tcPr>
            <w:tcW w:type="dxa" w:w="121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814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r>
      <w:tr>
        <w:tc>
          <w:tcPr>
            <w:tcW w:type="dxa" w:w="1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Ribbon length</w:t>
            </w:r>
          </w:p>
        </w:tc>
        <w:tc>
          <w:tcPr>
            <w:tcW w:type="dxa" w:w="81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1–3 m (server rack wiring), per Table 3-1 — short-run, intra-rack or adjacent-rack</w:t>
            </w:r>
          </w:p>
        </w:tc>
      </w:tr>
      <w:tr>
        <w:tc>
          <w:tcPr>
            <w:tcW w:type="dxa" w:w="1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Connector policy</w:t>
            </w:r>
          </w:p>
        </w:tc>
        <w:tc>
          <w:tcPr>
            <w:tcW w:type="dxa" w:w="81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None — factory-fused MOCT ribbon throughout, consistent with WP#24 §1.4 and WP#03</w:t>
            </w:r>
          </w:p>
        </w:tc>
      </w:tr>
      <w:tr>
        <w:tc>
          <w:tcPr>
            <w:tcW w:type="dxa" w:w="1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Per-instance lane count</w:t>
            </w:r>
          </w:p>
        </w:tc>
        <w:tc>
          <w:tcPr>
            <w:tcW w:type="dxa" w:w="81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 channels × lane grouping per WP#26 Table 4-2 (48 lanes/ch × 8 groups, PAI configuration)</w:t>
            </w:r>
          </w:p>
        </w:tc>
      </w:tr>
      <w:tr>
        <w:tc>
          <w:tcPr>
            <w:tcW w:type="dxa" w:w="1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Rack-to-Node_8 routing</w:t>
            </w:r>
          </w:p>
        </w:tc>
        <w:tc>
          <w:tcPr>
            <w:tcW w:type="dxa" w:w="81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Each rack’s PAI instances trace back to a Node_8 Face B or C lane (Table 4-1) — routing is a physical fan-out from the 384-lane hub, not a switched fabric</w:t>
            </w:r>
          </w:p>
        </w:tc>
      </w:tr>
      <w:tr>
        <w:tc>
          <w:tcPr>
            <w:tcW w:type="dxa" w:w="121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Uplink wiring</w:t>
            </w:r>
          </w:p>
        </w:tc>
        <w:tc>
          <w:tcPr>
            <w:tcW w:type="dxa" w:w="81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24-core Bundle per instance toward D12 AAI node (Table 4-1), physically distinct from the 8-channel inbound wiring</w:t>
            </w:r>
          </w:p>
        </w:tc>
      </w:tr>
    </w:tbl>
    <w:p>
      <w:pPr>
        <w:spacing w:after="80"/>
      </w:pPr>
    </w:p>
    <w:p>
      <w:pPr>
        <w:spacing w:after="160" w:before="40"/>
        <w:jc w:val="center"/>
      </w:pPr>
      <w:r>
        <w:rPr>
          <w:i/>
          <w:iCs/>
          <w:color w:val="595959"/>
          <w:sz w:val="18"/>
          <w:szCs w:val="18"/>
        </w:rPr>
        <w:t xml:space="preserve">Table 5-1. Rack Wiring Specification</w:t>
      </w:r>
    </w:p>
    <w:p>
      <w:pPr>
        <w:pStyle w:val="Heading2"/>
        <w:spacing w:after="120" w:before="260"/>
      </w:pPr>
      <w:r>
        <w:t xml:space="preserve">5.1 Rack Density — Reference Calculation</w:t>
      </w:r>
    </w:p>
    <w:p>
      <w:pPr>
        <w:spacing w:after="140"/>
      </w:pPr>
      <w:r>
        <w:rPr>
          <w:b/>
          <w:bCs/>
        </w:rPr>
        <w:t xml:space="preserve">Reference — EIA-310-D basis:</w:t>
      </w:r>
      <w:r>
        <w:rPr>
          <w:b/>
          <w:bCs/>
        </w:rPr>
        <w:t xml:space="preserve"> </w:t>
      </w:r>
      <w:r>
        <w:rPr>
          <w:i/>
          <w:iCs/>
        </w:rPr>
        <w:t xml:space="preserve">Standard 19-inch rack (EIA-310-D): 1 rack unit (1U) = 1.75 in (44.45 mm) vertical height; usable rack width = 19 in (482.6 mm) front panel, 18.312 in (465.1 mm) mounting-rail spacing. A standard full-height rack is 42U (≈1866 mm usable height).</w:t>
      </w:r>
    </w:p>
    <w:p>
      <w:pPr>
        <w:spacing w:after="140"/>
      </w:pPr>
      <w:r>
        <w:t xml:space="preserve">Applying this standard to the per-instance wiring in Table 5-1 gives a reference density calculation — illustrative, not a fixed spec, since it does not yet account for actual MOCT ribbon bend-radius or connector-free routing clearance (OI-27-02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78"/>
        <w:gridCol w:w="7882"/>
      </w:tblGrid>
      <w:tr>
        <w:trPr>
          <w:tblHeader/>
        </w:trPr>
        <w:tc>
          <w:tcPr>
            <w:tcW w:type="dxa" w:w="147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Step</w:t>
            </w:r>
          </w:p>
        </w:tc>
        <w:tc>
          <w:tcPr>
            <w:tcW w:type="dxa" w:w="788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Reference Calculation</w:t>
            </w:r>
          </w:p>
        </w:tc>
      </w:tr>
      <w:tr>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Rack height available</w:t>
            </w:r>
          </w:p>
        </w:tc>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42U × 1.75in = 73.5in (1866mm), per EIA-310-D</w:t>
            </w:r>
          </w:p>
        </w:tc>
      </w:tr>
      <w:tr>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Illustrative per-instance slot</w:t>
            </w:r>
          </w:p>
        </w:tc>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If each PAI instance’s compute + Cognition Cube interface occupies 1U (illustrative — actual PAI compute hardware height is outside this document’s scope)</w:t>
            </w:r>
          </w:p>
        </w:tc>
      </w:tr>
      <w:tr>
        <w:tc>
          <w:tcPr>
            <w:tcW w:type="dxa" w:w="14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Reference instance density</w:t>
            </w:r>
          </w:p>
        </w:tc>
        <w:tc>
          <w:tcPr>
            <w:tcW w:type="dxa" w:w="788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Up to 42 PAI instances per full-height rack, before accounting for power distribution units, cable management, and airflow gaps that a real rack layout requires</w:t>
            </w:r>
          </w:p>
        </w:tc>
      </w:tr>
    </w:tbl>
    <w:p>
      <w:pPr>
        <w:spacing w:after="80"/>
      </w:pPr>
    </w:p>
    <w:p>
      <w:pPr>
        <w:spacing w:after="160" w:before="40"/>
        <w:jc w:val="center"/>
      </w:pPr>
      <w:r>
        <w:rPr>
          <w:i/>
          <w:iCs/>
          <w:color w:val="595959"/>
          <w:sz w:val="18"/>
          <w:szCs w:val="18"/>
        </w:rPr>
        <w:t xml:space="preserve">Table 5-2. Illustrative Rack Density Reference (EIA-310-D basis; example only)</w:t>
      </w:r>
    </w:p>
    <w:p>
      <w:pPr>
        <w:spacing w:after="140"/>
      </w:pPr>
      <w:r>
        <w:rPr>
          <w:b/>
          <w:bCs/>
        </w:rPr>
        <w:t xml:space="preserve">Open — OI-27-02:</w:t>
      </w:r>
      <w:r>
        <w:rPr>
          <w:b/>
          <w:bCs/>
        </w:rPr>
        <w:t xml:space="preserve"> </w:t>
      </w:r>
      <w:r>
        <w:rPr>
          <w:i/>
          <w:iCs/>
        </w:rPr>
        <w:t xml:space="preserve">The 42-instance figure above is a reference ceiling from rack geometry alone — it does not account for real MOCT ribbon minimum bend radius, connector-free routing clearance, PDU/cable-management rack space, or actual PAI compute hardware height (which may exceed 1U). Real achievable density is lower and is a physical/mechanical design question for actual rack hardware selection. Decision owner: data center physical infrastructure team.</w:t>
      </w:r>
    </w:p>
    <w:p>
      <w:pPr>
        <w:pStyle w:val="Heading1"/>
        <w:spacing w:after="120" w:before="260"/>
      </w:pPr>
      <w:r>
        <w:t xml:space="preserve">6. DC Power Specification</w:t>
      </w:r>
    </w:p>
    <w:p>
      <w:pPr>
        <w:spacing w:after="140"/>
      </w:pPr>
      <w:r>
        <w:t xml:space="preserve">Per Table 3-1, PAI draws data center PDU standard power — a deliberate contrast to EAI’s PoE++/independent-DC-plus-UPS requirement (WP#28 §7). This reflects that PAI carries no CH11-class safety obligation (Table 3-1, “Safety Override: Not applied”) and no field-power-loss scenario to defend against; AI Data Center power infrastructure already provides the redundancy a PAI instance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8210"/>
      </w:tblGrid>
      <w:tr>
        <w:trPr>
          <w:tblHeader/>
        </w:trPr>
        <w:tc>
          <w:tcPr>
            <w:tcW w:type="dxa" w:w="115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821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r>
      <w:tr>
        <w:tc>
          <w:tcPr>
            <w:tcW w:type="dxa" w:w="1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Primary power</w:t>
            </w:r>
          </w:p>
        </w:tc>
        <w:tc>
          <w:tcPr>
            <w:tcW w:type="dxa" w:w="82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Data center PDU standard power (Table 3-1)</w:t>
            </w:r>
          </w:p>
        </w:tc>
      </w:tr>
      <w:tr>
        <w:tc>
          <w:tcPr>
            <w:tcW w:type="dxa" w:w="1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Backup/UPS</w:t>
            </w:r>
          </w:p>
        </w:tc>
        <w:tc>
          <w:tcPr>
            <w:tcW w:type="dxa" w:w="82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Data center facility-level UPS — no per-instance independent power path required, unlike EAI’s CH11 (WP#28 §6)</w:t>
            </w:r>
          </w:p>
        </w:tc>
      </w:tr>
      <w:tr>
        <w:tc>
          <w:tcPr>
            <w:tcW w:type="dxa" w:w="1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Environmental rating</w:t>
            </w:r>
          </w:p>
        </w:tc>
        <w:tc>
          <w:tcPr>
            <w:tcW w:type="dxa" w:w="82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Data center standard, 20–25°C (Table 3-1) — no IP-rated enclosure required</w:t>
            </w:r>
          </w:p>
        </w:tc>
      </w:tr>
      <w:tr>
        <w:tc>
          <w:tcPr>
            <w:tcW w:type="dxa" w:w="11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 domain isolation</w:t>
            </w:r>
          </w:p>
        </w:tc>
        <w:tc>
          <w:tcPr>
            <w:tcW w:type="dxa" w:w="82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required between PAI instances at the power layer — inter-instance isolation is enforced optically (Section 4, Core(ri) ∩ Core(rj) = ∅), not electrically</w:t>
            </w:r>
          </w:p>
        </w:tc>
      </w:tr>
    </w:tbl>
    <w:p>
      <w:pPr>
        <w:spacing w:after="80"/>
      </w:pPr>
    </w:p>
    <w:p>
      <w:pPr>
        <w:spacing w:after="160" w:before="40"/>
        <w:jc w:val="center"/>
      </w:pPr>
      <w:r>
        <w:rPr>
          <w:i/>
          <w:iCs/>
          <w:color w:val="595959"/>
          <w:sz w:val="18"/>
          <w:szCs w:val="18"/>
        </w:rPr>
        <w:t xml:space="preserve">Table 6-1. DC Power Specification</w:t>
      </w:r>
    </w:p>
    <w:p>
      <w:pPr>
        <w:spacing w:after="140"/>
      </w:pPr>
      <w:r>
        <w:rPr>
          <w:b/>
          <w:bCs/>
        </w:rPr>
        <w:t xml:space="preserve">Reference — PoE++ basis, for contrast (IEEE 802.3bt):</w:t>
      </w:r>
      <w:r>
        <w:rPr>
          <w:b/>
          <w:bCs/>
        </w:rPr>
        <w:t xml:space="preserve"> </w:t>
      </w:r>
      <w:r>
        <w:rPr>
          <w:i/>
          <w:iCs/>
        </w:rPr>
        <w:t xml:space="preserve">WP#28 specifies EAI may use PoE++ (IEEE 802.3bt): Type 3 delivers up to 60W at the PSE (51W guaranteed at the PD), Type 4 up to 100W at the PSE (71.3W–100W at the PD depending on class), both at 50–57V DC. This is cited here only for contrast — PAI does NOT use PoE++ (Table 3-1:</w:t>
      </w:r>
      <w:r>
        <w:rPr>
          <w:i/>
          <w:iCs/>
        </w:rPr>
        <w:t xml:space="preserve"> </w:t>
      </w:r>
      <w:r>
        <w:rPr>
          <w:b/>
          <w:bCs/>
        </w:rPr>
        <w:t xml:space="preserve">*“</w:t>
      </w:r>
      <w:r>
        <w:rPr>
          <w:b/>
          <w:bCs/>
        </w:rPr>
        <w:t xml:space="preserve">**Data center PDU standard power</w:t>
      </w:r>
      <w:r>
        <w:rPr>
          <w:b/>
          <w:bCs/>
        </w:rPr>
        <w:t xml:space="preserve">**”</w:t>
      </w:r>
      <w:r>
        <w:rPr>
          <w:b/>
          <w:bCs/>
        </w:rPr>
        <w:t xml:space="preserve">); a PAI instance</w:t>
      </w:r>
      <w:r>
        <w:rPr>
          <w:b/>
          <w:bCs/>
        </w:rPr>
        <w:t xml:space="preserve">‘</w:t>
      </w:r>
      <w:r>
        <w:rPr>
          <w:b/>
          <w:bCs/>
        </w:rPr>
        <w:t xml:space="preserve">**s power draw is a data-center-facilities question (rack PDU capacity planning), not a Velsanet-specified figure, unlike EAI</w:t>
      </w:r>
      <w:r>
        <w:rPr>
          <w:b/>
          <w:bCs/>
        </w:rPr>
        <w:t xml:space="preserve">**’</w:t>
      </w:r>
      <w:r>
        <w:rPr>
          <w:i/>
          <w:iCs/>
        </w:rPr>
        <w:t xml:space="preserve">*s field power path which the architecture does specify (WP#28 §7).</w:t>
      </w:r>
    </w:p>
    <w:p>
      <w:pPr>
        <w:spacing w:after="140"/>
      </w:pPr>
      <w:r>
        <w:rPr>
          <w:b/>
          <w:bCs/>
        </w:rPr>
        <w:t xml:space="preserve">Open — OI-27-03:</w:t>
      </w:r>
      <w:r>
        <w:rPr>
          <w:b/>
          <w:bCs/>
        </w:rPr>
        <w:t xml:space="preserve"> </w:t>
      </w:r>
      <w:r>
        <w:rPr>
          <w:i/>
          <w:iCs/>
        </w:rPr>
        <w:t xml:space="preserve">Per-instance or per-rack power budget (watts) is not specified — this depends on the compute hardware hosting each PAI instance</w:t>
      </w:r>
      <w:r>
        <w:rPr>
          <w:b/>
          <w:bCs/>
        </w:rPr>
        <w:t xml:space="preserve">*’</w:t>
      </w:r>
      <w:r>
        <w:rPr>
          <w:i/>
          <w:iCs/>
        </w:rPr>
        <w:t xml:space="preserve">*s downstream processing, which is outside the Cognition Cube hardware boundary (WP#24 §1) and is a data-center facilities question, not a Velsanet architecture question.</w:t>
      </w:r>
    </w:p>
    <w:p>
      <w:pPr>
        <w:pStyle w:val="Heading1"/>
        <w:spacing w:after="120" w:before="260"/>
      </w:pPr>
      <w:r>
        <w:t xml:space="preserve">7. Conclusion and Open Items</w:t>
      </w:r>
    </w:p>
    <w:p>
      <w:pPr>
        <w:spacing w:after="140"/>
      </w:pPr>
      <w:r>
        <w:t xml:space="preserve">WP#27 completes the PAI-side deployment guide proposed at WP#24 §11.1: multi-instance parallel operation is fixed at the architecture level (Section 4, restating Cognition Cube HW Design v1.1 §7.2), rack wiring follows the established MOCT connector-free convention at data-center scale (Section 5), and DC power specification is fixed as data-center-standard with no EAI-class safety power path (Section 6).</w:t>
      </w:r>
    </w:p>
    <w:p>
      <w:pPr>
        <w:spacing w:after="140"/>
      </w:pPr>
      <w:r>
        <w:t xml:space="preserve">R2 adds external, industry-standard reference values (EIA-310-D rack geometry, IEEE 802.3bt PoE++ figures for contrast) — clearly distinguished from Velsanet-specific decisions still pending. No Velsanet-specific number was invented in this revision: actual per-instance compute footprint and power draw remain open and are owned by 창호 / data center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ID</w:t>
            </w:r>
          </w:p>
        </w:tc>
        <w:tc>
          <w:tcPr>
            <w:tcW w:type="dxa" w:w="86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Open Item</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OI-27-01</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Maximum practical concurrent-instance count N per Node_8 — bounded above by 384 lanes, not fixed by workload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OI-27-02</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Real achievable rack density — EIA-310-D reference ceiling now given (Section 5.1, up to 42/rack by geometry alone); real MOCT bend-radius and compute-hardware height still unspecified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OI-27-03</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Per-instance/per-rack power budget in watts — depends on downstream compute hardware, outside Cognition Cube boundary</w:t>
            </w:r>
          </w:p>
        </w:tc>
      </w:tr>
    </w:tbl>
    <w:p>
      <w:pPr>
        <w:spacing w:after="80"/>
      </w:pPr>
    </w:p>
    <w:p>
      <w:pPr>
        <w:spacing w:after="160" w:before="40"/>
        <w:jc w:val="center"/>
      </w:pPr>
      <w:r>
        <w:rPr>
          <w:i/>
          <w:iCs/>
          <w:color w:val="595959"/>
          <w:sz w:val="18"/>
          <w:szCs w:val="18"/>
        </w:rPr>
        <w:t xml:space="preserve">Table 7-1. WP#27 Open Items (R2)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7"/>
        <w:gridCol w:w="2069"/>
        <w:gridCol w:w="4532"/>
        <w:gridCol w:w="1922"/>
      </w:tblGrid>
      <w:tr>
        <w:trPr>
          <w:tblHeader/>
        </w:trPr>
        <w:tc>
          <w:tcPr>
            <w:tcW w:type="dxa" w:w="83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Doc No.</w:t>
            </w:r>
          </w:p>
        </w:tc>
        <w:tc>
          <w:tcPr>
            <w:tcW w:type="dxa" w:w="206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Title</w:t>
            </w:r>
          </w:p>
        </w:tc>
        <w:tc>
          <w:tcPr>
            <w:tcW w:type="dxa" w:w="453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Core Content</w:t>
            </w:r>
          </w:p>
        </w:tc>
        <w:tc>
          <w:tcPr>
            <w:tcW w:type="dxa" w:w="192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Status</w:t>
            </w:r>
          </w:p>
        </w:tc>
      </w:tr>
      <w:tr>
        <w:tc>
          <w:tcPr>
            <w:tcW w:type="dxa" w:w="83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#24</w:t>
            </w:r>
          </w:p>
        </w:tc>
        <w:tc>
          <w:tcPr>
            <w:tcW w:type="dxa" w:w="206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Cognition Cube Physical Spec (HBM/HBF)</w:t>
            </w:r>
          </w:p>
        </w:tc>
        <w:tc>
          <w:tcPr>
            <w:tcW w:type="dxa" w:w="45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 register map, HBF ACL bit fields, electrical interfaces</w:t>
            </w:r>
          </w:p>
        </w:tc>
        <w:tc>
          <w:tcPr>
            <w:tcW w:type="dxa" w:w="19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3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#25 R1</w:t>
            </w:r>
          </w:p>
        </w:tc>
        <w:tc>
          <w:tcPr>
            <w:tcW w:type="dxa" w:w="206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 SEU2 Synchronization Specification</w:t>
            </w:r>
          </w:p>
        </w:tc>
        <w:tc>
          <w:tcPr>
            <w:tcW w:type="dxa" w:w="45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 (common) / SEU2 (EAI-only) record format, PTP profiles, completeness algorithms</w:t>
            </w:r>
          </w:p>
        </w:tc>
        <w:tc>
          <w:tcPr>
            <w:tcW w:type="dxa" w:w="19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w:t>
            </w:r>
          </w:p>
        </w:tc>
      </w:tr>
      <w:tr>
        <w:tc>
          <w:tcPr>
            <w:tcW w:type="dxa" w:w="83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#26 R8</w:t>
            </w:r>
          </w:p>
        </w:tc>
        <w:tc>
          <w:tcPr>
            <w:tcW w:type="dxa" w:w="206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Equipment FPGA/ASIC Design Guide</w:t>
            </w:r>
          </w:p>
        </w:tc>
        <w:tc>
          <w:tcPr>
            <w:tcW w:type="dxa" w:w="45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SEU1/SEU2 RTL engine templates, timing analysis, 800G optical interface, FPGA→ASIC migration</w:t>
            </w:r>
          </w:p>
        </w:tc>
        <w:tc>
          <w:tcPr>
            <w:tcW w:type="dxa" w:w="19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(R8) — 12 open items remain</w:t>
            </w:r>
          </w:p>
        </w:tc>
      </w:tr>
      <w:tr>
        <w:tc>
          <w:tcPr>
            <w:tcW w:type="dxa" w:w="83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#27</w:t>
            </w:r>
          </w:p>
        </w:tc>
        <w:tc>
          <w:tcPr>
            <w:tcW w:type="dxa" w:w="206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 AI DC Deployment Guide</w:t>
            </w:r>
          </w:p>
        </w:tc>
        <w:tc>
          <w:tcPr>
            <w:tcW w:type="dxa" w:w="45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Multi-instance parallel operation, rack wiring, DC power spec</w:t>
            </w:r>
          </w:p>
        </w:tc>
        <w:tc>
          <w:tcPr>
            <w:tcW w:type="dxa" w:w="19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(this document) — 3 open items</w:t>
            </w:r>
          </w:p>
        </w:tc>
      </w:tr>
      <w:tr>
        <w:tc>
          <w:tcPr>
            <w:tcW w:type="dxa" w:w="83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WP #28</w:t>
            </w:r>
          </w:p>
        </w:tc>
        <w:tc>
          <w:tcPr>
            <w:tcW w:type="dxa" w:w="206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E2E Center Deployment Guide</w:t>
            </w:r>
          </w:p>
        </w:tc>
        <w:tc>
          <w:tcPr>
            <w:tcW w:type="dxa" w:w="45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Outdoor install, CH11 independent power, Dual E2E field validation</w:t>
            </w:r>
          </w:p>
        </w:tc>
        <w:tc>
          <w:tcPr>
            <w:tcW w:type="dxa" w:w="19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Complete (companion document)</w:t>
            </w:r>
          </w:p>
        </w:tc>
      </w:tr>
      <w:tr>
        <w:tc>
          <w:tcPr>
            <w:tcW w:type="dxa" w:w="83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(new, unnumbered)</w:t>
            </w:r>
          </w:p>
        </w:tc>
        <w:tc>
          <w:tcPr>
            <w:tcW w:type="dxa" w:w="206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O8 Connectivity &amp; Placement Spec</w:t>
            </w:r>
          </w:p>
        </w:tc>
        <w:tc>
          <w:tcPr>
            <w:tcW w:type="dxa" w:w="453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D12 boundary as a function of O8-cluster density; Core Stack negotiation protocol</w:t>
            </w:r>
          </w:p>
        </w:tc>
        <w:tc>
          <w:tcPr>
            <w:tcW w:type="dxa" w:w="19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Proposed — spun off</w:t>
            </w:r>
          </w:p>
        </w:tc>
      </w:tr>
    </w:tbl>
    <w:p>
      <w:pPr>
        <w:spacing w:after="80"/>
      </w:pPr>
    </w:p>
    <w:p>
      <w:pPr>
        <w:spacing w:after="160" w:before="40"/>
        <w:jc w:val="center"/>
      </w:pPr>
      <w:r>
        <w:rPr>
          <w:i/>
          <w:iCs/>
          <w:color w:val="595959"/>
          <w:sz w:val="18"/>
          <w:szCs w:val="18"/>
        </w:rPr>
        <w:t xml:space="preserve">Table 7-2. Future Document Proposals — Updated at WP#27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20"/>
              <w:left w:type="dxa" w:w="150"/>
              <w:bottom w:type="dxa" w:w="120"/>
              <w:right w:type="dxa" w:w="150"/>
            </w:tcMar>
          </w:tcPr>
          <w:p>
            <w:r>
              <w:rPr>
                <w:b/>
                <w:bCs/>
                <w:sz w:val="20"/>
                <w:szCs w:val="20"/>
              </w:rPr>
              <w:t xml:space="preserve">This document is an internal technical design document of the Velsanet Architecture Group. All design specifications are based on software MVP validation results and will be finalized through physical hardware validation.</w:t>
            </w:r>
          </w:p>
        </w:tc>
      </w:tr>
    </w:tbl>
    <w:p>
      <w:pPr>
        <w:spacing w:after="80"/>
      </w:pPr>
    </w:p>
    <w:p>
      <w:pPr>
        <w:spacing w:after="160" w:before="40"/>
        <w:jc w:val="center"/>
      </w:pPr>
      <w:r>
        <w:rPr>
          <w:i/>
          <w:iCs/>
          <w:color w:val="595959"/>
          <w:sz w:val="18"/>
          <w:szCs w:val="18"/>
        </w:rPr>
        <w:t xml:space="preserve">Velsanet Architecture Group — Internal Technical Document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2026-07-12T05:33:39.351Z</dcterms:created>
  <dcterms:modified xsi:type="dcterms:W3CDTF">2026-07-12T05:33:39.351Z</dcterms:modified>
</cp:coreProperties>
</file>

<file path=docProps/custom.xml><?xml version="1.0" encoding="utf-8"?>
<Properties xmlns="http://schemas.openxmlformats.org/officeDocument/2006/custom-properties" xmlns:vt="http://schemas.openxmlformats.org/officeDocument/2006/docPropsVTypes"/>
</file>