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WP#25 R1 — SEU1 / SEU2 Synchronization Specification</w:t>
      </w:r>
    </w:p>
    <w:p>
      <w:pPr>
        <w:spacing w:after="160" w:before="40"/>
        <w:jc w:val="center"/>
      </w:pPr>
      <w:r>
        <w:rPr>
          <w:i/>
          <w:iCs/>
          <w:color w:val="595959"/>
          <w:sz w:val="18"/>
          <w:szCs w:val="18"/>
        </w:rPr>
        <w:t xml:space="preserve">Two-Part Structure: SEU1 (Common Base, PAI + EAI) · SEU2 (EAI-Only Specialized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3"/>
        <w:gridCol w:w="814"/>
        <w:gridCol w:w="2543"/>
        <w:gridCol w:w="4630"/>
      </w:tblGrid>
      <w:tr>
        <w:trPr>
          <w:tblHeader/>
        </w:trPr>
        <w:tc>
          <w:tcPr>
            <w:tcW w:type="dxa" w:w="1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8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254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6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8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(R1) │ 2026</w:t>
            </w:r>
          </w:p>
        </w:tc>
        <w:tc>
          <w:tcPr>
            <w:tcW w:type="dxa" w:w="25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 Wire-Level Record / PTP / Algorithm — Two-Part</w:t>
            </w:r>
          </w:p>
        </w:tc>
        <w:tc>
          <w:tcPr>
            <w:tcW w:type="dxa" w:w="46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Supersedes structural framing of WP#25 v1.0; extends Att2 §5.3/§6.1, WP#24 §3.2, §5.3, §6.1</w:t>
            </w:r>
          </w:p>
        </w:tc>
      </w:tr>
    </w:tbl>
    <w:p>
      <w:pPr>
        <w:spacing w:after="80"/>
      </w:pPr>
    </w:p>
    <w:p>
      <w:pPr>
        <w:spacing w:after="160" w:before="40"/>
        <w:jc w:val="center"/>
      </w:pPr>
      <w:r>
        <w:rPr>
          <w:i/>
          <w:iCs/>
          <w:color w:val="595959"/>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this record format, PTP profile, and completeness algorithm — not confidentiality — is the mechanism by which conformance and interoperability are controlled.</w:t>
            </w:r>
          </w:p>
        </w:tc>
      </w:tr>
    </w:tbl>
    <w:p>
      <w:pPr>
        <w:spacing w:after="80"/>
      </w:pPr>
    </w:p>
    <w:p>
      <w:pPr>
        <w:pStyle w:val="Heading1"/>
        <w:spacing w:after="120" w:before="260"/>
      </w:pPr>
      <w:r>
        <w:rPr>
          <w:b/>
          <w:bCs/>
        </w:rPr>
        <w:t xml:space="preserve">Revision Log — R1 vs. v1.0</w:t>
      </w:r>
    </w:p>
    <w:p>
      <w:pPr>
        <w:spacing w:after="140"/>
      </w:pPr>
      <w:r>
        <w:t xml:space="preserve">Per Velsanet document-integrity practice, revisions are addition-only: this section records what changed and why, rather than silently overwriting v1.0’s framing. The technical content of v1.0 (register cross-references, bit-field widths, algorithm logic) is preserved wherever it was not itself the subject of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t>
            </w:r>
          </w:p>
        </w:tc>
        <w:tc>
          <w:tcPr>
            <w:tcW w:type="dxa" w:w="57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Change</w:t>
            </w:r>
          </w:p>
        </w:tc>
        <w:tc>
          <w:tcPr>
            <w:tcW w:type="dxa" w:w="2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Term “packet” replaced throughout with “SEU record.”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structure defined in v1.0 §1 never leaves the node and is HBM-resident, not transmitted — “packet” wrongly implied a network-transport object. “Record” matches what the structure actually is: a metadata/pointer entry consumed entirely within one optical core’s local pipeline.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(EAI control-plane structure) re-defined as a structurally distinct specification, not an extension of SEU1.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v1.0 treated CH9–CH16 as an optional/extended portion of one 16-channel SEU. This conflated two structures with different existence conditions: SEU1 exists for every PAI and every EAI (sensory function, universal); SEU2 exists only for EAI (control/actuation/safety function, categorically absent from PAI — not optional, but structurally not present). The document is restructured into Part A (SEU1, common) and Part B (SEU2, EAI-only).</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Optical-core mapping clarified: 1 optical core = 1 SEU1 instance; EAI additionally requires a second, physically separate optical core = 1 SEU2 instance.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v1.0 and WP#24 described EAI’s 16 channels as occupying core sub-groups within a single ribbon (WP#24 Table 5-2, cores #1–24 / #25–48). This is restated at the SEU-record level as two independent optical cores, consistent with the physical-isolation requirement already present in Att2 §5.3 / WP#24 §5.3.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Geographic/topological placement of O8/D12/I20 (density-driven D12 sizing) is out of scope for this document.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That question belongs to network-deployment topology (O8/D12/I20 placement), a different layer than SEU synchronization. It will be addressed in a separate forthcoming document, not in WP#25.</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R1-5</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 Stack Activation Condition (B.13.1) is determined by negotiation between the AI system (PAI/EAI) and Velsanet equipment over the Connectivity Plane — not by a fixed provisioning table. The negotiation protocol itself (request/response format, power-state and capacity confirmation) is out of scope here and deferred to the forthcoming O8 document.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negotiation is a precondition of the same kind already established for hypercube-conformant connection prioritization (WP#20 §6.2, Q7 hypercube adjacency): synapse-like strengthening of a connection across the hypercube network presupposes an AI-side request and a negotiated confirmation — it is not self-executing. Once negotiated, Core Stack cores operate deterministically for the duration of the SEU window (A.7.1/B.11); negotiation does not recur per-window and does not reintroduce per-packet queuing (Att2 §2.1, Deterministic Parallelism).</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R1-6</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and EAI are redefined as two states of one underlying instance rather than two hardware categories fixed at fabrication. Layer 0 (SEU1) is the universal, unconditional base for every instance; Layer 1 (SEU2-A) is a negotiated control-activation boundary — an instance with Layer 1 active operates as EAI, without it as PAI.</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(SEU1) is identical between PAI and EAI; only the control side differs. This makes explicit, at the Core Stack level, a principle already stated for the Cognition Cube engine itself (WP#24 §2.1: “the Cognition Cube hardware follows a 5-layer structure applicable to both EAI and PAI”). B.9’s “1 core for PAI / 2 cores for EAI” figures are unchanged as outcomes, but are now understood as the result of a control-activation decision, not a fixed hardware SKU.</w:t>
            </w:r>
          </w:p>
        </w:tc>
      </w:tr>
    </w:tbl>
    <w:p>
      <w:pPr>
        <w:spacing w:after="80"/>
      </w:pPr>
    </w:p>
    <w:p>
      <w:pPr>
        <w:spacing w:after="160" w:before="40"/>
        <w:jc w:val="center"/>
      </w:pPr>
      <w:r>
        <w:rPr>
          <w:i/>
          <w:iCs/>
          <w:color w:val="595959"/>
          <w:sz w:val="18"/>
          <w:szCs w:val="18"/>
        </w:rPr>
        <w:t xml:space="preserve">Table R-1. Revision Log, WP#25 v1.0 → R1</w:t>
      </w:r>
    </w:p>
    <w:p>
      <w:pPr>
        <w:pStyle w:val="Heading1"/>
        <w:spacing w:after="120" w:before="260"/>
      </w:pPr>
      <w:r>
        <w:rPr>
          <w:b/>
          <w:bCs/>
        </w:rPr>
        <w:t xml:space="preserve">0. Purpose and Relationship to Att2 and WP#24</w:t>
      </w:r>
    </w:p>
    <w:p>
      <w:pPr>
        <w:spacing w:after="140"/>
      </w:pPr>
      <w:r>
        <w:t xml:space="preserve">Att2 §6.1 defines the SEU Synchronization Pipeline functionally; WP#24 §3.2 brings its fourth stage to register level. WP#24 §5.3 additionally establishes that EAI’s perception plane (E2E #1) and control plane (E2E #2) are physically isolated onto separate core groups. R1 of this document takes that physical-isolation requirement to its structural conclusion: perception and control are not two halves of one SEU type, but two SEU types — SEU1 and SEU2 — with different existence conditions, different optical-core bindings, and, for SEU2, a different purpose entirely (command/actuation/safety rather than sensory encapsulation).</w:t>
      </w:r>
    </w:p>
    <w:p>
      <w:pPr>
        <w:spacing w:after="140"/>
      </w:pPr>
      <w:r>
        <w:t xml:space="preserve">As with Att2 and WP#24, the methodology/execution separation established in Att2 §1.3 applies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PART A — SEU1: COMMON BASE SPECIFICATION (PAI + EAI)</w:t>
            </w:r>
          </w:p>
        </w:tc>
      </w:tr>
    </w:tbl>
    <w:p>
      <w:pPr>
        <w:spacing w:after="80"/>
      </w:pPr>
    </w:p>
    <w:p>
      <w:pPr>
        <w:pStyle w:val="Heading1"/>
        <w:spacing w:after="120" w:before="260"/>
      </w:pPr>
      <w:r>
        <w:rPr>
          <w:b/>
          <w:bCs/>
        </w:rPr>
        <w:t xml:space="preserve">A.1 Position and Scope of SEU1</w:t>
      </w:r>
    </w:p>
    <w:p>
      <w:pPr>
        <w:spacing w:after="140"/>
      </w:pPr>
      <w:r>
        <w:t xml:space="preserve">SEU1 is the sensory encapsulation structure defined at Att2 §6.1 / FGEAI-I-011R1 (Eight-Channel Multimodal Decomposition), scoped to CH1–CH8. It is universal: every instance — whether operating as PAI or as EAI — has exactly one SEU1. As established in B.13.1, PAI and EAI are not two categories of hardware fixed at fabrication; they are two states of the same underlying instance, distinguished only by whether the control capability (SEU2, Part B) has been negotiated on. Cognition itself (SEU1) is identical either way — only the control side differs (B.13.1). SEU1 is not a subset or a truncation of some larger structure — it is complete in itself, and is the only SEU an instance has while operating in PAI mode (control inactive).</w:t>
      </w:r>
    </w:p>
    <w:p>
      <w:pPr>
        <w:spacing w:after="140"/>
      </w:pPr>
      <w:r>
        <w:t xml:space="preserve">SEU1 is bound to exactly one optical core. For PAI, that core is the entirety of the PAI instance’s Velsanet-facing interface (WP#24 §7.2). For EAI, that core is E2E #1 (WP#24 Table 5-2, cores #1–24 of the ribbon’s perception group); EAI’s second core, carrying SEU2, is defined separately in Part B.</w:t>
      </w:r>
    </w:p>
    <w:p>
      <w:pPr>
        <w:pStyle w:val="Heading2"/>
        <w:spacing w:after="120" w:before="260"/>
      </w:pPr>
      <w:r>
        <w:rPr>
          <w:b/>
          <w:bCs/>
        </w:rPr>
        <w:t xml:space="preserve">A.2 SEU1 Record Format</w:t>
      </w:r>
    </w:p>
    <w:p>
      <w:pPr>
        <w:spacing w:after="140"/>
      </w:pPr>
      <w:r>
        <w:t xml:space="preserve">The SEU1 record (formerly “SEU packet,” R1-1) is produced by Stage 3 (per-channel independent receive buffer, Att2 §6.1) and consumed by Stage 4 (SEU Assembly Engine, WP#24 §3.2), entirely within the optical core’s local HBM/DEMUX domain. It never leaves that core; only the completed cube it produces is later wrapped in the Cube Frame Header (WP#24 §6.1) for the L4/L5 handoff. Consistent with the HBM DMA write model (Att2 §6.1 Stage 4, Att2 §3.1), the record is a metadata/pointer structure, not a payload container — raw channel data is written to HBM directly by Stage 3.</w:t>
      </w:r>
    </w:p>
    <w:p>
      <w:pPr>
        <w:pStyle w:val="Heading2"/>
        <w:spacing w:after="120" w:before="260"/>
      </w:pPr>
      <w:r>
        <w:rPr>
          <w:b/>
          <w:bCs/>
        </w:rPr>
        <w:t xml:space="preserve">A.3 SEU_ID Bit Layout (80-bit)</w:t>
      </w:r>
    </w:p>
    <w:p>
      <w:pPr>
        <w:spacing w:after="140"/>
      </w:pPr>
      <w:r>
        <w:t xml:space="preserve">Unchanged from v1.0. Att2 §6.1 Stage 4 defines SEU_ID = { NodeID : Timestamp_ns : ChannelHash }; WP#24 Table 1-1/6-1 fix the 80-bit width. NODE_ID is fixed per physical optical core at fabrication (WP#24 §1.1) — for EAI, SEU1’s core and SEU2’s core therefore receive distinct NODE_ID values by construction, without any additional field being required to distinguish them (see A.7 and B.9).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per physical optical core at fabrication. Uniquely identifies this specific core — the PAI instance’s sole core, or an EAI’s E2E #1 core.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TIMESTAMP_NS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Nanosecond timestamp from the T-Axis Timestamp Engine; shares rollover period with T_AXIS_EPOCH_CTR (WP#24 §1.1, ~78.9h).</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CHANNEL_HASH</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Hash of the final SEU_CHANNEL_COMPLETE bitmap (WP#24 §3.2) at flush; a compact, order-independent fingerprint of which CH1–CH8 channels contributed.</w:t>
            </w:r>
          </w:p>
        </w:tc>
      </w:tr>
    </w:tbl>
    <w:p>
      <w:pPr>
        <w:spacing w:after="80"/>
      </w:pPr>
    </w:p>
    <w:p>
      <w:pPr>
        <w:spacing w:after="160" w:before="40"/>
        <w:jc w:val="center"/>
      </w:pPr>
      <w:r>
        <w:rPr>
          <w:i/>
          <w:iCs/>
          <w:color w:val="595959"/>
          <w:sz w:val="18"/>
          <w:szCs w:val="18"/>
        </w:rPr>
        <w:t xml:space="preserve">Table A-1. SEU_ID (80-bit) — identical structure to v1.0 §1.2; scope now explicitly SEU1</w:t>
      </w:r>
    </w:p>
    <w:p>
      <w:pPr>
        <w:pStyle w:val="Heading2"/>
        <w:spacing w:after="120" w:before="260"/>
      </w:pPr>
      <w:r>
        <w:rPr>
          <w:b/>
          <w:bCs/>
        </w:rPr>
        <w:t xml:space="preserve">A.4 Per-Channel Sub-Record</w:t>
      </w:r>
    </w:p>
    <w:p>
      <w:pPr>
        <w:spacing w:after="140"/>
      </w:pPr>
      <w:r>
        <w:t xml:space="preserve">Renamed from “sub-header” (R1-1); fields unchanged from v1.0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00"/>
        <w:gridCol w:w="7490"/>
      </w:tblGrid>
      <w:tr>
        <w:trPr>
          <w:tblHeader/>
        </w:trPr>
        <w:tc>
          <w:tcPr>
            <w:tcW w:type="dxa" w:w="11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49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channel number, 0–7 (SEU1 is always an 8-channel structure, for both PAI and EAI).</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SLOT_TS_OFFSET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Arrival time offset from window opening edge, 100µs ticks.</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for null substitution (A.7.4).</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CONFIDENCE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 Abstraction Layer confidence output; 0x00 while unscored.</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Pointer into this core’s HBM raw buffer / Meta Abstraction record. 0xFFFFFFFF = NULL_MARKER.</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 padding to 64-bit sub-record boundary.</w:t>
            </w:r>
          </w:p>
        </w:tc>
      </w:tr>
    </w:tbl>
    <w:p>
      <w:pPr>
        <w:spacing w:after="80"/>
      </w:pPr>
    </w:p>
    <w:p>
      <w:pPr>
        <w:spacing w:after="160" w:before="40"/>
        <w:jc w:val="center"/>
      </w:pPr>
      <w:r>
        <w:rPr>
          <w:i/>
          <w:iCs/>
          <w:color w:val="595959"/>
          <w:sz w:val="18"/>
          <w:szCs w:val="18"/>
        </w:rPr>
        <w:t xml:space="preserve">Table A-2. SEU1 Per-Channel Sub-Record — 64-bit, one instance per contributing channel (CH1–CH8 only)</w:t>
      </w:r>
    </w:p>
    <w:p>
      <w:pPr>
        <w:pStyle w:val="Heading2"/>
        <w:spacing w:after="120" w:before="260"/>
      </w:pPr>
      <w:r>
        <w:rPr>
          <w:b/>
          <w:bCs/>
        </w:rPr>
        <w:t xml:space="preserve">A.5 Full SEU1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4"/>
        <w:gridCol w:w="912"/>
        <w:gridCol w:w="7344"/>
      </w:tblGrid>
      <w:tr>
        <w:trPr>
          <w:tblHeader/>
        </w:trPr>
        <w:tc>
          <w:tcPr>
            <w:tcW w:type="dxa" w:w="11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Segment</w:t>
            </w:r>
          </w:p>
        </w:tc>
        <w:tc>
          <w:tcPr>
            <w:tcW w:type="dxa" w:w="9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3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Content</w:t>
            </w:r>
          </w:p>
        </w:tc>
      </w:tr>
      <w:tr>
        <w:tc>
          <w:tcPr>
            <w:tcW w:type="dxa" w:w="11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Record Header</w:t>
            </w:r>
          </w:p>
        </w:tc>
        <w:tc>
          <w:tcPr>
            <w:tcW w:type="dxa" w:w="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112-bit</w:t>
            </w:r>
          </w:p>
        </w:tc>
        <w:tc>
          <w:tcPr>
            <w:tcW w:type="dxa" w:w="73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 [80-bit, A.3] + WINDOW_ID [16-bit, monotonic per-core slot counter] + CHAN_COUNT [8-bit, ≤8] + ASSEMBLY_STATE [8-bit, mirrors SEU_ASSEMBLY_STATUS]</w:t>
            </w:r>
          </w:p>
        </w:tc>
      </w:tr>
      <w:tr>
        <w:tc>
          <w:tcPr>
            <w:tcW w:type="dxa" w:w="11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Sub-Records</w:t>
            </w:r>
          </w:p>
        </w:tc>
        <w:tc>
          <w:tcPr>
            <w:tcW w:type="dxa" w:w="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 × CHAN_COUNT</w:t>
            </w:r>
          </w:p>
        </w:tc>
        <w:tc>
          <w:tcPr>
            <w:tcW w:type="dxa" w:w="73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 per contributing channel, A.4; CHAN_ID ascending</w:t>
            </w:r>
          </w:p>
        </w:tc>
      </w:tr>
    </w:tbl>
    <w:p>
      <w:pPr>
        <w:spacing w:after="80"/>
      </w:pPr>
    </w:p>
    <w:p>
      <w:pPr>
        <w:spacing w:after="160" w:before="40"/>
        <w:jc w:val="center"/>
      </w:pPr>
      <w:r>
        <w:rPr>
          <w:i/>
          <w:iCs/>
          <w:color w:val="595959"/>
          <w:sz w:val="18"/>
          <w:szCs w:val="18"/>
        </w:rPr>
        <w:t xml:space="preserve">Table A-3. SEU1 Record Structure — the Control-Plane Extension field present in v1.0****‘******s single-record model is removed here; control-plane content is now entirely SEU2******’****s own record (Part B), not an extension field on this one</w:t>
      </w:r>
    </w:p>
    <w:p>
      <w:pPr>
        <w:spacing w:after="160" w:before="40"/>
        <w:jc w:val="center"/>
      </w:pPr>
      <w:r>
        <w:rPr>
          <w:i/>
          <w:iCs/>
          <w:color w:val="595959"/>
          <w:sz w:val="18"/>
          <w:szCs w:val="18"/>
        </w:rPr>
        <w:t xml:space="preserve">Figure A-1. SEU1 record: fixed 112-bit header + up to 8 × 64-bit sub-records, no control-plane extension</w:t>
      </w:r>
    </w:p>
    <w:p>
      <w:pPr>
        <w:pStyle w:val="Heading2"/>
        <w:spacing w:after="120" w:before="260"/>
      </w:pPr>
      <w:r>
        <w:rPr>
          <w:b/>
          <w:bCs/>
        </w:rPr>
        <w:t xml:space="preserve">A.6 PTP Synchronization Profile — SEU1</w:t>
      </w:r>
    </w:p>
    <w:p>
      <w:pPr>
        <w:spacing w:after="140"/>
      </w:pPr>
      <w:r>
        <w:t xml:space="preserve">Profile identical to v1.0 §2, scoped explicitly to SEU1’s optical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7"/>
        <w:gridCol w:w="2259"/>
        <w:gridCol w:w="5084"/>
      </w:tblGrid>
      <w:tr>
        <w:trPr>
          <w:tblHeader/>
        </w:trPr>
        <w:tc>
          <w:tcPr>
            <w:tcW w:type="dxa" w:w="201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22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Value</w:t>
            </w:r>
          </w:p>
        </w:tc>
        <w:tc>
          <w:tcPr>
            <w:tcW w:type="dxa" w:w="508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 identity / domain</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Velsanet-EAI-PTP-1, Domain 4</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Applies to every SEU1 core — PAI and EAI’s E2E #1 alike</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Delay mechanism</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End-to-end (E2E)</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Fixed-length MOCT ribbon path, statically calibrated</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Timestamping</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One-step</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Consistent with DEMUX_LATENCY_MON &lt;2ns target (WP#24 Table 3-1)</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Sync interval</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 s (16/s)</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Margin against 800ms minimum SEU1 window</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Accuracy budget</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Decomposed per Table A-5</w:t>
            </w:r>
          </w:p>
        </w:tc>
      </w:tr>
    </w:tbl>
    <w:p>
      <w:pPr>
        <w:spacing w:after="80"/>
      </w:pPr>
    </w:p>
    <w:p>
      <w:pPr>
        <w:spacing w:after="160" w:before="40"/>
        <w:jc w:val="center"/>
      </w:pPr>
      <w:r>
        <w:rPr>
          <w:i/>
          <w:iCs/>
          <w:color w:val="595959"/>
          <w:sz w:val="18"/>
          <w:szCs w:val="18"/>
        </w:rPr>
        <w:t xml:space="preserve">Table A-4. SEU1 PTP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82"/>
        <w:gridCol w:w="1478"/>
      </w:tblGrid>
      <w:tr>
        <w:trPr>
          <w:tblHeader/>
        </w:trPr>
        <w:tc>
          <w:tcPr>
            <w:tcW w:type="dxa" w:w="78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Contributor</w:t>
            </w:r>
          </w:p>
        </w:tc>
        <w:tc>
          <w:tcPr>
            <w:tcW w:type="dxa" w:w="14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Budget</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Grand Master reference stability</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Path asymmetry residual</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15ns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Residence/turnaround time</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25ns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Receiver timestamp granularity</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Margin</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bl>
    <w:p>
      <w:pPr>
        <w:spacing w:after="80"/>
      </w:pPr>
    </w:p>
    <w:p>
      <w:pPr>
        <w:spacing w:after="160" w:before="40"/>
        <w:jc w:val="center"/>
      </w:pPr>
      <w:r>
        <w:rPr>
          <w:i/>
          <w:iCs/>
          <w:color w:val="595959"/>
          <w:sz w:val="18"/>
          <w:szCs w:val="18"/>
        </w:rPr>
        <w:t xml:space="preserve">Table A-5.** ****&lt;****100ns Budget Decomposition (Att2 §6.1) — unchanged from v1.0 §2.3</w:t>
      </w:r>
    </w:p>
    <w:p>
      <w:pPr>
        <w:pStyle w:val="Heading2"/>
        <w:spacing w:after="120" w:before="260"/>
      </w:pPr>
      <w:r>
        <w:rPr>
          <w:b/>
          <w:bCs/>
        </w:rPr>
        <w:t xml:space="preserve">A.6.1 Grand Master Topology</w:t>
      </w:r>
    </w:p>
    <w:p>
      <w:pPr>
        <w:spacing w:after="140"/>
      </w:pPr>
      <w:r>
        <w:t xml:space="preserve">As v1.0 §2.2: the PTP Grand Master is sourced from the same I20-rooted reference feeding the passive optical clock tree (WP#23), distributed to channel receivers as IEEE 1588v2 packets downstream of O/E conversion — a distinct mechanism from optical injection locking, cleanly separable for fault isolation and independent validation.</w:t>
      </w:r>
    </w:p>
    <w:p>
      <w:pPr>
        <w:pStyle w:val="Heading2"/>
        <w:spacing w:after="120" w:before="260"/>
      </w:pPr>
      <w:r>
        <w:rPr>
          <w:b/>
          <w:bCs/>
        </w:rPr>
        <w:t xml:space="preserve">A.6.2 Fault Handling — Loss of PTP Lock</w:t>
      </w:r>
    </w:p>
    <w:p>
      <w:pPr>
        <w:spacing w:after="140"/>
      </w:pPr>
      <w:r>
        <w:t xml:space="preserve">As v1.0 §2.4: PTP slave lock is carried in DEMUX_CLK_PLL_STATUS (WP#24 Table 3-1); loss of Grand Master reachability triggers local holdover with a HOLDOVER_FLAG, degrading accuracy monotonically rather than blocking SEU1 assembly.</w:t>
      </w:r>
    </w:p>
    <w:p>
      <w:pPr>
        <w:pStyle w:val="Heading1"/>
        <w:spacing w:after="120" w:before="260"/>
      </w:pPr>
      <w:r>
        <w:rPr>
          <w:b/>
          <w:bCs/>
        </w:rPr>
        <w:t xml:space="preserve">A.7 Channel Completeness Algorithm — SEU1</w:t>
      </w:r>
    </w:p>
    <w:p>
      <w:pPr>
        <w:pStyle w:val="Heading2"/>
        <w:spacing w:after="120" w:before="260"/>
      </w:pPr>
      <w:r>
        <w:rPr>
          <w:b/>
          <w:bCs/>
        </w:rPr>
        <w:t xml:space="preserve">A.7.1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24"/>
        <w:gridCol w:w="3636"/>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State</w:t>
            </w:r>
          </w:p>
        </w:tc>
        <w:tc>
          <w:tcPr>
            <w:tcW w:type="dxa" w:w="5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Entry Condition</w:t>
            </w:r>
          </w:p>
        </w:tc>
        <w:tc>
          <w:tcPr>
            <w:tcW w:type="dxa" w:w="36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Exit Condition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COLLECTING</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slot opens (Att2 §6.1 Stage 2); SEU_CHANNEL_COMPLETE cleared</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 boundary reached → FLUSHING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FLUSHING</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 boundary reached</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Mandatory-channel check (A.7.2) → COMPLETE or ABORTED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All mandatory bits set at flush; optional channels may carry MISSING_FLAG</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 DMA write issued; returns to COLLECTING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ABORTED</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mandatory bit unset at flush</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HBM DMA write (A.7.5); returns to COLLECTING</w:t>
            </w:r>
          </w:p>
        </w:tc>
      </w:tr>
    </w:tbl>
    <w:p>
      <w:pPr>
        <w:spacing w:after="80"/>
      </w:pPr>
    </w:p>
    <w:p>
      <w:pPr>
        <w:spacing w:after="160" w:before="40"/>
        <w:jc w:val="center"/>
      </w:pPr>
      <w:r>
        <w:rPr>
          <w:i/>
          <w:iCs/>
          <w:color w:val="595959"/>
          <w:sz w:val="18"/>
          <w:szCs w:val="18"/>
        </w:rPr>
        <w:t xml:space="preserve">Table A-6. SEU1 SEU_ASSEMBLY_STATUS Transition Table — identical logic to v1.0 §3.1, scope restricted to CH1–CH8</w:t>
      </w:r>
    </w:p>
    <w:p>
      <w:pPr>
        <w:pStyle w:val="Heading2"/>
        <w:spacing w:after="120" w:before="260"/>
      </w:pPr>
      <w:r>
        <w:rPr>
          <w:b/>
          <w:bCs/>
        </w:rPr>
        <w:t xml:space="preserve">A.7.2 Mandatory vs. Optional Channel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3"/>
        <w:gridCol w:w="1248"/>
        <w:gridCol w:w="6329"/>
      </w:tblGrid>
      <w:tr>
        <w:trPr>
          <w:tblHeader/>
        </w:trPr>
        <w:tc>
          <w:tcPr>
            <w:tcW w:type="dxa" w:w="17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2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63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 Video</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Window boundary anchor (Att2 §6.1 Stage 2)</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CH2 Audio</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Degrades gracefully</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CH3 Spatial-Temporal</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for T/C-Axis grounding</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CH4 Biometric</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Drives adaptive window (A.7.3) but not itself required for completeness</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CH5 Text/Linguistic</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CH6 Activity/Motion</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CH7 Device Interface</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CH8 Environment</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bl>
    <w:p>
      <w:pPr>
        <w:spacing w:after="80"/>
      </w:pPr>
    </w:p>
    <w:p>
      <w:pPr>
        <w:spacing w:after="160" w:before="40"/>
        <w:jc w:val="center"/>
      </w:pPr>
      <w:r>
        <w:rPr>
          <w:i/>
          <w:iCs/>
          <w:color w:val="595959"/>
          <w:sz w:val="18"/>
          <w:szCs w:val="18"/>
        </w:rPr>
        <w:t xml:space="preserve">Table A-7. SEU1 Mandatory/Optional Classification — applies identically to PAI and to an EAI****’****s E2E #1</w:t>
      </w:r>
    </w:p>
    <w:p>
      <w:pPr>
        <w:pStyle w:val="Heading2"/>
        <w:spacing w:after="120" w:before="260"/>
      </w:pPr>
      <w:r>
        <w:rPr>
          <w:b/>
          <w:bCs/>
        </w:rPr>
        <w:t xml:space="preserve">A.7.3 Adaptive Window Control Algorithm</w:t>
      </w:r>
    </w:p>
    <w:p>
      <w:pPr>
        <w:spacing w:after="140"/>
      </w:pPr>
      <w:r>
        <w:t xml:space="preserve">IF CH4 sample delta over rolling 200 ms &gt; RAPID_THRESHOLD: SEU_WINDOW_CTRL.CH4_RAPID_TRIGGER := 1 CURRENT_WINDOW_MS (next slot) := 800</w:t>
      </w:r>
    </w:p>
    <w:p>
      <w:pPr>
        <w:spacing w:after="140"/>
      </w:pPr>
      <w:r>
        <w:t xml:space="preserve">ELSE IF aggregate weighted change-rate, CH1-CH8, over 5 consecutive windows &lt; LOW_RATE_THRESHOLD: CURRENT_WINDOW_MS (next slot) := 1500</w:t>
      </w:r>
    </w:p>
    <w:p>
      <w:pPr>
        <w:spacing w:after="140"/>
      </w:pPr>
      <w:r>
        <w:t xml:space="preserve">ELSE: CURRENT_WINDOW_MS (next slot) := 1000 (default, static mode)</w:t>
      </w:r>
    </w:p>
    <w:p>
      <w:pPr>
        <w:spacing w:after="140"/>
      </w:pPr>
      <w:r>
        <w:t xml:space="preserve">Unchanged from v1.0 §3.3. RAPID_THRESHOLD / LOW_RATE_THRESHOLD remain deployment-tunable (execution layer, Att2 §1.3); CH4_RAPID_TRIGGER always takes priority.</w:t>
      </w:r>
    </w:p>
    <w:p>
      <w:pPr>
        <w:pStyle w:val="Heading2"/>
        <w:spacing w:after="120" w:before="260"/>
      </w:pPr>
      <w:r>
        <w:rPr>
          <w:b/>
          <w:bCs/>
        </w:rPr>
        <w:t xml:space="preserve">A.7.4 Missing Channel and Timeout Handling</w:t>
      </w:r>
    </w:p>
    <w:p>
      <w:pPr>
        <w:spacing w:after="140"/>
      </w:pPr>
      <w:r>
        <w:t xml:space="preserve">Unchanged from v1.0 §3.4: null substitution via META_PTR = NULL_MARKER (0xFFFFFFFF) with MISSING_FLAG set; Meta Abstraction Layer must not generate semantic content for a null-substituted channel.</w:t>
      </w:r>
    </w:p>
    <w:p>
      <w:pPr>
        <w:pStyle w:val="Heading2"/>
        <w:spacing w:after="120" w:before="260"/>
      </w:pPr>
      <w:r>
        <w:rPr>
          <w:b/>
          <w:bCs/>
        </w:rPr>
        <w:t xml:space="preserve">A.7.5 ABORTED Disposition</w:t>
      </w:r>
    </w:p>
    <w:p>
      <w:pPr>
        <w:spacing w:after="140"/>
      </w:pPr>
      <w:r>
        <w:t xml:space="preserve">Unchanged from v1.0 §3.5: no HBM DMA write, no HBF cube for that window; audit-log entry via the EPOCH_ID/TIMESTAMP_NS/REQUESTOR_ID format (WP#24 §1.4/2.4); SEU_ABORT_COUNTER (16-bit, saturating) accumulates events; no automatic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PART B — SEU2: EAI-ONLY SPECIALIZED SPECIFICATION (ANNEX)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SEU2 is not an extension of SEU1. SEU1 is the afferent (perception) structure shared by every PAI and every EAI. SEU2 is the efferent (control) structure that exists only for EAI, serving a categorically different purpose. A PAI implementation has no SEU2 code path to disable or leave unpopulated — SEU2 is simply not part of what PAI is.</w:t>
            </w:r>
          </w:p>
        </w:tc>
      </w:tr>
    </w:tbl>
    <w:p>
      <w:pPr>
        <w:spacing w:after="80"/>
      </w:pPr>
    </w:p>
    <w:p>
      <w:pPr>
        <w:pStyle w:val="Heading1"/>
        <w:spacing w:after="120" w:before="260"/>
      </w:pPr>
      <w:r>
        <w:rPr>
          <w:b/>
          <w:bCs/>
        </w:rPr>
        <w:t xml:space="preserve">B.8 Why SEU2 Is Structurally Distinct, Not an Extension</w:t>
      </w:r>
    </w:p>
    <w:p>
      <w:pPr>
        <w:spacing w:after="140"/>
      </w:pPr>
      <w:r>
        <w:t xml:space="preserve">WP#25 v1.0 modeled EAI’s 16 channels as CH1–CH8 (perception) plus an optional CH9–CH16 extension of one SEU structure, controlled by a Control-Plane Extension field on the same record (v1.0 Table 1-3). This section corrects that framing. Att2 §5.3 and WP#24 §5.3 already required that EAI’s perception plane (E2E #1) and control plane (E2E #2) be physically isolated onto separate core groups, with independent power and independent clock source for the control plane. A structure that is physically isolated down to its power and clock source is not an “extension” of the structure it is isolated from — it is a separate structure that happens to share a naming convention (“SEU”) and an assembly algorithm shape (Table A-6’s state machine).</w:t>
      </w:r>
    </w:p>
    <w:p>
      <w:pPr>
        <w:pStyle w:val="Heading2"/>
        <w:spacing w:after="120" w:before="260"/>
      </w:pPr>
      <w:r>
        <w:rPr>
          <w:b/>
          <w:bCs/>
        </w:rPr>
        <w:t xml:space="preserve">B.8.1 Biological Grounding — Afferent vs. Efferent Nervous Systems</w:t>
      </w:r>
    </w:p>
    <w:p>
      <w:pPr>
        <w:spacing w:after="140"/>
      </w:pPr>
      <w:r>
        <w:t xml:space="preserve">The precise structural analogue is the anatomical division of the vertebrate nervous system into afferent and efferent pathways, not a cortical functional division. This is a stronger correspondence than a “which brain region does what” analogy, because afferent/efferent separation is physical from the periphery inward — at the spinal cord, afferent fibers enter through the dorsal root and efferent fibers exit through the ventral root, two anatomically distinct bundles from the point of origin, not two modes of one shared bundle. This matches SEU1/SEU2’s separate-optical-core requirement (B.9) far more precisely than a shared-substrate cortical analogy would: the separation is not organizational, it is physical, and it starts at the periphery.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7"/>
        <w:gridCol w:w="2794"/>
        <w:gridCol w:w="1397"/>
        <w:gridCol w:w="3842"/>
      </w:tblGrid>
      <w:tr>
        <w:trPr>
          <w:tblHeader/>
        </w:trPr>
        <w:tc>
          <w:tcPr>
            <w:tcW w:type="dxa" w:w="13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Nervous System</w:t>
            </w:r>
          </w:p>
        </w:tc>
        <w:tc>
          <w:tcPr>
            <w:tcW w:type="dxa" w:w="279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Biological Correspondence</w:t>
            </w:r>
          </w:p>
        </w:tc>
        <w:tc>
          <w:tcPr>
            <w:tcW w:type="dxa" w:w="139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WP#25 Correspondence</w:t>
            </w:r>
          </w:p>
        </w:tc>
        <w:tc>
          <w:tcPr>
            <w:tcW w:type="dxa" w:w="38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r>
      <w:tr>
        <w:tc>
          <w:tcPr>
            <w:tcW w:type="dxa" w:w="13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External Perception</w:t>
            </w:r>
          </w:p>
        </w:tc>
        <w:tc>
          <w:tcPr>
            <w:tcW w:type="dxa" w:w="27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 (sensory) pathway — dorsal root</w:t>
            </w:r>
          </w:p>
        </w:tc>
        <w:tc>
          <w:tcPr>
            <w:tcW w:type="dxa" w:w="139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38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Sense organs → central system: carries the world inward</w:t>
            </w:r>
          </w:p>
        </w:tc>
      </w:tr>
      <w:tr>
        <w:tc>
          <w:tcPr>
            <w:tcW w:type="dxa" w:w="13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Internal Control</w:t>
            </w:r>
          </w:p>
        </w:tc>
        <w:tc>
          <w:tcPr>
            <w:tcW w:type="dxa" w:w="27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(motor) pathway — ventral root</w:t>
            </w:r>
          </w:p>
        </w:tc>
        <w:tc>
          <w:tcPr>
            <w:tcW w:type="dxa" w:w="139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w:t>
            </w:r>
          </w:p>
        </w:tc>
        <w:tc>
          <w:tcPr>
            <w:tcW w:type="dxa" w:w="38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Central system → effectors: carries commands outward</w:t>
            </w:r>
          </w:p>
        </w:tc>
      </w:tr>
    </w:tbl>
    <w:p>
      <w:pPr>
        <w:spacing w:after="80"/>
      </w:pPr>
    </w:p>
    <w:p>
      <w:pPr>
        <w:spacing w:after="160" w:before="40"/>
        <w:jc w:val="center"/>
      </w:pPr>
      <w:r>
        <w:rPr>
          <w:i/>
          <w:iCs/>
          <w:color w:val="595959"/>
          <w:sz w:val="18"/>
          <w:szCs w:val="18"/>
        </w:rPr>
        <w:t xml:space="preserve">Table B-0. Afferent/Efferent Correspondence — grounds the SEU1/SEU2 physical-isolation requirement in the same separation vertebrate nervous systems already exhibit at the spinal root</w:t>
      </w:r>
    </w:p>
    <w:p>
      <w:pPr>
        <w:spacing w:after="140"/>
      </w:pPr>
      <w:r>
        <w:t xml:space="preserve">The correspondence holds on three axes simultaneously, matching the three grounds on which SEU1/SEU2 isolation is already required in Att2 §5.3 / WP#24 §5.3: (1) anatomical — separate roots/separate optical cores; (2) functional — sensing the world vs. acting on it; (3) temporal — afferent traffic is continuous and adaptively windowed (A.7.3), while efferent traffic is event-driven, firing at the moment a command is issued rather than on a perception cadence. None of the three axes is derivable from the other two, which is why SEU2 cannot be treated as a mode or extension of SEU1 without losing exactly the property (independent failure and independent timing) that the physical isolation exists to guarantee.</w:t>
      </w:r>
    </w:p>
    <w:p>
      <w:pPr>
        <w:spacing w:after="140"/>
      </w:pPr>
      <w:r>
        <w:t xml:space="preserve">The practical consequence: SEU2 is defined here as its own record format, its own PTP domain, and its own completeness algorithm instance — structurally parallel to SEU1, not layered on top of it. PAI never instantiates SEU2. This is not because SEU2 is “optional” for PAI; it is because SEU2’s function (command input, actuation output, safety override, mission-state tracking) has no PAI-side referent to begin with — a purely afferent system has no efferent root to speak of.</w:t>
      </w:r>
    </w:p>
    <w:p>
      <w:pPr>
        <w:pStyle w:val="Heading1"/>
        <w:spacing w:after="120" w:before="260"/>
      </w:pPr>
      <w:r>
        <w:rPr>
          <w:b/>
          <w:bCs/>
        </w:rPr>
        <w:t xml:space="preserve">B.9 Position, Scope, and Optical-Core Binding of SEU2</w:t>
      </w:r>
    </w:p>
    <w:p>
      <w:pPr>
        <w:spacing w:after="140"/>
      </w:pPr>
      <w:r>
        <w:t xml:space="preserve">SEU2 exists only for an instance operating in EAI mode (Layer 1 active, R1-6) — one instance per such EAI, bound to a second optical core distinct from that instance’s SEU1 core (R1-3) — corresponding to E2E #2 / cores #25–48 of WP#24 Table 5-2’s ribbon grouping, restated here as a physically separate core rather than a sub-group of one shared core. Because NODE_ID (Table A-1) is fixed per physical core at fabrication, SEU1’s core and SEU2’s core of the same EAI naturally carry distinct NODE_ID values; the association between a given SEU1 core and its paired SEU2 core is maintained as an O8-level pairing registry, which is a network-topology-layer concern and is out of scope for this document (see Revision Log R1-4) — it is deferred to the forthcoming O8/D12/I20 placement document.</w:t>
      </w:r>
    </w:p>
    <w:p>
      <w:pPr>
        <w:spacing w:after="140"/>
      </w:pPr>
      <w:r>
        <w:t xml:space="preserve">SEU2 is invariantly paired: a SEU2 instance never exists without exactly one paired SEU1 instance belonging to the same EAI. There is no standalone-SEU2 deployment case, because control/actuation without the perception context SEU1 provides has no defined role in this architecture.</w:t>
      </w:r>
    </w:p>
    <w:p>
      <w:pPr>
        <w:pStyle w:val="Heading1"/>
        <w:spacing w:after="120" w:before="260"/>
      </w:pPr>
      <w:r>
        <w:rPr>
          <w:b/>
          <w:bCs/>
        </w:rPr>
        <w:t xml:space="preserve">B.10 SEU2 Record Format</w:t>
      </w:r>
    </w:p>
    <w:p>
      <w:pPr>
        <w:spacing w:after="140"/>
      </w:pPr>
      <w:r>
        <w:t xml:space="preserve">The SEU2 record reuses the SEU_ID structure of Table A-1 without modification — no additional field is needed to distinguish SEU1 from SEU2, since they live on physically distinct cores with physically distinct NODE_ID values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control channel number. Retains the CH9–CH16 absolute numbering of Att2/WP#24 for cross-reference continuity, but is understood here as SEU2’s own complete 8-channel set, not channels 9 through 16 of a 16-channel whole.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SLOT_TS_OFFSET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 against SEU2’s own independent window (B.12).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CONFIDENCE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 largely inapplicable to CH11 (excluded, B.11.1) and CH13-15 categories.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Pointer into SEU2’s own HBM buffer domain — physically separate from SEU1’s, per the independent-power/independent-clock isolation of WP#24 Table 5-2.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w:t>
            </w:r>
          </w:p>
        </w:tc>
      </w:tr>
    </w:tbl>
    <w:p>
      <w:pPr>
        <w:spacing w:after="80"/>
      </w:pPr>
    </w:p>
    <w:p>
      <w:pPr>
        <w:spacing w:after="160" w:before="40"/>
        <w:jc w:val="center"/>
      </w:pPr>
      <w:r>
        <w:rPr>
          <w:i/>
          <w:iCs/>
          <w:color w:val="595959"/>
          <w:sz w:val="18"/>
          <w:szCs w:val="18"/>
        </w:rPr>
        <w:t xml:space="preserve">Table B-1. SEU2 Per-Channel Sub-Record — 64-bit, structurally identical field layout to SEU1****’****s but a distinct HBM/core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4"/>
        <w:gridCol w:w="961"/>
        <w:gridCol w:w="7235"/>
      </w:tblGrid>
      <w:tr>
        <w:trPr>
          <w:tblHeader/>
        </w:trPr>
        <w:tc>
          <w:tcPr>
            <w:tcW w:type="dxa" w:w="116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Segment</w:t>
            </w:r>
          </w:p>
        </w:tc>
        <w:tc>
          <w:tcPr>
            <w:tcW w:type="dxa" w:w="9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23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Content</w:t>
            </w:r>
          </w:p>
        </w:tc>
      </w:tr>
      <w:tr>
        <w:tc>
          <w:tcPr>
            <w:tcW w:type="dxa" w:w="116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Record Header</w:t>
            </w:r>
          </w:p>
        </w:tc>
        <w:tc>
          <w:tcPr>
            <w:tcW w:type="dxa" w:w="9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112-bit</w:t>
            </w:r>
          </w:p>
        </w:tc>
        <w:tc>
          <w:tcPr>
            <w:tcW w:type="dxa" w:w="723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 [80-bit, Table A-1, this core’s own NODE_ID] + WINDOW_ID [16-bit, independent counter] + CHAN_COUNT [8-bit, ≤8] + ASSEMBLY_STATE [8-bit]</w:t>
            </w:r>
          </w:p>
        </w:tc>
      </w:tr>
      <w:tr>
        <w:tc>
          <w:tcPr>
            <w:tcW w:type="dxa" w:w="116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Sub-Records</w:t>
            </w:r>
          </w:p>
        </w:tc>
        <w:tc>
          <w:tcPr>
            <w:tcW w:type="dxa" w:w="9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 × CHAN_COUNT</w:t>
            </w:r>
          </w:p>
        </w:tc>
        <w:tc>
          <w:tcPr>
            <w:tcW w:type="dxa" w:w="723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Table B-1, one per contributing control channel</w:t>
            </w:r>
          </w:p>
        </w:tc>
      </w:tr>
    </w:tbl>
    <w:p>
      <w:pPr>
        <w:spacing w:after="80"/>
      </w:pPr>
    </w:p>
    <w:p>
      <w:pPr>
        <w:spacing w:after="160" w:before="40"/>
        <w:jc w:val="center"/>
      </w:pPr>
      <w:r>
        <w:rPr>
          <w:i/>
          <w:iCs/>
          <w:color w:val="595959"/>
          <w:sz w:val="18"/>
          <w:szCs w:val="18"/>
        </w:rPr>
        <w:t xml:space="preserve">Table B-2. SEU2 Record Structure — a complete, independent record, not an attachment to SEU1****’****s</w:t>
      </w:r>
    </w:p>
    <w:p>
      <w:pPr>
        <w:pStyle w:val="Heading1"/>
        <w:spacing w:after="120" w:before="260"/>
      </w:pPr>
      <w:r>
        <w:rPr>
          <w:b/>
          <w:bCs/>
        </w:rPr>
        <w:t xml:space="preserve">B.11 Channel Completeness Algorithm — SEU2</w:t>
      </w:r>
    </w:p>
    <w:p>
      <w:pPr>
        <w:spacing w:after="140"/>
      </w:pPr>
      <w:r>
        <w:t xml:space="preserve">SEU2 runs its own instance of the state machine defined in Table A-6, independently of SEU1’s instance (this independence was named SEU_CTRL_PLANE_WINDOW in WP#24 §3.2; R1 clarifies that it is not a second window on one engine but a second, complete engine).</w:t>
      </w:r>
    </w:p>
    <w:p>
      <w:pPr>
        <w:pStyle w:val="Heading2"/>
        <w:spacing w:after="120" w:before="260"/>
      </w:pPr>
      <w:r>
        <w:rPr>
          <w:b/>
          <w:bCs/>
        </w:rPr>
        <w:t xml:space="preserve">B.11.1 Mandatory / Optional / Excluded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1"/>
        <w:gridCol w:w="701"/>
        <w:gridCol w:w="7608"/>
      </w:tblGrid>
      <w:tr>
        <w:trPr>
          <w:tblHeader/>
        </w:trPr>
        <w:tc>
          <w:tcPr>
            <w:tcW w:type="dxa" w:w="10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7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60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CH9 Command Input</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SEU2 input</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CH10 Actuation Output</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Absence reflects no commanded actuation, not a fault</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Override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Shares no register, bus, or logic path with SEU synchronization of any kind (WP#24 §5) — excluded from SEU2 exactly as it was excluded from SEU1’s scope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CH12 Auth/Identity</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CH13 Mission State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for M-Axis mission-experience grounding</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CH14 AAI Coordination</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Logical/idle-capacity delivery only (WP#24 §6.4); not slot-synchronized</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CH15 Audit/Evidence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Internally generated, WORM-backed; trivially complete by construction</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CH16 Redundancy Link</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Hot-standby duplicate of another channel; not independently evaluated</w:t>
            </w:r>
          </w:p>
        </w:tc>
      </w:tr>
    </w:tbl>
    <w:p>
      <w:pPr>
        <w:spacing w:after="80"/>
      </w:pPr>
    </w:p>
    <w:p>
      <w:pPr>
        <w:spacing w:after="160" w:before="40"/>
        <w:jc w:val="center"/>
      </w:pPr>
      <w:r>
        <w:rPr>
          <w:i/>
          <w:iCs/>
          <w:color w:val="595959"/>
          <w:sz w:val="18"/>
          <w:szCs w:val="18"/>
        </w:rPr>
        <w:t xml:space="preserve">Table B-3. SEU2 Channel Classification</w:t>
      </w:r>
    </w:p>
    <w:p>
      <w:pPr>
        <w:pStyle w:val="Heading2"/>
        <w:spacing w:after="120" w:before="260"/>
      </w:pPr>
      <w:r>
        <w:rPr>
          <w:b/>
          <w:bCs/>
        </w:rPr>
        <w:t xml:space="preserve">B.11.2 Missing-Channel and ABORTED Handling</w:t>
      </w:r>
    </w:p>
    <w:p>
      <w:pPr>
        <w:spacing w:after="140"/>
      </w:pPr>
      <w:r>
        <w:t xml:space="preserve">Identical mechanics to A.7.4/A.7.5 (null substitution, audit log, SEU_ABORT_COUNTER), applied to SEU2’s own SEU_CHANNEL_COMPLETE/SEU_MISSING_FLAG/SEU_ASSEMBLY_STATUS instance. An ABORTED SEU2 slot has no effect on SEU1’s assembly state and vice versa — this mutual non-interference is the entire point of the two-engine model (B.8).</w:t>
      </w:r>
    </w:p>
    <w:p>
      <w:pPr>
        <w:pStyle w:val="Heading1"/>
        <w:spacing w:after="120" w:before="260"/>
      </w:pPr>
      <w:r>
        <w:rPr>
          <w:b/>
          <w:bCs/>
        </w:rPr>
        <w:t xml:space="preserve">B.12 PTP Synchronization Profile — SEU2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6"/>
        <w:gridCol w:w="1510"/>
        <w:gridCol w:w="6114"/>
      </w:tblGrid>
      <w:tr>
        <w:trPr>
          <w:tblHeader/>
        </w:trPr>
        <w:tc>
          <w:tcPr>
            <w:tcW w:type="dxa" w:w="17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15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 Value</w:t>
            </w:r>
          </w:p>
        </w:tc>
        <w:tc>
          <w:tcPr>
            <w:tcW w:type="dxa" w:w="61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 vs. SEU1</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Domain number</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Distinct from SEU1’s Domain 4 (Table A-4); deployment policy may require this when SEU2’s clock source is independent (WP#24 Table 5-2, “Independent Crystal OSC”)</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Delay mechanism / Timestamping / Sync interval</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as Table A-4</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 shape is shared; only the domain and physical clock source differ, consistent with WP#24 Table 5-2’s independent-clock requirement for E2E #2</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Accuracy budget</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 same decomposition as Table A-5</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oscillator (not shared with SEU1’s Grand Master path) is itself part of the fault-isolation guarantee</w:t>
            </w:r>
          </w:p>
        </w:tc>
      </w:tr>
    </w:tbl>
    <w:p>
      <w:pPr>
        <w:spacing w:after="80"/>
      </w:pPr>
    </w:p>
    <w:p>
      <w:pPr>
        <w:spacing w:after="160" w:before="40"/>
        <w:jc w:val="center"/>
      </w:pPr>
      <w:r>
        <w:rPr>
          <w:i/>
          <w:iCs/>
          <w:color w:val="595959"/>
          <w:sz w:val="18"/>
          <w:szCs w:val="18"/>
        </w:rPr>
        <w:t xml:space="preserve">Table B-4. SEU2 PTP Profile — deliberately on a separate domain/oscillator from SEU1, per WP#24 Table 5-2</w:t>
      </w:r>
    </w:p>
    <w:p>
      <w:pPr>
        <w:pStyle w:val="Heading1"/>
        <w:spacing w:after="120" w:before="260"/>
      </w:pPr>
      <w:r>
        <w:rPr>
          <w:b/>
          <w:bCs/>
        </w:rPr>
        <w:t xml:space="preserve">B.13 EAI Core Stack — Adaptive Optical Core Allocation</w:t>
      </w:r>
    </w:p>
    <w:p>
      <w:pPr>
        <w:spacing w:after="140"/>
      </w:pPr>
      <w:r>
        <w:t xml:space="preserve">The optical-core counts fixed in B.9 (1 SEU1 core + 1 SEU2 core per EAI) are a mandatory baseline, not a ceiling. This section defines the EAI Core Stack: the layered structure by which an EAI’s optical-core allocation grows beyond that baseline under specific network conditions. “Core Stack” is deliberately not called “O8” — O8 already denotes the city-layer hub node (192 optical cores, WP#24 §5.2/§7.2, WP#20 §5.3); the Core Stack is a per-EAI-instance allocation profile at a completely different scale, and reusing O8’s name for it would misstate which structure is being sized.</w:t>
      </w:r>
    </w:p>
    <w:p>
      <w:pPr>
        <w:pStyle w:val="Heading2"/>
        <w:spacing w:after="120" w:before="260"/>
      </w:pPr>
      <w:r>
        <w:rPr>
          <w:b/>
          <w:bCs/>
        </w:rPr>
        <w:t xml:space="preserve">B.13.1 Stack Layers</w:t>
      </w:r>
    </w:p>
    <w:p>
      <w:pPr>
        <w:spacing w:after="140"/>
      </w:pPr>
      <w:r>
        <w:t xml:space="preserve">Layer 0 and Layer 1 are not both “mandatory” in the same sense. Layer 0 (SEU1) is present in every instance unconditionally. Layer 1 (SEU2-A) is what an instance’s negotiation with Velsanet equipment (R1-5) turns on when — and only when — control/actuation capability is required; an instance with Layer 1 active is, by that fact, operating as EAI, and an instance without it is operating as PAI. This is the control-activation criterion fixed in this update: cognition (SEU1) is identical in both modes; only the control side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2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Layer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 Type</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Cores</w:t>
            </w:r>
          </w:p>
        </w:tc>
        <w:tc>
          <w:tcPr>
            <w:tcW w:type="dxa" w:w="72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Activation Condition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 Universal Base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(fixed)</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Always present, unconditionally — every instance’s minimum perception path (A.1). Present whether the instance is operating as PAI or as EAI.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 Control Activation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SEU2-A</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(fixed once active)</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Negotiated on via the Connectivity Plane (R1-5) when control/actuation capability is required. An instance with Layer 1 active is, by definition, operating as EAI (B.13.2); without it, the instance operates as PAI.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 Conditional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to +3 (total ≤ 4)</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Activated when deployment requires perception fault tolerance — e.g., mission-critical or safety-relevant robots where a single-core perception failure is unacceptable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 — Conditional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SEU2-B</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to +2</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Activated only when Layer 1 (control) is already active AND a supervising D12/E2E Center exists to receive cognition reports (B.13.2). An instance with Layer 1 inactive (PAI mode), or with no supervising node, has zero SEU2-B cores — structurally absent, not merely unpopulated (B.8)</w:t>
            </w:r>
          </w:p>
        </w:tc>
      </w:tr>
    </w:tbl>
    <w:p>
      <w:pPr>
        <w:spacing w:after="80"/>
      </w:pPr>
    </w:p>
    <w:p>
      <w:pPr>
        <w:spacing w:after="160" w:before="40"/>
        <w:jc w:val="center"/>
      </w:pPr>
      <w:r>
        <w:rPr>
          <w:i/>
          <w:iCs/>
          <w:color w:val="595959"/>
          <w:sz w:val="18"/>
          <w:szCs w:val="18"/>
        </w:rPr>
        <w:t xml:space="preserve">Table B-6. EAI Core Stack Layers — Layer 0 is the universal baseline (A.1); Layer 1 is the negotiated control-activation boundary that distinguishes EAI-mode from PAI-mode; Layers 2–3 are further conditional extensions</w:t>
      </w:r>
    </w:p>
    <w:p>
      <w:pPr>
        <w:spacing w:after="140"/>
      </w:pPr>
      <w:r>
        <w:t xml:space="preserve">Each layer’s Activation Condition (Table B-6) is resolved through negotiation between the AI system and Velsanet equipment over the Connectivity Plane — not read from a static table — accounting for real-world conditions such as equipment power state and current acceptance capacity (Revision Log R1-5). The negotiation protocol itself is out of scope for this document and is deferred to the forthcoming O8 document. Once a layer is activated, its cores operate deterministically for the duration of each SEU window (A.7.1, B.11.2) — negotiation determines whether a core exists, never how it behaves once it does, so this does not reintroduce per-window queuing into the completeness algorithms already fixed in Part A/B.</w:t>
      </w:r>
    </w:p>
    <w:p>
      <w:pPr>
        <w:spacing w:after="140"/>
      </w:pPr>
      <w:r>
        <w:t xml:space="preserve">Core counts by mode: an instance in PAI mode (Layer 0 only) uses 1 core. An instance in EAI mode with only the mandatory control layer active (Layer 0 + Layer 1) uses 2 cores — this is the WP#25 EAI baseline (B.9). A maximal EAI (all layers populated) uses 7 cores total: 4 SEU1 (Layer 0 + up to 3 Layer-2 redundancy) + 1 SEU2-A (Layer 1, does not scale beyond 1) + 2 SEU2-B (Layer 3 maximum).</w:t>
      </w:r>
    </w:p>
    <w:p>
      <w:pPr>
        <w:spacing w:after="140"/>
      </w:pPr>
      <w:r>
        <w:t xml:space="preserve">The general principle is that Core Stack size is a function of network condition, not a fixed per-instance constant — consistent with the same density-driven sizing logic already flagged for O8/D12/I20 placement (Revision Log R1-4, deferred to a separate document).</w:t>
      </w:r>
    </w:p>
    <w:p>
      <w:pPr>
        <w:pStyle w:val="Heading2"/>
        <w:spacing w:after="120" w:before="260"/>
      </w:pPr>
      <w:r>
        <w:rPr>
          <w:b/>
          <w:bCs/>
        </w:rPr>
        <w:t xml:space="preserve">B.13.2 SEU2 Sub-Types — Actuation vs. Cognition Reporting</w:t>
      </w:r>
    </w:p>
    <w:p>
      <w:pPr>
        <w:spacing w:after="140"/>
      </w:pPr>
      <w:r>
        <w:t xml:space="preserve">SEU2 (B.8) is further divided into two sub-types, physically separated onto distinct Master optical cores within Layer 1/Layer 3 of the Core Stack:</w:t>
      </w:r>
    </w:p>
    <w:p>
      <w:pPr>
        <w:spacing w:after="140"/>
      </w:pPr>
      <w:r>
        <w:t xml:space="preserve">- SEU2-A (Actuation Command) — carries motor commands to physical Velsanet equipment (actuators, motors, displays). This is the efferent-motor path to the peripheral world, and is Layer 1 (mandatory, B.13.1).</w:t>
      </w:r>
    </w:p>
    <w:p>
      <w:pPr>
        <w:spacing w:after="140"/>
      </w:pPr>
      <w:r>
        <w:t xml:space="preserve">- SEU2-B (Cognition Report) — carries a serialized summary of the EAI’s current cognitive state (perceived context, decision rationale, confidence scores, internal system health) upward to the D12/E2E Center. This is the efferent-visceral / interoceptive-reporting path — the EAI reporting its own state upward, rather than acting outward — and is Layer 3 (conditional, B.13.1).</w:t>
      </w:r>
    </w:p>
    <w:p>
      <w:pPr>
        <w:spacing w:after="140"/>
      </w:pPr>
      <w:r>
        <w:t xml:space="preserve">SEU2-A and SEU2-B share the completeness algorithm shape (Table B-3) and PTP profile (Table B-4), but are evaluated as independent channel sets with independent ABORTED/COMPLETE states, on physically distinct cores. A failure in SEU2-A does not block SEU2-B: this is a deliberate design invariant, not an incidental consequence of using separate cores — an EAI that cannot act must still be able to report its own degraded state to the supervising center. Where a channel classification is needed for SEU2-B specifically, it reuses the CH13 Mission State / CH15 Audit-Evidence roles of Table B-3 as its primary and secondary content respectively; it does not introduce new channel numbers.</w:t>
      </w:r>
    </w:p>
    <w:p>
      <w:pPr>
        <w:pStyle w:val="Heading2"/>
        <w:spacing w:after="120" w:before="260"/>
      </w:pPr>
      <w:r>
        <w:rPr>
          <w:b/>
          <w:bCs/>
        </w:rPr>
        <w:t xml:space="preserve">B.13.3 Three-Path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9"/>
        <w:gridCol w:w="1910"/>
        <w:gridCol w:w="2006"/>
        <w:gridCol w:w="2865"/>
      </w:tblGrid>
      <w:tr>
        <w:trPr>
          <w:tblHeader/>
        </w:trPr>
        <w:tc>
          <w:tcPr>
            <w:tcW w:type="dxa" w:w="25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Nervous System</w:t>
            </w:r>
          </w:p>
        </w:tc>
        <w:tc>
          <w:tcPr>
            <w:tcW w:type="dxa" w:w="19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WP#25 Correspondence</w:t>
            </w:r>
          </w:p>
        </w:tc>
        <w:tc>
          <w:tcPr>
            <w:tcW w:type="dxa" w:w="20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Direction</w:t>
            </w:r>
          </w:p>
        </w:tc>
        <w:tc>
          <w:tcPr>
            <w:tcW w:type="dxa" w:w="286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External world → AI</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Sensing</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 Motor</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SEU2-A</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AI → External world</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Acting</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 Cognition Report</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SEU2-B</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AI → Supervising node</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Reporting its own state upward</w:t>
            </w:r>
          </w:p>
        </w:tc>
      </w:tr>
    </w:tbl>
    <w:p>
      <w:pPr>
        <w:spacing w:after="80"/>
      </w:pPr>
    </w:p>
    <w:p>
      <w:pPr>
        <w:spacing w:after="160" w:before="40"/>
        <w:jc w:val="center"/>
      </w:pPr>
      <w:r>
        <w:rPr>
          <w:i/>
          <w:iCs/>
          <w:color w:val="595959"/>
          <w:sz w:val="18"/>
          <w:szCs w:val="18"/>
        </w:rPr>
        <w:t xml:space="preserve">Table B-7. Three-Path Correspondence — extends Table B-0 (afferent/efferent) with the reporting path****’****s interoceptive character</w:t>
      </w:r>
    </w:p>
    <w:p>
      <w:pPr>
        <w:spacing w:after="140"/>
      </w:pPr>
      <w:r>
        <w:t xml:space="preserve">This is not a sensorimotor loop alone (sense, then act) but a complete cognition–action–reflection loop: sense, act, and report the sensing and the acting upward for supervision. The exact fusion/arbitration behavior when multiple SEU1 cores are active under Layer 2 (B.13.1) — hot-standby, majority vote, or independent-parallel-with-AAI-level fusion — is left to a future document; this section fixes only the existence and independence of the layers, not their internal combination algorithm.</w:t>
      </w:r>
    </w:p>
    <w:p>
      <w:pPr>
        <w:spacing w:after="140"/>
      </w:pPr>
      <w:r>
        <w:t xml:space="preserve">Table B-5 (PAI vs. EAI) is read together with this section as follows: PAI’s “None — not applicable, not optional” for SEU2 extends unchanged to SEU2-A and SEU2-B alike, since neither sub-type has a PAI-side referent.</w:t>
      </w:r>
    </w:p>
    <w:p>
      <w:pPr>
        <w:pStyle w:val="Heading1"/>
        <w:spacing w:after="120" w:before="260"/>
      </w:pPr>
      <w:r>
        <w:rPr>
          <w:b/>
          <w:bCs/>
        </w:rPr>
        <w:t xml:space="preserve">B.14 Interoperability Note — PAI vs. 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5"/>
        <w:gridCol w:w="2275"/>
        <w:gridCol w:w="4680"/>
      </w:tblGrid>
      <w:tr>
        <w:trPr>
          <w:tblHeader/>
        </w:trPr>
        <w:tc>
          <w:tcPr>
            <w:tcW w:type="dxa" w:w="24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227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w:t>
            </w:r>
          </w:p>
        </w:tc>
        <w:tc>
          <w:tcPr>
            <w:tcW w:type="dxa" w:w="46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instance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sole SEU type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perception plane (E2E #1)</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instance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not applicable, not optional</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control plane (E2E #2), separate core</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cores consumed</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(physically isolated, WP#24 Table 5-2)</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domains in use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(Domain 4)</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(Domain 4 + Domain 5)</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Mutual independence guarantee needed?</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 — single engine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SEU1 ABORTED must not affect SEU2 COMPLETE and vice versa (B.11.2)</w:t>
            </w:r>
          </w:p>
        </w:tc>
      </w:tr>
    </w:tbl>
    <w:p>
      <w:pPr>
        <w:spacing w:after="80"/>
      </w:pPr>
    </w:p>
    <w:p>
      <w:pPr>
        <w:spacing w:after="160" w:before="40"/>
        <w:jc w:val="center"/>
      </w:pPr>
      <w:r>
        <w:rPr>
          <w:i/>
          <w:iCs/>
          <w:color w:val="595959"/>
          <w:sz w:val="18"/>
          <w:szCs w:val="18"/>
        </w:rPr>
        <w:t xml:space="preserve">Table B-5. PAI vs. EAI — SEU1/SEU2 Instantiation Summary</w:t>
      </w:r>
    </w:p>
    <w:p>
      <w:pPr>
        <w:pStyle w:val="Heading1"/>
        <w:spacing w:after="120" w:before="260"/>
      </w:pPr>
      <w:r>
        <w:rPr>
          <w:b/>
          <w:bCs/>
        </w:rPr>
        <w:t xml:space="preserve">C.15 Cross-Reference to Hardware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682"/>
        <w:gridCol w:w="4838"/>
      </w:tblGrid>
      <w:tr>
        <w:trPr>
          <w:tblHeader/>
        </w:trPr>
        <w:tc>
          <w:tcPr>
            <w:tcW w:type="dxa" w:w="18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Validation Item</w:t>
            </w:r>
          </w:p>
        </w:tc>
        <w:tc>
          <w:tcPr>
            <w:tcW w:type="dxa" w:w="26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Applies To</w:t>
            </w:r>
          </w:p>
        </w:tc>
        <w:tc>
          <w:tcPr>
            <w:tcW w:type="dxa" w:w="48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Criterion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lock acquisition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 each domain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 within 1s of Grand Master reachability, per domain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accuracy budget</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 each core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 aggregate, 72h+ continuous, per core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independent-clock isolation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only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Grand Master fault injected; SEU2 Domain 5 lock unaffected (WP#24 Table 5-2)</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malformed rejection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 rejection of CHAN_COUNT/sub-record mismatch, fuzzing test, both record types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Mandatory-channel abort correctness</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(Table A-7) and SEU2 (Table B-3)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ABORTED iff a mandatory bit is unset at flush for that engine — 0 false-positive/negative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Cross-engine independence</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ABORTED injected; SEU2 COMPLETE unaffected, and vice versa — direct test of B.8’s claim</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absence-of-SEU2 conformance</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only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Conformant PAI implementation exposes no SEU2 register surface or record path at all</w:t>
            </w:r>
          </w:p>
        </w:tc>
      </w:tr>
    </w:tbl>
    <w:p>
      <w:pPr>
        <w:spacing w:after="80"/>
      </w:pPr>
    </w:p>
    <w:p>
      <w:pPr>
        <w:spacing w:after="160" w:before="40"/>
        <w:jc w:val="center"/>
      </w:pPr>
      <w:r>
        <w:rPr>
          <w:i/>
          <w:iCs/>
          <w:color w:val="595959"/>
          <w:sz w:val="18"/>
          <w:szCs w:val="18"/>
        </w:rPr>
        <w:t xml:space="preserve">Table C-1. Validation Items, R1 — supersedes WP#25 v1.0 Table 6-1****’****s single-engine framing</w:t>
      </w:r>
    </w:p>
    <w:p>
      <w:pPr>
        <w:pStyle w:val="Heading1"/>
        <w:spacing w:after="120" w:before="260"/>
      </w:pPr>
      <w:r>
        <w:rPr>
          <w:b/>
          <w:bCs/>
        </w:rPr>
        <w:t xml:space="preserve">C.16 Conclusion</w:t>
      </w:r>
    </w:p>
    <w:p>
      <w:pPr>
        <w:spacing w:after="140"/>
      </w:pPr>
      <w:r>
        <w:t xml:space="preserve">This document restructures WP#25 around the physical reality already established in Att2 §5.3 and WP#24 §5.3: EAI’s perception and control planes are two independently powered, independently clocked, physically isolated optical domains. Modeling them as one 16-channel SEU with an optional extension (the earlier v1.0 framing) understated that isolation at the record and algorithm level. SEU1 (Part A) is now defined as the complete, common afferent structure every PAI and every EAI instantiates, and SEU2 (Part B) as a structurally distinct, EAI-only efferent structure — not larger or smaller than SEU1, but different in kind, the way afferent and efferent nerve roots differ in kind, and in point of physical origin, rather than in size (B.8.1).</w:t>
      </w:r>
    </w:p>
    <w:p>
      <w:pPr>
        <w:spacing w:after="140"/>
      </w:pPr>
      <w:r>
        <w:t xml:space="preserve">The geographic and topological question of how O8/D12/I20 are sized and placed across a deployment (density-driven D12 sizing) is explicitly out of scope here (Revision Log R1-4) and will be addressed in a separate forthcoming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Next in sequence per Att2 §11.1 / WP#24 §11.1: WP#26 (Dedicated Equipment FPGA/ASIC Design Guide), now scoped to implement two RTL engine templates — one for SEU1, one for SEU2 — rather than one engine with a control-plane extension mode.</w:t>
            </w:r>
          </w:p>
        </w:tc>
      </w:tr>
    </w:tbl>
    <w:p>
      <w:pPr>
        <w:spacing w:after="80"/>
      </w:pPr>
    </w:p>
    <w:p>
      <w:pPr>
        <w:pStyle w:val="Heading2"/>
        <w:spacing w:after="120" w:before="260"/>
      </w:pPr>
      <w:r>
        <w:rPr>
          <w:b/>
          <w:bCs/>
        </w:rPr>
        <w:t xml:space="preserve">Future Document Proposals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18"/>
        <w:gridCol w:w="5547"/>
        <w:gridCol w:w="1495"/>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6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554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49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templates, timing analysis, 800G optical interface</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O8 Connectivity Plane face allocation (24-core In/Out); Core Stack negotiation protocol (R1-5)</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 from this discussion</w:t>
            </w:r>
          </w:p>
        </w:tc>
      </w:tr>
    </w:tbl>
    <w:p>
      <w:pPr>
        <w:spacing w:after="80"/>
      </w:pPr>
    </w:p>
    <w:p>
      <w:pPr>
        <w:spacing w:after="160" w:before="40"/>
        <w:jc w:val="center"/>
      </w:pPr>
      <w:r>
        <w:rPr>
          <w:i/>
          <w:iCs/>
          <w:color w:val="595959"/>
          <w:sz w:val="18"/>
          <w:szCs w:val="18"/>
        </w:rPr>
        <w:t xml:space="preserve">Table C-2. Future Document Proposals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2026-07-12T05:33:38.630Z</dcterms:created>
  <dcterms:modified xsi:type="dcterms:W3CDTF">2026-07-12T05:33:38.630Z</dcterms:modified>
</cp:coreProperties>
</file>

<file path=docProps/custom.xml><?xml version="1.0" encoding="utf-8"?>
<Properties xmlns="http://schemas.openxmlformats.org/officeDocument/2006/custom-properties" xmlns:vt="http://schemas.openxmlformats.org/officeDocument/2006/docPropsVTypes"/>
</file>