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INTERNATIONAL TELECOMMUNICATION UNION</w:t>
            </w:r>
          </w:p>
          <w:p>
            <w:pPr>
              <w:jc w:val="center"/>
            </w:pPr>
            <w:r>
              <w:rPr>
                <w:rFonts w:ascii="Arial" w:cs="Arial" w:eastAsia="Arial" w:hAnsi="Arial"/>
                <w:b/>
                <w:bCs/>
                <w:sz w:val="18"/>
                <w:szCs w:val="18"/>
              </w:rPr>
              <w:t xml:space="preserve">TELECOMMUNICATION STANDARDIZATION SECTOR</w:t>
            </w:r>
          </w:p>
          <w:p>
            <w:pPr>
              <w:spacing w:before="80"/>
              <w:jc w:val="center"/>
            </w:pPr>
            <w:r>
              <w:rPr>
                <w:rFonts w:ascii="Arial" w:cs="Arial" w:eastAsia="Arial" w:hAnsi="Arial"/>
                <w:sz w:val="18"/>
                <w:szCs w:val="18"/>
              </w:rPr>
              <w:t xml:space="preserve">STUDY PERIOD 2025–2028</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Focus Group on Embodied AI for Telecommunication Networks (FG-EAI)</w:t>
            </w:r>
          </w:p>
        </w:tc>
      </w:tr>
      <w:tr>
        <w:tc>
          <w:tcPr>
            <w:vMerge w:val="continue"/>
            <w:tcBorders>
              <w:top w:val="single" w:color="CCCCCC" w:sz="1"/>
              <w:left w:val="single" w:color="CCCCCC" w:sz="1"/>
              <w:bottom w:val="single" w:color="CCCCCC" w:sz="1"/>
              <w:right w:val="single" w:color="CCCCCC" w:sz="1"/>
            </w:tcBorders>
          </w:tcP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FG-EAI-I-nnn</w:t>
            </w:r>
          </w:p>
        </w:tc>
      </w:tr>
      <w:tr>
        <w:tc>
          <w:tcPr>
            <w:vMerge w:val="continue"/>
            <w:tcBorders>
              <w:top w:val="single" w:color="CCCCCC" w:sz="1"/>
              <w:left w:val="single" w:color="CCCCCC" w:sz="1"/>
              <w:bottom w:val="single" w:color="CCCCCC" w:sz="1"/>
              <w:right w:val="single" w:color="CCCCCC" w:sz="1"/>
            </w:tcBorders>
          </w:tcP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6–7 May 2026</w:t>
            </w:r>
          </w:p>
        </w:tc>
      </w:tr>
    </w:tbl>
    <w:p>
      <w:pPr>
        <w:spacing w:after="80" w:before="80"/>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 DOCUMENT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Changho Song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Projection-Based Cognitive Interface: From Human-Guided to Autonomous Embodied AI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Changho Song</w:t>
            </w:r>
          </w:p>
          <w:p>
            <w:r>
              <w:rPr>
                <w:rFonts w:ascii="Arial" w:cs="Arial" w:eastAsia="Arial" w:hAnsi="Arial"/>
                <w:sz w:val="20"/>
                <w:szCs w:val="20"/>
              </w:rPr>
              <w:t xml:space="preserve">Tel: +82-10-5614-8965    E-mail: joa337@gmail.com</w:t>
            </w:r>
          </w:p>
        </w:tc>
      </w:tr>
    </w:tbl>
    <w:p>
      <w:pPr>
        <w:spacing w:after="80" w:before="80"/>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Abstract: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contribution proposes Work Item I — a structural framework for Human Projection-Based EAI Control, in which a human operator wearing smart glasses shares real-time perceptual cognition with an Embodied AI (EAI) system through the Perception E2E (CH1–CH8), while issuing control intent through the Control E2E (CH9–CH16) defined in Work Item H. In this architecture, the human operator does not directly command the EAI — rather, the human's perceptual state is projected into the EAI's Cognition Cube, enabling the EAI to act on the operator's cognitive context rather than raw sensor data alone. As mission experience accumulates in the M-Axis (self-evolution layer), the EAI progressively reduces its dependency on human projection, transitioning from human-guided cognition through collaborative co-presence to fully autonomous operation. This contribution argues that Human Projection is not a remote control interface but a structural training mechanism — the path through which EAI systems acquire the experiential basis for autonomous action. This contribution requests FG-EAI to initiate study of Work Item I: Human Projection-Based Cognitive Sharing as a Structural Path to EAI Autonomy.</w:t>
            </w:r>
          </w:p>
        </w:tc>
      </w:tr>
    </w:tbl>
    <w:p>
      <w:pPr>
        <w:spacing w:after="80" w:before="80"/>
        <w:jc w:val="left"/>
      </w:pPr>
      <w:r>
        <w:rPr>
          <w:rFonts w:ascii="Arial" w:cs="Arial" w:eastAsia="Arial" w:hAnsi="Arial"/>
          <w:b w:val="false"/>
          <w:bCs w:val="false"/>
          <w:i w:val="false"/>
          <w:iCs w:val="false"/>
          <w:sz w:val="22"/>
          <w:szCs w:val="22"/>
        </w:rPr>
        <w:t xml:space="preserve"/>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1  Motivation</w:t>
      </w:r>
    </w:p>
    <w:p>
      <w:pPr>
        <w:pStyle w:val="Heading2"/>
        <w:spacing w:after="100" w:before="200"/>
      </w:pPr>
      <w:r>
        <w:rPr>
          <w:rFonts w:ascii="Arial" w:cs="Arial" w:eastAsia="Arial" w:hAnsi="Arial"/>
          <w:b/>
          <w:bCs/>
          <w:sz w:val="24"/>
          <w:szCs w:val="24"/>
        </w:rPr>
        <w:t xml:space="preserve">1.1  The Missing Link Between Human Intelligence and EAI Autonomy</w:t>
      </w:r>
    </w:p>
    <w:p>
      <w:pPr>
        <w:spacing w:after="80" w:before="80"/>
        <w:jc w:val="left"/>
      </w:pPr>
      <w:r>
        <w:rPr>
          <w:rFonts w:ascii="Arial" w:cs="Arial" w:eastAsia="Arial" w:hAnsi="Arial"/>
          <w:b w:val="false"/>
          <w:bCs w:val="false"/>
          <w:i w:val="false"/>
          <w:iCs w:val="false"/>
          <w:sz w:val="22"/>
          <w:szCs w:val="22"/>
        </w:rPr>
        <w:t xml:space="preserve">Current approaches to Embodied AI deployment in safety-critical environments — firefighting, law enforcement, autonomous transport — treat human operators and AI systems as separate entities connected by command interfaces. The operator issues commands; the EAI executes them. This model has two fundamental limitations.</w:t>
      </w:r>
    </w:p>
    <w:p>
      <w:pPr>
        <w:spacing w:after="80" w:before="80"/>
        <w:jc w:val="left"/>
      </w:pPr>
      <w:r>
        <w:rPr>
          <w:rFonts w:ascii="Arial" w:cs="Arial" w:eastAsia="Arial" w:hAnsi="Arial"/>
          <w:b w:val="false"/>
          <w:bCs w:val="false"/>
          <w:i w:val="false"/>
          <w:iCs w:val="false"/>
          <w:sz w:val="22"/>
          <w:szCs w:val="22"/>
        </w:rPr>
        <w:t xml:space="preserve">First, command interfaces are coarse. A firefighter cannot transmit the full richness of situational awareness through a joystick or voice command. The cognitive context — what the operator sees, infers, prioritises, and fears — is lost at the interface boundary. The EAI acts on instructions, not on understanding.</w:t>
      </w:r>
    </w:p>
    <w:p>
      <w:pPr>
        <w:spacing w:after="80" w:before="80"/>
        <w:jc w:val="left"/>
      </w:pPr>
      <w:r>
        <w:rPr>
          <w:rFonts w:ascii="Arial" w:cs="Arial" w:eastAsia="Arial" w:hAnsi="Arial"/>
          <w:b w:val="false"/>
          <w:bCs w:val="false"/>
          <w:i w:val="false"/>
          <w:iCs w:val="false"/>
          <w:sz w:val="22"/>
          <w:szCs w:val="22"/>
        </w:rPr>
        <w:t xml:space="preserve">Second, command-based control does not teach. Each interaction between operator and EAI is transactional: the EAI executes and forgets. The operator's expertise — accumulated over years of experience — is never structurally transferred to the EAI. The system remains permanently dependent on human command, with no path toward autonomous operation.</w:t>
      </w:r>
    </w:p>
    <w:p>
      <w:pPr>
        <w:pStyle w:val="Heading2"/>
        <w:spacing w:after="100" w:before="200"/>
      </w:pPr>
      <w:r>
        <w:rPr>
          <w:rFonts w:ascii="Arial" w:cs="Arial" w:eastAsia="Arial" w:hAnsi="Arial"/>
          <w:b/>
          <w:bCs/>
          <w:sz w:val="24"/>
          <w:szCs w:val="24"/>
        </w:rPr>
        <w:t xml:space="preserve">1.2  Human Projection as a Structural Alternative</w:t>
      </w:r>
    </w:p>
    <w:p>
      <w:pPr>
        <w:spacing w:after="80" w:before="80"/>
        <w:jc w:val="left"/>
      </w:pPr>
      <w:r>
        <w:rPr>
          <w:rFonts w:ascii="Arial" w:cs="Arial" w:eastAsia="Arial" w:hAnsi="Arial"/>
          <w:b w:val="false"/>
          <w:bCs w:val="false"/>
          <w:i w:val="false"/>
          <w:iCs w:val="false"/>
          <w:sz w:val="22"/>
          <w:szCs w:val="22"/>
        </w:rPr>
        <w:t xml:space="preserve">This contribution proposes a fundamentally different model: Human Projection. Rather than issuing commands, the human operator shares perceptual cognition with the EAI in real time through smart glasses connected to the EAI's Perception E2E (E2E #1, CH1–CH8). The operator's visual attention, spatial judgement, and situational interpretation are projected into the EAI's Cognition Cube — not as commands, but as cognitive context.</w:t>
      </w:r>
    </w:p>
    <w:p>
      <w:pPr>
        <w:spacing w:after="80" w:before="80"/>
        <w:jc w:val="left"/>
      </w:pPr>
      <w:r>
        <w:rPr>
          <w:rFonts w:ascii="Arial" w:cs="Arial" w:eastAsia="Arial" w:hAnsi="Arial"/>
          <w:b w:val="false"/>
          <w:bCs w:val="false"/>
          <w:i w:val="false"/>
          <w:iCs w:val="false"/>
          <w:sz w:val="22"/>
          <w:szCs w:val="22"/>
        </w:rPr>
        <w:t xml:space="preserve">The EAI acts on this projected cognition, enriching its own perceptual processing with the operator's human intelligence. Simultaneously, the projected experience is recorded in the M-Axis (self-evolution layer), building a structured record of how a human expert perceives and responds to the situations the EAI encounters.</w:t>
      </w:r>
    </w:p>
    <w:p>
      <w:pPr>
        <w:spacing w:after="80" w:before="80"/>
        <w:jc w:val="left"/>
      </w:pPr>
      <w:r>
        <w:rPr>
          <w:rFonts w:ascii="Arial" w:cs="Arial" w:eastAsia="Arial" w:hAnsi="Arial"/>
          <w:b w:val="false"/>
          <w:bCs w:val="false"/>
          <w:i w:val="false"/>
          <w:iCs w:val="false"/>
          <w:sz w:val="22"/>
          <w:szCs w:val="22"/>
        </w:rPr>
        <w:t xml:space="preserve">Over time, the M-Axis accumulates sufficient experiential density that the EAI can reproduce the operator's cognitive responses autonomously — without requiring continued projection. Human Projection is therefore not a control interface. It is a structural training mechanism: the path through which EAI systems acquire the experiential basis for autonomous action.</w:t>
      </w:r>
    </w:p>
    <w:p>
      <w:pPr>
        <w:pStyle w:val="Heading2"/>
        <w:spacing w:after="100" w:before="200"/>
      </w:pPr>
      <w:r>
        <w:rPr>
          <w:rFonts w:ascii="Arial" w:cs="Arial" w:eastAsia="Arial" w:hAnsi="Arial"/>
          <w:b/>
          <w:bCs/>
          <w:sz w:val="24"/>
          <w:szCs w:val="24"/>
        </w:rPr>
        <w:t xml:space="preserve">1.3  Relationship to Work Items F, G, and H</w:t>
      </w:r>
    </w:p>
    <w:p>
      <w:pPr>
        <w:spacing w:after="80" w:before="80"/>
        <w:jc w:val="left"/>
      </w:pPr>
      <w:r>
        <w:rPr>
          <w:rFonts w:ascii="Arial" w:cs="Arial" w:eastAsia="Arial" w:hAnsi="Arial"/>
          <w:b w:val="false"/>
          <w:bCs w:val="false"/>
          <w:i w:val="false"/>
          <w:iCs w:val="false"/>
          <w:sz w:val="22"/>
          <w:szCs w:val="22"/>
        </w:rPr>
        <w:t xml:space="preserve">Work Item I builds directly on the structural foundations established by companion contributions:</w:t>
      </w:r>
    </w:p>
    <w:p>
      <w:pPr>
        <w:pStyle w:val="ListParagraph"/>
        <w:numPr>
          <w:ilvl w:val="0"/>
          <w:numId w:val="2"/>
        </w:numPr>
        <w:spacing w:after="60" w:before="60"/>
      </w:pPr>
      <w:r>
        <w:rPr>
          <w:rFonts w:ascii="Arial" w:cs="Arial" w:eastAsia="Arial" w:hAnsi="Arial"/>
          <w:sz w:val="22"/>
          <w:szCs w:val="22"/>
        </w:rPr>
        <w:t xml:space="preserve">Work Item F defines the eight-channel SEU perception pipeline (CH1–CH8) through which projected cognition is received and decomposed.</w:t>
      </w:r>
    </w:p>
    <w:p>
      <w:pPr>
        <w:pStyle w:val="ListParagraph"/>
        <w:numPr>
          <w:ilvl w:val="0"/>
          <w:numId w:val="2"/>
        </w:numPr>
        <w:spacing w:after="60" w:before="60"/>
      </w:pPr>
      <w:r>
        <w:rPr>
          <w:rFonts w:ascii="Arial" w:cs="Arial" w:eastAsia="Arial" w:hAnsi="Arial"/>
          <w:sz w:val="22"/>
          <w:szCs w:val="22"/>
        </w:rPr>
        <w:t xml:space="preserve">Work Item G defines the Cognition Cube (T/C/I/E axes) into which projected cognitive context is structurally fused with EAI sensor data.</w:t>
      </w:r>
    </w:p>
    <w:p>
      <w:pPr>
        <w:pStyle w:val="ListParagraph"/>
        <w:numPr>
          <w:ilvl w:val="0"/>
          <w:numId w:val="2"/>
        </w:numPr>
        <w:spacing w:after="60" w:before="60"/>
      </w:pPr>
      <w:r>
        <w:rPr>
          <w:rFonts w:ascii="Arial" w:cs="Arial" w:eastAsia="Arial" w:hAnsi="Arial"/>
          <w:sz w:val="22"/>
          <w:szCs w:val="22"/>
        </w:rPr>
        <w:t xml:space="preserve">Work Item H defines the Dual E2E architecture separating perception (E2E #1) from control (E2E #2), enabling the human projection channel to operate independently of the EAI's control execution.</w:t>
      </w:r>
    </w:p>
    <w:p>
      <w:pPr>
        <w:spacing w:after="80" w:before="80"/>
        <w:jc w:val="left"/>
      </w:pPr>
      <w:r>
        <w:rPr>
          <w:rFonts w:ascii="Arial" w:cs="Arial" w:eastAsia="Arial" w:hAnsi="Arial"/>
          <w:b w:val="false"/>
          <w:bCs w:val="false"/>
          <w:i w:val="false"/>
          <w:iCs w:val="false"/>
          <w:sz w:val="22"/>
          <w:szCs w:val="22"/>
        </w:rPr>
        <w:t xml:space="preserve">Work Item I defines the human layer: how a PAI-connected operator projects cognitive state into the EAI architecture, and how that projection structurally accumulates into autonomous capability.</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2  Architecture: Human Projection through Smart Glasses</w:t>
      </w:r>
    </w:p>
    <w:p>
      <w:pPr>
        <w:pStyle w:val="Heading2"/>
        <w:spacing w:after="100" w:before="200"/>
      </w:pPr>
      <w:r>
        <w:rPr>
          <w:rFonts w:ascii="Arial" w:cs="Arial" w:eastAsia="Arial" w:hAnsi="Arial"/>
          <w:b/>
          <w:bCs/>
          <w:sz w:val="24"/>
          <w:szCs w:val="24"/>
        </w:rPr>
        <w:t xml:space="preserve">2.1  Smart Glasses as PAI-EAI Bridge</w:t>
      </w:r>
    </w:p>
    <w:p>
      <w:pPr>
        <w:spacing w:after="80" w:before="80"/>
        <w:jc w:val="left"/>
      </w:pPr>
      <w:r>
        <w:rPr>
          <w:rFonts w:ascii="Arial" w:cs="Arial" w:eastAsia="Arial" w:hAnsi="Arial"/>
          <w:b w:val="false"/>
          <w:bCs w:val="false"/>
          <w:i w:val="false"/>
          <w:iCs w:val="false"/>
          <w:sz w:val="22"/>
          <w:szCs w:val="22"/>
        </w:rPr>
        <w:t xml:space="preserve">Smart glasses worn by a human operator function as a bidirectional bridge between the operator's Personal AI (PAI) and the EAI's Perception E2E. The bridge operates on two channels simultaneously:</w:t>
      </w:r>
    </w:p>
    <w:p>
      <w:pPr>
        <w:pStyle w:val="ListParagraph"/>
        <w:numPr>
          <w:ilvl w:val="0"/>
          <w:numId w:val="2"/>
        </w:numPr>
        <w:spacing w:after="60" w:before="60"/>
      </w:pPr>
      <w:r>
        <w:rPr>
          <w:rFonts w:ascii="Arial" w:cs="Arial" w:eastAsia="Arial" w:hAnsi="Arial"/>
          <w:sz w:val="22"/>
          <w:szCs w:val="22"/>
        </w:rPr>
        <w:t xml:space="preserve">Inbound (EAI → Operator): Selected channels from E2E #1 are streamed to the operator's smart glasses display. The operator sees what the EAI sees — thermal imaging, spatial maps, object recognition overlays, environmental data — in real time. The operator does not need to be physically present at the EAI's location.</w:t>
      </w:r>
    </w:p>
    <w:p>
      <w:pPr>
        <w:pStyle w:val="ListParagraph"/>
        <w:numPr>
          <w:ilvl w:val="0"/>
          <w:numId w:val="2"/>
        </w:numPr>
        <w:spacing w:after="60" w:before="60"/>
      </w:pPr>
      <w:r>
        <w:rPr>
          <w:rFonts w:ascii="Arial" w:cs="Arial" w:eastAsia="Arial" w:hAnsi="Arial"/>
          <w:sz w:val="22"/>
          <w:szCs w:val="22"/>
        </w:rPr>
        <w:t xml:space="preserve">Outbound (Operator → EAI): The operator's visual attention, spatial focus, and cognitive intent are captured by the smart glasses and projected into the EAI's Cognition Cube as a structured input, enriching the I-Axis (intent) and C-Axis (context) with human cognitive context.</w:t>
      </w:r>
    </w:p>
    <w:p>
      <w:pPr>
        <w:spacing w:after="80" w:before="80"/>
        <w:jc w:val="left"/>
      </w:pPr>
      <w:r>
        <w:rPr>
          <w:rFonts w:ascii="Arial" w:cs="Arial" w:eastAsia="Arial" w:hAnsi="Arial"/>
          <w:b w:val="false"/>
          <w:bCs w:val="false"/>
          <w:i w:val="false"/>
          <w:iCs w:val="false"/>
          <w:sz w:val="22"/>
          <w:szCs w:val="22"/>
        </w:rPr>
        <w:t xml:space="preserve">The control plane (E2E #2) remains structurally separate. The operator's projected intent does not bypass the EAI's CH11 Safety Override or CH12 authority verification — human projection enriches cognition but does not circumvent structural safety guarantees.</w:t>
      </w:r>
    </w:p>
    <w:p>
      <w:pPr>
        <w:pStyle w:val="Heading2"/>
        <w:spacing w:after="100" w:before="200"/>
      </w:pPr>
      <w:r>
        <w:rPr>
          <w:rFonts w:ascii="Arial" w:cs="Arial" w:eastAsia="Arial" w:hAnsi="Arial"/>
          <w:b/>
          <w:bCs/>
          <w:sz w:val="24"/>
          <w:szCs w:val="24"/>
        </w:rPr>
        <w:t xml:space="preserve">2.2  The Four Phases of Projection-to-Autonomy Transition</w:t>
      </w:r>
    </w:p>
    <w:p>
      <w:pPr>
        <w:spacing w:after="80" w:before="80"/>
        <w:jc w:val="left"/>
      </w:pPr>
      <w:r>
        <w:rPr>
          <w:rFonts w:ascii="Arial" w:cs="Arial" w:eastAsia="Arial" w:hAnsi="Arial"/>
          <w:b w:val="false"/>
          <w:bCs w:val="false"/>
          <w:i w:val="false"/>
          <w:iCs w:val="false"/>
          <w:sz w:val="22"/>
          <w:szCs w:val="22"/>
        </w:rPr>
        <w:t xml:space="preserve">The transition from human-projected control to full EAI autonomy is not a discrete switch — it is a continuous structural progression driven by M-Axis accumulation. The following table defines the four phases:</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center"/>
      </w:pPr>
      <w:r>
        <w:rPr>
          <w:rFonts w:ascii="Arial" w:cs="Arial" w:eastAsia="Arial" w:hAnsi="Arial"/>
          <w:b/>
          <w:bCs/>
          <w:i w:val="false"/>
          <w:iCs w:val="false"/>
          <w:sz w:val="22"/>
          <w:szCs w:val="22"/>
        </w:rPr>
        <w:t xml:space="preserve">Table 1: Human Projection to Autonomy — Phase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40"/>
        <w:gridCol w:w="2040"/>
        <w:gridCol w:w="204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M-Axis State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Human Role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EAI Role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Smart Glasses Function</w:t>
            </w:r>
          </w:p>
        </w:tc>
      </w:tr>
      <w:tr>
        <w:tc>
          <w:tcPr>
            <w:tcW w:type="dxa" w:w="14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sz w:val="20"/>
                <w:szCs w:val="20"/>
              </w:rPr>
              <w:t xml:space="preserve">Phase 1
Initial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Sparse — few patterns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Projects full cognition
to EAI continuously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Acts on human
projection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perceptual
sharing — operator sees
what EAI sees</w:t>
            </w:r>
          </w:p>
        </w:tc>
      </w:tr>
      <w:tr>
        <w:tc>
          <w:tcPr>
            <w:tcW w:type="dxa" w:w="144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sz w:val="20"/>
                <w:szCs w:val="20"/>
              </w:rPr>
              <w:t xml:space="preserve">Phase 2
Intermediate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 domain
patterns emerging</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Intervenes on
exceptions only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Handles routine
autonomously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On-demand sharing —
operator requests
specific channels</w:t>
            </w:r>
          </w:p>
        </w:tc>
      </w:tr>
      <w:tr>
        <w:tc>
          <w:tcPr>
            <w:tcW w:type="dxa" w:w="144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b/>
                <w:bCs/>
                <w:sz w:val="20"/>
                <w:szCs w:val="20"/>
              </w:rPr>
              <w:t xml:space="preserve">Phase 3
Mature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Rich — high-confidence
predictive patterns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Monitors — projects
only for novel
situations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Pre-cognitive action
on accumulated
experience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Supervisory mode —
alerts operator only
on anomaly</w:t>
            </w:r>
          </w:p>
        </w:tc>
      </w:tr>
      <w:tr>
        <w:tc>
          <w:tcPr>
            <w:tcW w:type="dxa" w:w="144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sz w:val="20"/>
                <w:szCs w:val="20"/>
              </w:rPr>
              <w:t xml:space="preserve">Phase 4
Autonomous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 full
domain coverage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Standby — projection
available if needed</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Fully autonomous
operation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access —
reviews recorded
experience only</w:t>
            </w:r>
          </w:p>
        </w:tc>
      </w:tr>
    </w:tbl>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val="false"/>
          <w:bCs w:val="false"/>
          <w:i w:val="false"/>
          <w:iCs w:val="false"/>
          <w:sz w:val="22"/>
          <w:szCs w:val="22"/>
        </w:rPr>
        <w:t xml:space="preserve">The critical structural property is that each phase transition is driven by M-Axis density, not by external configuration. The system self-evaluates the confidence level of its accumulated experience and adjusts the degree of human projection dependency accordingly. Autonomy emerges — it is not assigned.</w:t>
      </w:r>
    </w:p>
    <w:p>
      <w:pPr>
        <w:pStyle w:val="Heading2"/>
        <w:spacing w:after="100" w:before="200"/>
      </w:pPr>
      <w:r>
        <w:rPr>
          <w:rFonts w:ascii="Arial" w:cs="Arial" w:eastAsia="Arial" w:hAnsi="Arial"/>
          <w:b/>
          <w:bCs/>
          <w:sz w:val="24"/>
          <w:szCs w:val="24"/>
        </w:rPr>
        <w:t xml:space="preserve">2.3  Cognition Cube Enrichment through Projection</w:t>
      </w:r>
    </w:p>
    <w:p>
      <w:pPr>
        <w:spacing w:after="80" w:before="80"/>
        <w:jc w:val="left"/>
      </w:pPr>
      <w:r>
        <w:rPr>
          <w:rFonts w:ascii="Arial" w:cs="Arial" w:eastAsia="Arial" w:hAnsi="Arial"/>
          <w:b w:val="false"/>
          <w:bCs w:val="false"/>
          <w:i w:val="false"/>
          <w:iCs w:val="false"/>
          <w:sz w:val="22"/>
          <w:szCs w:val="22"/>
        </w:rPr>
        <w:t xml:space="preserve">When a human operator projects cognitive state into the EAI, each axis of the Cognition Cube is enriched in a specific way:</w:t>
      </w:r>
    </w:p>
    <w:p>
      <w:pPr>
        <w:pStyle w:val="ListParagraph"/>
        <w:numPr>
          <w:ilvl w:val="0"/>
          <w:numId w:val="2"/>
        </w:numPr>
        <w:spacing w:after="60" w:before="60"/>
      </w:pPr>
      <w:r>
        <w:rPr>
          <w:rFonts w:ascii="Arial" w:cs="Arial" w:eastAsia="Arial" w:hAnsi="Arial"/>
          <w:sz w:val="22"/>
          <w:szCs w:val="22"/>
        </w:rPr>
        <w:t xml:space="preserve">T-Axis (Temporal Anchor): The operator's attention timestamps become causal anchors, marking which moments in the perceptual stream the human expert considered significant. This temporal marking guides M-Axis pattern formation.</w:t>
      </w:r>
    </w:p>
    <w:p>
      <w:pPr>
        <w:pStyle w:val="ListParagraph"/>
        <w:numPr>
          <w:ilvl w:val="0"/>
          <w:numId w:val="2"/>
        </w:numPr>
        <w:spacing w:after="60" w:before="60"/>
      </w:pPr>
      <w:r>
        <w:rPr>
          <w:rFonts w:ascii="Arial" w:cs="Arial" w:eastAsia="Arial" w:hAnsi="Arial"/>
          <w:sz w:val="22"/>
          <w:szCs w:val="22"/>
        </w:rPr>
        <w:t xml:space="preserve">C-Axis (Context): The operator's spatial judgement and situational framing enrich the EAI's contextual understanding beyond what sensor data alone can produce. Human context fills perceptual gaps.</w:t>
      </w:r>
    </w:p>
    <w:p>
      <w:pPr>
        <w:pStyle w:val="ListParagraph"/>
        <w:numPr>
          <w:ilvl w:val="0"/>
          <w:numId w:val="2"/>
        </w:numPr>
        <w:spacing w:after="60" w:before="60"/>
      </w:pPr>
      <w:r>
        <w:rPr>
          <w:rFonts w:ascii="Arial" w:cs="Arial" w:eastAsia="Arial" w:hAnsi="Arial"/>
          <w:sz w:val="22"/>
          <w:szCs w:val="22"/>
        </w:rPr>
        <w:t xml:space="preserve">I-Axis (Intent): The operator's projected intent — where to move, what to prioritise, what to avoid — is structurally encoded as mission intent, providing the EAI with goal-directed cognitive context rather than point commands.</w:t>
      </w:r>
    </w:p>
    <w:p>
      <w:pPr>
        <w:pStyle w:val="ListParagraph"/>
        <w:numPr>
          <w:ilvl w:val="0"/>
          <w:numId w:val="2"/>
        </w:numPr>
        <w:spacing w:after="60" w:before="60"/>
      </w:pPr>
      <w:r>
        <w:rPr>
          <w:rFonts w:ascii="Arial" w:cs="Arial" w:eastAsia="Arial" w:hAnsi="Arial"/>
          <w:sz w:val="22"/>
          <w:szCs w:val="22"/>
        </w:rPr>
        <w:t xml:space="preserve">E-Axis (Urgency): The operator's affective response to the situation — urgency, caution, confidence — is captured through biometric channels in the smart glasses and projected as an urgency weighting into the EAI's E-Axis, enabling emotionally-informed prioritisation.</w:t>
      </w:r>
    </w:p>
    <w:p>
      <w:pPr>
        <w:pStyle w:val="ListParagraph"/>
        <w:numPr>
          <w:ilvl w:val="0"/>
          <w:numId w:val="2"/>
        </w:numPr>
        <w:spacing w:after="60" w:before="60"/>
      </w:pPr>
      <w:r>
        <w:rPr>
          <w:rFonts w:ascii="Arial" w:cs="Arial" w:eastAsia="Arial" w:hAnsi="Arial"/>
          <w:sz w:val="22"/>
          <w:szCs w:val="22"/>
        </w:rPr>
        <w:t xml:space="preserve">M-Axis (Self-Evolution): All projected cognition is recorded in the M-Axis as structured experience. Over successive missions, the M-Axis builds a rich map of how human experts respond to the situations the EAI encounters — the foundation for pre-cognitive autonomous action.</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3  Application Scenarios</w:t>
      </w:r>
    </w:p>
    <w:p>
      <w:pPr>
        <w:spacing w:after="80" w:before="80"/>
        <w:jc w:val="left"/>
      </w:pPr>
      <w:r>
        <w:rPr>
          <w:rFonts w:ascii="Arial" w:cs="Arial" w:eastAsia="Arial" w:hAnsi="Arial"/>
          <w:b w:val="false"/>
          <w:bCs w:val="false"/>
          <w:i w:val="false"/>
          <w:iCs w:val="false"/>
          <w:sz w:val="22"/>
          <w:szCs w:val="22"/>
        </w:rPr>
        <w:t xml:space="preserve">The following table illustrates how Human Projection operates across three safety-critical EAI deployment scenarios. In each case, the smart glasses function as the cognitive bridge, and the M-Axis accumulates the human expertise required for eventual autonomous operation.</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center"/>
      </w:pPr>
      <w:r>
        <w:rPr>
          <w:rFonts w:ascii="Arial" w:cs="Arial" w:eastAsia="Arial" w:hAnsi="Arial"/>
          <w:b/>
          <w:bCs/>
          <w:i w:val="false"/>
          <w:iCs w:val="false"/>
          <w:sz w:val="22"/>
          <w:szCs w:val="22"/>
        </w:rPr>
        <w:t xml:space="preserve">Table 2: Human Projection Scenarios by EAI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Human Projection Content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EAI Response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M-Axis Learning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Firefighter +
Fire Robot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Thermal vision shared
from robot CH4 →
firefighter sees
survivors through smoke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Firefighter projects
intent: 'move to sector B'
→ EAI E2E #2 executes
route immediately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Survivor location
patterns · optimal
approach routes ·
hazard thresholds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Police Officer +
Police Robot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Robot CH1 facial
recognition + CH6
behaviour pattern
shared to officer glasses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Officer projects legal
judgement: 'intercept' →
EAI executes within
CH12 authority bounds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Threat assessment
patterns · pursuit
tactics · legal
intervention thresholds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Remote Operator +
Autonomous Vehicle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Vehicle CH3 spatial
map + CH8 environment
state shared to operator
in remote centre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projects
route correction intent
→ EAI blends with
M-Axis prediction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Edge-case road
conditions · rare
hazard responses ·
local traffic patterns</w:t>
            </w:r>
          </w:p>
        </w:tc>
      </w:tr>
    </w:tbl>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val="false"/>
          <w:bCs w:val="false"/>
          <w:i w:val="false"/>
          <w:iCs w:val="false"/>
          <w:sz w:val="22"/>
          <w:szCs w:val="22"/>
        </w:rPr>
        <w:t xml:space="preserve">Across all three scenarios, the structural outcome is the same: the human operator's expertise is not consumed in the interaction — it is preserved in the M-Axis and becomes the EAI's own accumulated experience. Each mission makes the EAI more capable of acting without projection.</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4  Proposed Work Item I</w:t>
      </w:r>
    </w:p>
    <w:p>
      <w:pPr>
        <w:spacing w:after="80" w:before="80"/>
        <w:jc w:val="left"/>
      </w:pPr>
      <w:r>
        <w:rPr>
          <w:rFonts w:ascii="Arial" w:cs="Arial" w:eastAsia="Arial" w:hAnsi="Arial"/>
          <w:b w:val="false"/>
          <w:bCs w:val="false"/>
          <w:i w:val="false"/>
          <w:iCs w:val="false"/>
          <w:sz w:val="22"/>
          <w:szCs w:val="22"/>
        </w:rPr>
        <w:t xml:space="preserve">This contribution requests FG-EAI to initiate study of the following work item:</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bCs/>
          <w:i w:val="false"/>
          <w:iCs w:val="false"/>
          <w:sz w:val="22"/>
          <w:szCs w:val="22"/>
        </w:rPr>
        <w:t xml:space="preserve">Work Item I — Projection-Based Cognitive Interface: From Human-Guided to Autonomous Embodied AI</w:t>
      </w:r>
    </w:p>
    <w:p>
      <w:pPr>
        <w:pStyle w:val="ListParagraph"/>
        <w:numPr>
          <w:ilvl w:val="0"/>
          <w:numId w:val="2"/>
        </w:numPr>
        <w:spacing w:after="60" w:before="60"/>
      </w:pPr>
      <w:r>
        <w:rPr>
          <w:rFonts w:ascii="Arial" w:cs="Arial" w:eastAsia="Arial" w:hAnsi="Arial"/>
          <w:sz w:val="22"/>
          <w:szCs w:val="22"/>
        </w:rPr>
        <w:t xml:space="preserve">Study of smart glasses as a PAI-EAI cognitive bridge, enabling real-time bidirectional perceptual sharing between human operators and Embodied AI systems.</w:t>
      </w:r>
    </w:p>
    <w:p>
      <w:pPr>
        <w:pStyle w:val="ListParagraph"/>
        <w:numPr>
          <w:ilvl w:val="0"/>
          <w:numId w:val="2"/>
        </w:numPr>
        <w:spacing w:after="60" w:before="60"/>
      </w:pPr>
      <w:r>
        <w:rPr>
          <w:rFonts w:ascii="Arial" w:cs="Arial" w:eastAsia="Arial" w:hAnsi="Arial"/>
          <w:sz w:val="22"/>
          <w:szCs w:val="22"/>
        </w:rPr>
        <w:t xml:space="preserve">Definition of Human Projection as a structural input to the Cognition Cube (T/C/I/E/M axes), enriching EAI cognition with human expert context beyond sensor-derived perception.</w:t>
      </w:r>
    </w:p>
    <w:p>
      <w:pPr>
        <w:pStyle w:val="ListParagraph"/>
        <w:numPr>
          <w:ilvl w:val="0"/>
          <w:numId w:val="2"/>
        </w:numPr>
        <w:spacing w:after="60" w:before="60"/>
      </w:pPr>
      <w:r>
        <w:rPr>
          <w:rFonts w:ascii="Arial" w:cs="Arial" w:eastAsia="Arial" w:hAnsi="Arial"/>
          <w:sz w:val="22"/>
          <w:szCs w:val="22"/>
        </w:rPr>
        <w:t xml:space="preserve">Evaluation of the four-phase Projection-to-Autonomy progression model, in which M-Axis accumulation drives progressive reduction of human projection dependency.</w:t>
      </w:r>
    </w:p>
    <w:p>
      <w:pPr>
        <w:pStyle w:val="ListParagraph"/>
        <w:numPr>
          <w:ilvl w:val="0"/>
          <w:numId w:val="2"/>
        </w:numPr>
        <w:spacing w:after="60" w:before="60"/>
      </w:pPr>
      <w:r>
        <w:rPr>
          <w:rFonts w:ascii="Arial" w:cs="Arial" w:eastAsia="Arial" w:hAnsi="Arial"/>
          <w:sz w:val="22"/>
          <w:szCs w:val="22"/>
        </w:rPr>
        <w:t xml:space="preserve">Assessment of Human Projection as a structural training mechanism — the path through which EAI systems acquire the experiential basis for pre-cognitive autonomous action as defined in Work Item H.</w:t>
      </w:r>
    </w:p>
    <w:p>
      <w:pPr>
        <w:pStyle w:val="ListParagraph"/>
        <w:numPr>
          <w:ilvl w:val="0"/>
          <w:numId w:val="2"/>
        </w:numPr>
        <w:spacing w:after="60" w:before="60"/>
      </w:pPr>
      <w:r>
        <w:rPr>
          <w:rFonts w:ascii="Arial" w:cs="Arial" w:eastAsia="Arial" w:hAnsi="Arial"/>
          <w:sz w:val="22"/>
          <w:szCs w:val="22"/>
        </w:rPr>
        <w:t xml:space="preserve">Comparison with command-based human-robot interfaces across dimensions of cognitive richness, experiential transfer, and structural path to autonomy.</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val="false"/>
          <w:bCs w:val="false"/>
          <w:i w:val="false"/>
          <w:iCs w:val="false"/>
          <w:sz w:val="22"/>
          <w:szCs w:val="22"/>
        </w:rPr>
        <w:t xml:space="preserve">Work Item I completes the four-part structural framework proposed across this series of contributions: F defines perception decomposition, G defines cognitive synthesis, H defines control independence, and I defines the human cognitive interface through which EAI systems acquire the experiential foundation for autonomous operation. Together, Work Items F through I define a complete structural architecture for the full lifecycle of Embodied AI — from first deployment under human guidance to mature autonomous action.</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5  Conclusion</w:t>
      </w:r>
    </w:p>
    <w:p>
      <w:pPr>
        <w:spacing w:after="80" w:before="80"/>
        <w:jc w:val="left"/>
      </w:pPr>
      <w:r>
        <w:rPr>
          <w:rFonts w:ascii="Arial" w:cs="Arial" w:eastAsia="Arial" w:hAnsi="Arial"/>
          <w:b w:val="false"/>
          <w:bCs w:val="false"/>
          <w:i w:val="false"/>
          <w:iCs w:val="false"/>
          <w:sz w:val="22"/>
          <w:szCs w:val="22"/>
        </w:rPr>
        <w:t xml:space="preserve">This contribution argues that the path to EAI autonomy is not algorithmic training on datasets — it is structured experiential accumulation through human cognitive projection. When a human operator shares perceptual cognition with an EAI system through smart glasses, two things happen simultaneously: the EAI acts more effectively in the present mission, and it becomes more capable of acting autonomously in future missions.</w:t>
      </w:r>
    </w:p>
    <w:p>
      <w:pPr>
        <w:spacing w:after="80" w:before="80"/>
        <w:jc w:val="left"/>
      </w:pPr>
      <w:r>
        <w:rPr>
          <w:rFonts w:ascii="Arial" w:cs="Arial" w:eastAsia="Arial" w:hAnsi="Arial"/>
          <w:b w:val="false"/>
          <w:bCs w:val="false"/>
          <w:i w:val="false"/>
          <w:iCs w:val="false"/>
          <w:sz w:val="22"/>
          <w:szCs w:val="22"/>
        </w:rPr>
        <w:t xml:space="preserve">Human Projection is therefore not a remote control technology. It is the structural mechanism by which human expertise is transferred into the EAI's M-Axis — progressively, mission by mission, until the EAI possesses sufficient experiential density to act without projection.</w:t>
      </w:r>
    </w:p>
    <w:p>
      <w:pPr>
        <w:spacing w:after="80" w:before="80"/>
        <w:jc w:val="left"/>
      </w:pPr>
      <w:r>
        <w:rPr>
          <w:rFonts w:ascii="Arial" w:cs="Arial" w:eastAsia="Arial" w:hAnsi="Arial"/>
          <w:b w:val="false"/>
          <w:bCs w:val="false"/>
          <w:i w:val="false"/>
          <w:iCs w:val="false"/>
          <w:sz w:val="22"/>
          <w:szCs w:val="22"/>
        </w:rPr>
        <w:t xml:space="preserve">The smart glasses are the interface. The Cognition Cube is the receiver. The M-Axis is the accumulator. And autonomy is the outcome — not a feature to be switched on, but a structural property that emerges as experience deepens.</w:t>
      </w:r>
    </w:p>
    <w:p>
      <w:pPr>
        <w:spacing w:after="80" w:before="80"/>
        <w:jc w:val="left"/>
      </w:pPr>
      <w:r>
        <w:rPr>
          <w:rFonts w:ascii="Arial" w:cs="Arial" w:eastAsia="Arial" w:hAnsi="Arial"/>
          <w:b w:val="false"/>
          <w:bCs w:val="false"/>
          <w:i w:val="false"/>
          <w:iCs w:val="false"/>
          <w:sz w:val="22"/>
          <w:szCs w:val="22"/>
        </w:rPr>
        <w:t xml:space="preserve">We respectfully request FG-EAI to consider Work Item I for inclusion in the standardisation programme.</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6  References</w:t>
      </w:r>
    </w:p>
    <w:p>
      <w:pPr>
        <w:spacing w:after="80" w:before="80"/>
        <w:jc w:val="left"/>
      </w:pPr>
      <w:r>
        <w:rPr>
          <w:rFonts w:ascii="Arial" w:cs="Arial" w:eastAsia="Arial" w:hAnsi="Arial"/>
          <w:b w:val="false"/>
          <w:bCs w:val="false"/>
          <w:i w:val="false"/>
          <w:iCs w:val="false"/>
          <w:sz w:val="22"/>
          <w:szCs w:val="22"/>
        </w:rPr>
        <w:t xml:space="preserve">[1] Velsanet Cognition Cube System White Paper #19 v1.0 — Structural Cognition Layer for 6G AI-Native Networks</w:t>
      </w:r>
    </w:p>
    <w:p>
      <w:pPr>
        <w:spacing w:after="80" w:before="80"/>
        <w:jc w:val="left"/>
      </w:pPr>
      <w:r>
        <w:rPr>
          <w:rFonts w:ascii="Arial" w:cs="Arial" w:eastAsia="Arial" w:hAnsi="Arial"/>
          <w:b w:val="false"/>
          <w:bCs w:val="false"/>
          <w:i w:val="false"/>
          <w:iCs w:val="false"/>
          <w:sz w:val="22"/>
          <w:szCs w:val="22"/>
        </w:rPr>
        <w:t xml:space="preserve">[2] Velsanet Multimodal Cube Architecture White Paper #06 v1.0 — Two-Tier Memory Architecture and M-Axis</w:t>
      </w:r>
    </w:p>
    <w:p>
      <w:pPr>
        <w:spacing w:after="80" w:before="80"/>
        <w:jc w:val="left"/>
      </w:pPr>
      <w:r>
        <w:rPr>
          <w:rFonts w:ascii="Arial" w:cs="Arial" w:eastAsia="Arial" w:hAnsi="Arial"/>
          <w:b w:val="false"/>
          <w:bCs w:val="false"/>
          <w:i w:val="false"/>
          <w:iCs w:val="false"/>
          <w:sz w:val="22"/>
          <w:szCs w:val="22"/>
        </w:rPr>
        <w:t xml:space="preserve">[3] Velsanet Three-Layer AI System White Paper #09 v1.0 — PAI/AAI/AsAI Architecture</w:t>
      </w:r>
    </w:p>
    <w:p>
      <w:pPr>
        <w:spacing w:after="80" w:before="80"/>
        <w:jc w:val="left"/>
      </w:pPr>
      <w:r>
        <w:rPr>
          <w:rFonts w:ascii="Arial" w:cs="Arial" w:eastAsia="Arial" w:hAnsi="Arial"/>
          <w:b w:val="false"/>
          <w:bCs w:val="false"/>
          <w:i w:val="false"/>
          <w:iCs w:val="false"/>
          <w:sz w:val="22"/>
          <w:szCs w:val="22"/>
        </w:rPr>
        <w:t xml:space="preserve">[4] Velsanet AI White Paper #08 v1.3 — DIKWEI Cognitive Cycle and Self-Evolution</w:t>
      </w:r>
    </w:p>
    <w:p>
      <w:pPr>
        <w:spacing w:after="80" w:before="80"/>
        <w:jc w:val="left"/>
      </w:pPr>
      <w:r>
        <w:rPr>
          <w:rFonts w:ascii="Arial" w:cs="Arial" w:eastAsia="Arial" w:hAnsi="Arial"/>
          <w:b w:val="false"/>
          <w:bCs w:val="false"/>
          <w:i w:val="false"/>
          <w:iCs w:val="false"/>
          <w:sz w:val="22"/>
          <w:szCs w:val="22"/>
        </w:rPr>
        <w:t xml:space="preserve">[5] Velsanet AI Safety by Architecture White Paper #21 v1.0 — Structural Safety Guarantees</w:t>
      </w:r>
    </w:p>
    <w:p>
      <w:pPr>
        <w:spacing w:after="80" w:before="80"/>
        <w:jc w:val="left"/>
      </w:pPr>
      <w:r>
        <w:rPr>
          <w:rFonts w:ascii="Arial" w:cs="Arial" w:eastAsia="Arial" w:hAnsi="Arial"/>
          <w:b w:val="false"/>
          <w:bCs w:val="false"/>
          <w:i w:val="false"/>
          <w:iCs w:val="false"/>
          <w:sz w:val="22"/>
          <w:szCs w:val="22"/>
        </w:rPr>
        <w:t xml:space="preserve">[6] FG-EAI-I-nnn: Changho Song — Multimodal Structural Cognition for Embodied AI: The Velsanet Cognition Cube System (Work Items F and G)</w:t>
      </w:r>
    </w:p>
    <w:p>
      <w:pPr>
        <w:spacing w:after="80" w:before="80"/>
        <w:jc w:val="left"/>
      </w:pPr>
      <w:r>
        <w:rPr>
          <w:rFonts w:ascii="Arial" w:cs="Arial" w:eastAsia="Arial" w:hAnsi="Arial"/>
          <w:b w:val="false"/>
          <w:bCs w:val="false"/>
          <w:i w:val="false"/>
          <w:iCs w:val="false"/>
          <w:sz w:val="22"/>
          <w:szCs w:val="22"/>
        </w:rPr>
        <w:t xml:space="preserve">[7] FG-EAI-I-nnn: Changho Song — Experience-Driven Predictive Control in Embodied AI: Dual E2E Channel Separation as the Structural Basis for Pre-Cognitive Action (Work Item H)</w:t>
      </w:r>
    </w:p>
    <w:p>
      <w:pPr>
        <w:spacing w:after="80" w:before="80"/>
        <w:jc w:val="left"/>
      </w:pPr>
      <w:r>
        <w:rPr>
          <w:rFonts w:ascii="Arial" w:cs="Arial" w:eastAsia="Arial" w:hAnsi="Arial"/>
          <w:b w:val="false"/>
          <w:bCs w:val="false"/>
          <w:i w:val="false"/>
          <w:iCs w:val="false"/>
          <w:sz w:val="22"/>
          <w:szCs w:val="22"/>
        </w:rPr>
        <w:t xml:space="preserve">[8] M. Maier, "From Artificial Intelligence to Active Inference: The Key to True AI and the 6G World Brain," IEEE/Optica Journal of Optical Communications and Networking, vol. 18, no. 1, pp. A28–A43, Jan. 2026.</w:t>
      </w:r>
    </w:p>
    <w:p>
      <w:pPr>
        <w:spacing w:after="80" w:before="80"/>
        <w:jc w:val="left"/>
      </w:pPr>
      <w:r>
        <w:rPr>
          <w:rFonts w:ascii="Arial" w:cs="Arial" w:eastAsia="Arial" w:hAnsi="Arial"/>
          <w:b w:val="false"/>
          <w:bCs w:val="false"/>
          <w:i w:val="false"/>
          <w:iCs w:val="false"/>
          <w:sz w:val="22"/>
          <w:szCs w:val="22"/>
        </w:rPr>
        <w:t xml:space="preserve">[9] ITU-R M.2160 (2023) — Framework and Overall Objectives of IMT-2030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2026-04-18T05:47:16.825Z</dcterms:created>
  <dcterms:modified xsi:type="dcterms:W3CDTF">2026-04-18T05:47:16.827Z</dcterms:modified>
</cp:coreProperties>
</file>

<file path=docProps/custom.xml><?xml version="1.0" encoding="utf-8"?>
<Properties xmlns="http://schemas.openxmlformats.org/officeDocument/2006/custom-properties" xmlns:vt="http://schemas.openxmlformats.org/officeDocument/2006/docPropsVTypes"/>
</file>