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6B7280"/>
          <w:sz w:val="20"/>
          <w:szCs w:val="20"/>
        </w:rPr>
        <w:t xml:space="preserve">VELSANET ARCHITECTURE GROUP  |  TECHNICAL DESIGN DOCUMENT</w:t>
      </w:r>
    </w:p>
    <w:p>
      <w:pPr>
        <w:pBdr>
          <w:bottom w:val="single" w:color="2563EB" w:sz="12" w:space="4"/>
        </w:pBdr>
        <w:spacing w:after="160" w:before="0"/>
        <w:jc w:val="center"/>
      </w:pPr>
      <w:r>
        <w:rPr>
          <w:rFonts w:ascii="Arial" w:cs="Arial" w:eastAsia="Arial" w:hAnsi="Arial"/>
          <w:b/>
          <w:bCs/>
          <w:color w:val="1B3A6B"/>
          <w:sz w:val="52"/>
          <w:szCs w:val="52"/>
        </w:rPr>
        <w:t xml:space="preserve">Cognition Cube Hardware Design Specification</w:t>
      </w:r>
    </w:p>
    <w:p>
      <w:pPr>
        <w:spacing w:after="80" w:before="160"/>
        <w:jc w:val="center"/>
      </w:pPr>
      <w:r>
        <w:rPr>
          <w:rFonts w:ascii="Arial" w:cs="Arial" w:eastAsia="Arial" w:hAnsi="Arial"/>
          <w:i/>
          <w:iCs/>
          <w:color w:val="2563EB"/>
          <w:sz w:val="26"/>
          <w:szCs w:val="26"/>
        </w:rPr>
        <w:t xml:space="preserve">HBM · HBF Memory Architecture and Multimedia Multi-Channel Design</w:t>
      </w:r>
    </w:p>
    <w:p>
      <w:pPr>
        <w:spacing w:after="480" w:before="0"/>
        <w:jc w:val="center"/>
      </w:pPr>
      <w:r>
        <w:rPr>
          <w:rFonts w:ascii="Arial" w:cs="Arial" w:eastAsia="Arial" w:hAnsi="Arial"/>
          <w:i/>
          <w:iCs/>
          <w:color w:val="0F766E"/>
          <w:sz w:val="22"/>
          <w:szCs w:val="22"/>
        </w:rPr>
        <w:t xml:space="preserve">— EAI (E2E Center) / PAI (AI Data Center) Separated Deployment Architecture —</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DBEAFE" w:val="clear"/>
            <w:tcMar>
              <w:top w:type="dxa" w:w="140"/>
              <w:left w:type="dxa" w:w="160"/>
              <w:bottom w:type="dxa" w:w="140"/>
              <w:right w:type="dxa" w:w="160"/>
            </w:tcMar>
          </w:tcPr>
          <w:p>
            <w:pPr>
              <w:jc w:val="center"/>
            </w:pPr>
            <w:r>
              <w:rPr>
                <w:rFonts w:ascii="Arial" w:cs="Arial" w:eastAsia="Arial" w:hAnsi="Arial"/>
                <w:b/>
                <w:bCs/>
                <w:color w:val="1B3A6B"/>
                <w:sz w:val="18"/>
                <w:szCs w:val="18"/>
              </w:rPr>
              <w:t xml:space="preserve">Classification</w:t>
            </w:r>
          </w:p>
          <w:p>
            <w:pPr>
              <w:jc w:val="center"/>
            </w:pPr>
            <w:r>
              <w:rPr>
                <w:rFonts w:ascii="Arial" w:cs="Arial" w:eastAsia="Arial" w:hAnsi="Arial"/>
                <w:color w:val="1B3A6B"/>
                <w:sz w:val="18"/>
                <w:szCs w:val="18"/>
              </w:rPr>
              <w:t xml:space="preserve">Internal Technical Doc</w:t>
            </w:r>
          </w:p>
        </w:tc>
        <w:tc>
          <w:tcPr>
            <w:tcW w:type="dxa" w:w="2000"/>
            <w:tcBorders>
              <w:top w:val="none" w:color="FFFFFF" w:sz="0"/>
              <w:left w:val="none" w:color="FFFFFF" w:sz="0"/>
              <w:bottom w:val="none" w:color="FFFFFF" w:sz="0"/>
              <w:right w:val="none" w:color="FFFFFF" w:sz="0"/>
            </w:tcBorders>
            <w:shd w:fill="CCFBF1" w:val="clear"/>
            <w:tcMar>
              <w:top w:type="dxa" w:w="140"/>
              <w:left w:type="dxa" w:w="160"/>
              <w:bottom w:type="dxa" w:w="140"/>
              <w:right w:type="dxa" w:w="160"/>
            </w:tcMar>
          </w:tcPr>
          <w:p>
            <w:pPr>
              <w:jc w:val="center"/>
            </w:pPr>
            <w:r>
              <w:rPr>
                <w:rFonts w:ascii="Arial" w:cs="Arial" w:eastAsia="Arial" w:hAnsi="Arial"/>
                <w:b/>
                <w:bCs/>
                <w:color w:val="0F766E"/>
                <w:sz w:val="18"/>
                <w:szCs w:val="18"/>
              </w:rPr>
              <w:t xml:space="preserve">Version</w:t>
            </w:r>
          </w:p>
          <w:p>
            <w:pPr>
              <w:jc w:val="center"/>
            </w:pPr>
            <w:r>
              <w:rPr>
                <w:rFonts w:ascii="Arial" w:cs="Arial" w:eastAsia="Arial" w:hAnsi="Arial"/>
                <w:color w:val="0F766E"/>
                <w:sz w:val="18"/>
                <w:szCs w:val="18"/>
              </w:rPr>
              <w:t xml:space="preserve">v1.1  |  2026</w:t>
            </w:r>
          </w:p>
        </w:tc>
        <w:tc>
          <w:tcPr>
            <w:tcW w:type="dxa" w:w="2000"/>
            <w:tcBorders>
              <w:top w:val="none" w:color="FFFFFF" w:sz="0"/>
              <w:left w:val="none" w:color="FFFFFF" w:sz="0"/>
              <w:bottom w:val="none" w:color="FFFFFF" w:sz="0"/>
              <w:right w:val="none" w:color="FFFFFF" w:sz="0"/>
            </w:tcBorders>
            <w:shd w:fill="FEF3C7" w:val="clear"/>
            <w:tcMar>
              <w:top w:type="dxa" w:w="140"/>
              <w:left w:type="dxa" w:w="160"/>
              <w:bottom w:type="dxa" w:w="140"/>
              <w:right w:type="dxa" w:w="160"/>
            </w:tcMar>
          </w:tcPr>
          <w:p>
            <w:pPr>
              <w:jc w:val="center"/>
            </w:pPr>
            <w:r>
              <w:rPr>
                <w:rFonts w:ascii="Arial" w:cs="Arial" w:eastAsia="Arial" w:hAnsi="Arial"/>
                <w:b/>
                <w:bCs/>
                <w:color w:val="B45309"/>
                <w:sz w:val="18"/>
                <w:szCs w:val="18"/>
              </w:rPr>
              <w:t xml:space="preserve">Scope</w:t>
            </w:r>
          </w:p>
          <w:p>
            <w:pPr>
              <w:jc w:val="center"/>
            </w:pPr>
            <w:r>
              <w:rPr>
                <w:rFonts w:ascii="Arial" w:cs="Arial" w:eastAsia="Arial" w:hAnsi="Arial"/>
                <w:color w:val="B45309"/>
                <w:sz w:val="18"/>
                <w:szCs w:val="18"/>
              </w:rPr>
              <w:t xml:space="preserve">EAI E2E / PAI DC</w:t>
            </w:r>
          </w:p>
        </w:tc>
        <w:tc>
          <w:tcPr>
            <w:tcW w:type="dxa" w:w="2000"/>
            <w:tcBorders>
              <w:top w:val="none" w:color="FFFFFF" w:sz="0"/>
              <w:left w:val="none" w:color="FFFFFF" w:sz="0"/>
              <w:bottom w:val="none" w:color="FFFFFF" w:sz="0"/>
              <w:right w:val="none" w:color="FFFFFF" w:sz="0"/>
            </w:tcBorders>
            <w:shd w:fill="EDE9FE" w:val="clear"/>
            <w:tcMar>
              <w:top w:type="dxa" w:w="140"/>
              <w:left w:type="dxa" w:w="160"/>
              <w:bottom w:type="dxa" w:w="140"/>
              <w:right w:type="dxa" w:w="160"/>
            </w:tcMar>
          </w:tcPr>
          <w:p>
            <w:pPr>
              <w:jc w:val="center"/>
            </w:pPr>
            <w:r>
              <w:rPr>
                <w:rFonts w:ascii="Arial" w:cs="Arial" w:eastAsia="Arial" w:hAnsi="Arial"/>
                <w:b/>
                <w:bCs/>
                <w:color w:val="5B21B6"/>
                <w:sz w:val="18"/>
                <w:szCs w:val="18"/>
              </w:rPr>
              <w:t xml:space="preserve">Optical Tx</w:t>
            </w:r>
          </w:p>
          <w:p>
            <w:pPr>
              <w:jc w:val="center"/>
            </w:pPr>
            <w:r>
              <w:rPr>
                <w:rFonts w:ascii="Arial" w:cs="Arial" w:eastAsia="Arial" w:hAnsi="Arial"/>
                <w:color w:val="5B21B6"/>
                <w:sz w:val="18"/>
                <w:szCs w:val="18"/>
              </w:rPr>
              <w:t xml:space="preserve">800Gbps (MOCT Fixed)</w:t>
            </w:r>
          </w:p>
        </w:tc>
      </w:tr>
    </w:tbl>
    <w:p>
      <w:pPr>
        <w:spacing w:after="40" w:before="40"/>
      </w:pPr>
      <w:r>
        <w:t xml:space="preserve"/>
      </w:r>
    </w:p>
    <w:p>
      <w:pPr>
        <w:spacing w:after="40" w:before="40"/>
      </w:pPr>
      <w:r>
        <w:t xml:space="preserve"/>
      </w:r>
    </w:p>
    <w:p>
      <w:pPr>
        <w:jc w:val="center"/>
      </w:pPr>
      <w:r>
        <w:rPr>
          <w:rFonts w:ascii="Arial" w:cs="Arial" w:eastAsia="Arial" w:hAnsi="Arial"/>
          <w:color w:val="6B7280"/>
          <w:sz w:val="18"/>
          <w:szCs w:val="18"/>
        </w:rPr>
        <w:t xml:space="preserve">Republic of Korea  |  Velsanet Architecture Group</w:t>
      </w:r>
    </w:p>
    <w:p>
      <w:r>
        <w:br w:type="page"/>
      </w:r>
    </w:p>
    <w:p>
      <w:pPr>
        <w:sectPr>
          <w:pgSz w:w="12240" w:h="15840" w:orient="portrait"/>
          <w:pgMar w:top="1440" w:right="1440" w:bottom="1440" w:left="1440" w:header="708" w:footer="708" w:gutter="0"/>
          <w:pgNumType/>
          <w:docGrid w:linePitch="360"/>
        </w:sectPr>
      </w:pPr>
    </w:p>
    <w:p>
      <w:pPr>
        <w:pBdr>
          <w:bottom w:val="single" w:color="1B3A6B" w:sz="8" w:space="1"/>
        </w:pBdr>
        <w:spacing w:after="200" w:before="0"/>
      </w:pPr>
      <w:r>
        <w:rPr>
          <w:rFonts w:ascii="Arial" w:cs="Arial" w:eastAsia="Arial" w:hAnsi="Arial"/>
          <w:b/>
          <w:bCs/>
          <w:color w:val="1B3A6B"/>
          <w:sz w:val="36"/>
          <w:szCs w:val="36"/>
        </w:rPr>
        <w:t xml:space="preserve">Table of Contents</w:t>
      </w:r>
    </w:p>
    <w:p>
      <w:pPr>
        <w:spacing w:after="40" w:before="40"/>
      </w:pPr>
      <w:r>
        <w:t xml:space="preserve"/>
      </w:r>
    </w:p>
    <w:p>
      <w:pPr>
        <w:tabs>
          <w:tab w:val="right" w:pos="9000" w:leader="dot"/>
        </w:tabs>
        <w:spacing w:after="60" w:before="120"/>
      </w:pPr>
      <w:r>
        <w:rPr>
          <w:rFonts w:ascii="Arial" w:cs="Arial" w:eastAsia="Arial" w:hAnsi="Arial"/>
          <w:b/>
          <w:bCs/>
          <w:color w:val="1B3A6B"/>
          <w:sz w:val="24"/>
          <w:szCs w:val="24"/>
        </w:rPr>
        <w:t xml:space="preserve">1.  Architectural Premise and Design Context</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  EAI and PAI Deployment Separation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1.2  Extended Definition Beyond FG-EAI-I-011R1 — Deployment Location Architecture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1.3  Execution-Substrate Independence of the Cubification Methodology</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1.4  Design Implications of Fixed Ribbon Cable (MOCT)</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1.5  Physical Transmission Speed Correction: 1Tbps →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2.  Overall Hardware Architecture — 5-Layer Stack</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2.1  5-Layer Hardware Stack Comparison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2.2  Bandwidth Requirements (Recalculated at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3.  HBM — Raw Memory Layer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3.1  WORM Controller Design — Common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3.2  EAI HBM — 16-Channel Specification (E2E Center)</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3.3  PAI HBM — 8-Channel Specification (AI Data Center)</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4.  HBF — Cube Memory Layer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4.1  Five-Axis Hardware Access Permission Matrix</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4.2  HBF Operational Difference: EAI vs PAI</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5.  Dedicated Equipment — Transform Engine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5.1  3-Block Hardware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5.2  Block A — DEMUX Engine Design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5.3  EAI-Specific — 16-Channel Dual E2E Physical Isolation</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6.  Multimedia Multi-Channel SEU Synchronization Hardware</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6.1  SEU Synchronization Pipeline (4 Stages)</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6.2  Adaptive SEU Window Size Control</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7.  PAI AI Data Center — Dedicated Design Considerations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7.1  Design Differences: EAI vs PAI</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7.2  Parallel Multi-Instance PAI Architecture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8.  Hardware Validation Strategy</w:t>
      </w:r>
      <w:r>
        <w:rPr>
          <w:rFonts w:ascii="Arial" w:cs="Arial" w:eastAsia="Arial" w:hAnsi="Arial"/>
          <w:sz w:val="24"/>
          <w:szCs w:val="24"/>
        </w:rPr>
        <w:t xml:space="preserve">	</w:t>
      </w:r>
    </w:p>
    <w:p>
      <w:pPr>
        <w:tabs>
          <w:tab w:val="right" w:pos="9000" w:leader="dot"/>
        </w:tabs>
        <w:spacing w:after="60" w:before="120"/>
      </w:pPr>
      <w:r>
        <w:rPr>
          <w:rFonts w:ascii="Arial" w:cs="Arial" w:eastAsia="Arial" w:hAnsi="Arial"/>
          <w:b/>
          <w:bCs/>
          <w:color w:val="1B3A6B"/>
          <w:sz w:val="24"/>
          <w:szCs w:val="24"/>
        </w:rPr>
        <w:t xml:space="preserve">9.  Conclusion and Future Document Proposals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9.1  Future Document Proposals</w:t>
      </w:r>
      <w:r>
        <w:rPr>
          <w:rFonts w:ascii="Arial" w:cs="Arial" w:eastAsia="Arial" w:hAnsi="Arial"/>
          <w:sz w:val="22"/>
          <w:szCs w:val="22"/>
        </w:rPr>
        <w:t xml:space="preserve">	</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 Architectural Premise and Design Context</w:t>
      </w:r>
    </w:p>
    <w:p>
      <w:pPr>
        <w:spacing w:after="80" w:before="80"/>
        <w:jc w:val="both"/>
      </w:pPr>
      <w:r>
        <w:rPr>
          <w:rFonts w:ascii="Arial" w:cs="Arial" w:eastAsia="Arial" w:hAnsi="Arial"/>
          <w:color w:val="111827"/>
          <w:sz w:val="22"/>
          <w:szCs w:val="22"/>
        </w:rPr>
        <w:t xml:space="preserve">This document defines the hardware design specification for the Velsanet Cognition Cube system, premised on ingress through Velsanet equipment. The target systems are two classes of distributed cognitive network nodes — EAI (Embodied AI) and PAI (Personal AI) — each deployed in distinct physical locations. All optical connections are based on MOCT fixed ribbon cables; pluggable modules and patch panels are not used.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 EAI and PAI Deployment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Premise: EAI is deployed at the E2E Center (city/regional scale). PAI is deployed in the AI Data Center. Both systems use Velsanet fixed ribbon cables, but their physical locations, processing objectives, and channel configurations differ fundamentally.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System</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Deployment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Node Type</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Cognition Cube Role</w:t>
            </w:r>
          </w:p>
        </w:tc>
        <w:tc>
          <w:tcPr>
            <w:tcW w:type="dxa" w:w="1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Optical Basis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EAI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Center (City/Region)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City E2E / D12 — Regional E2E</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(Perception+Control)</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Node Dedicated Infra</w:t>
            </w:r>
          </w:p>
        </w:tc>
        <w:tc>
          <w:tcPr>
            <w:tcW w:type="dxa" w:w="2000"/>
            <w:tcBorders>
              <w:top w:val="single" w:color="E5E7EB" w:sz="1"/>
              <w:left w:val="single" w:color="E5E7EB" w:sz="1"/>
              <w:bottom w:val="single" w:color="E5E7EB" w:sz="1"/>
              <w:right w:val="single" w:color="E5E7EB" w:sz="1"/>
            </w:tcBorders>
            <w:shd w:fill="EDE9FE" w:val="clear"/>
            <w:tcMar>
              <w:top w:type="dxa" w:w="80"/>
              <w:left w:type="dxa" w:w="100"/>
              <w:bottom w:type="dxa" w:w="80"/>
              <w:right w:type="dxa" w:w="100"/>
            </w:tcMar>
            <w:vAlign w:val="center"/>
          </w:tcPr>
          <w:p>
            <w:r>
              <w:rPr>
                <w:rFonts w:ascii="Arial" w:cs="Arial" w:eastAsia="Arial" w:hAnsi="Arial"/>
                <w:color w:val="111827"/>
                <w:sz w:val="19"/>
                <w:szCs w:val="19"/>
              </w:rPr>
              <w:t xml:space="preserve">8-ch Cognition Cube (DIKWEI Cycle)</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bl>
    <w:p>
      <w:pPr>
        <w:spacing w:after="120" w:before="60"/>
        <w:jc w:val="center"/>
      </w:pPr>
      <w:r>
        <w:rPr>
          <w:rFonts w:ascii="Arial" w:cs="Arial" w:eastAsia="Arial" w:hAnsi="Arial"/>
          <w:i/>
          <w:iCs/>
          <w:color w:val="6B7280"/>
          <w:sz w:val="18"/>
          <w:szCs w:val="18"/>
        </w:rPr>
        <w:t xml:space="preserve">Table 1-1. EAI and PAI Deployment Location and Role Separation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1.2 Extended Definition Beyond FG-EAI-I-011R1 — Deployment Location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Positioning Point: FG-EAI-I-011R1 (Work Items F–I) defines the roles and interfaces of EAI and PAI but does not explicitly specify their physical deployment locations. This hardware design document extends the ITU contribution by one level of concreteness — explicitly defining at the architecture level that EAI is deployed at the E2E Center (O8/D12 nodes) and PAI at the AI Data Center. This constitutes a contribution that brings the standardisation discussion down to actionable engineering.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FG-EAI-I-011R1 (ITU Contribution)</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This HW Design Doc (Extended Definition)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Center (O8 city / D12 regional)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Basis</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MOCT mentioned (HW details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cable 800Gbps — implementation-level</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Channel Config</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defined (location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Physically isolated core groups in E2E Center —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Multi-instance</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Single PAI concept defined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 parallel instances within Node_8 — architecture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Work Item I (Human Projection)</w:t>
            </w:r>
          </w:p>
        </w:tc>
        <w:tc>
          <w:tcPr>
            <w:tcW w:type="dxa" w:w="3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Extraction &amp; Transfer sequence (WG4 scope)</w:t>
            </w:r>
          </w:p>
        </w:tc>
        <w:tc>
          <w:tcPr>
            <w:tcW w:type="dxa" w:w="33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Separate independent sequence — to be defined in subsequent document</w:t>
            </w:r>
          </w:p>
        </w:tc>
      </w:tr>
    </w:tbl>
    <w:p>
      <w:pPr>
        <w:spacing w:after="120" w:before="60"/>
        <w:jc w:val="center"/>
      </w:pPr>
      <w:r>
        <w:rPr>
          <w:rFonts w:ascii="Arial" w:cs="Arial" w:eastAsia="Arial" w:hAnsi="Arial"/>
          <w:i/>
          <w:iCs/>
          <w:color w:val="6B7280"/>
          <w:sz w:val="18"/>
          <w:szCs w:val="18"/>
        </w:rPr>
        <w:t xml:space="preserve">Table 1-2. Comparison: FG-EAI-I-011R1 vs This Document Extended Definitions</w:t>
      </w:r>
    </w:p>
    <w:p>
      <w:pPr>
        <w:spacing w:after="40" w:before="40"/>
      </w:pPr>
      <w:r>
        <w:t xml:space="preserve"/>
      </w:r>
    </w:p>
    <w:p>
      <w:pPr>
        <w:spacing w:after="80" w:before="80"/>
        <w:jc w:val="both"/>
      </w:pPr>
      <w:r>
        <w:rPr>
          <w:rFonts w:ascii="Arial" w:cs="Arial" w:eastAsia="Arial" w:hAnsi="Arial"/>
          <w:color w:val="111827"/>
          <w:sz w:val="22"/>
          <w:szCs w:val="22"/>
        </w:rPr>
        <w:t xml:space="preserve">For presentation: if FG-EAI-I-011R1 defines 'What to standardise', this hardware design document defines 'How and Where to implement it'. The two documents do not conflict — this document is the engineering layer that demonstrates the implementability of the ITU contribution.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1.3 Execution-Substrate Independence of the Cubification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8"/>
              <w:bottom w:val="none" w:color="FFFFFF" w:sz="0"/>
              <w:right w:val="none" w:color="FFFFFF" w:sz="0"/>
            </w:tcBorders>
            <w:shd w:fill="CCFBF1"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Principle: GPU → NPU → TPU → future XYZ accelerators — regardless of the execution substrate used, the cubification methodology (the algorithm and pipeline for 'how to cubify') must remain identical. Changing the execution tool only changes processing speed; the methodology itself is substrate-independent. This is also the structural basis upon which Work Items F and G can be standardised.</w:t>
            </w:r>
          </w:p>
        </w:tc>
      </w:tr>
    </w:tbl>
    <w:p>
      <w:pPr>
        <w:spacing w:after="40" w:before="40"/>
      </w:pPr>
      <w:r>
        <w:t xml:space="preserve"/>
      </w:r>
    </w:p>
    <w:p>
      <w:pPr>
        <w:spacing w:after="80" w:before="80"/>
        <w:jc w:val="both"/>
      </w:pPr>
      <w:r>
        <w:rPr>
          <w:rFonts w:ascii="Arial" w:cs="Arial" w:eastAsia="Arial" w:hAnsi="Arial"/>
          <w:color w:val="111827"/>
          <w:sz w:val="22"/>
          <w:szCs w:val="22"/>
        </w:rPr>
        <w:t xml:space="preserve">This independence holds because the cubification pipeline defines answers to the following five questions, and none of these answers presupposes a specific execution substrate: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Question (Methodology)</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Answer (Algorithm / Pipeline)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Substrate Dependency</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What to capture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8-channel SEU definition (CH1–CH8 independent storage)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channel definition is accelerator-agnostic</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When to cut boundaries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SEU time window 0.8–1.5 s (adaptive slot boundary)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time window is clock-independent</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preserve channel independence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partition + per-channel independent timestamp queue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defined at logic gate level</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synthesise into semantic axes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T/C/I/E Meta Abstraction Layer (order defined, execution unit unspecified)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only operation order is defined</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guarantee immutability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Logic Gate + T-Axis hardware anchor</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physical protection is process-independent</w:t>
            </w:r>
          </w:p>
        </w:tc>
      </w:tr>
    </w:tbl>
    <w:p>
      <w:pPr>
        <w:spacing w:after="120" w:before="60"/>
        <w:jc w:val="center"/>
      </w:pPr>
      <w:r>
        <w:rPr>
          <w:rFonts w:ascii="Arial" w:cs="Arial" w:eastAsia="Arial" w:hAnsi="Arial"/>
          <w:i/>
          <w:iCs/>
          <w:color w:val="6B7280"/>
          <w:sz w:val="18"/>
          <w:szCs w:val="18"/>
        </w:rPr>
        <w:t xml:space="preserve">Table 1-3. Five Cubification Questions and Verification of Substrate Independence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 Methodology Layer (Invariant — Standardisable)</w:t>
            </w:r>
          </w:p>
        </w:tc>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Execution Layer (Variable — Implementation Choice)</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boundary definition &amp; 8-channel decomposition</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GPU / NPU / TPU / Photonic computer</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Channel independence invariant (structural invariant)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Specific memory hierarchy (HBM3 / LPDDR6 / ...)</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T/C/I/E axis synthesis order &amp; format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CUDA / OpenCL / Custom ISA</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WORM immutability guarantee logic</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Process node (7nm / 3nm / photonic integrated circuit)</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Meta Abstraction format (semantic summary / confidence / evidence ref)</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Parallelisation strategy (data parallel / pipeline / wavefront)</w:t>
            </w:r>
          </w:p>
        </w:tc>
      </w:tr>
    </w:tbl>
    <w:p>
      <w:pPr>
        <w:spacing w:after="120" w:before="60"/>
        <w:jc w:val="center"/>
      </w:pPr>
      <w:r>
        <w:rPr>
          <w:rFonts w:ascii="Arial" w:cs="Arial" w:eastAsia="Arial" w:hAnsi="Arial"/>
          <w:i/>
          <w:iCs/>
          <w:color w:val="6B7280"/>
          <w:sz w:val="18"/>
          <w:szCs w:val="18"/>
        </w:rPr>
        <w:t xml:space="preserve">Table 1-4. Separation of Methodology Layer (Invariant) and Execution Layer (Variable)</w:t>
      </w:r>
    </w:p>
    <w:p>
      <w:pPr>
        <w:spacing w:after="40" w:before="40"/>
      </w:pPr>
      <w:r>
        <w:t xml:space="preserve"/>
      </w:r>
    </w:p>
    <w:p>
      <w:pPr>
        <w:spacing w:after="80" w:before="80"/>
        <w:jc w:val="both"/>
      </w:pPr>
      <w:r>
        <w:rPr>
          <w:rFonts w:ascii="Arial" w:cs="Arial" w:eastAsia="Arial" w:hAnsi="Arial"/>
          <w:color w:val="111827"/>
          <w:sz w:val="22"/>
          <w:szCs w:val="22"/>
        </w:rPr>
        <w:t xml:space="preserve">The principle breaks when the pipeline design assumes a specific memory hierarchy (e.g., a particular GPU HBM bandwidth) or a specific parallelisation model (e.g., CUDA thread model). The current Velsanet cubification pipeline makes no such assumptions: the SEU Assembly Engine assumes no specific chip architecture; the Meta Abstraction Layer defines only operation order, not execution units; and the WORM controller is defined at the logic gate level, independent of any semiconductor process.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Work Items F/G = Standardisation of the cubification methodology (What &amp; How)  |  This HW design document = Current implementation example (Where &amp; With What)  |  The methodology remains identical regardless of execution substrate — this is why it can be standardised.</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1.4 Design Implications of Fixed Ribbon Cable (MOCT)</w:t>
      </w:r>
    </w:p>
    <w:p>
      <w:pPr>
        <w:spacing w:after="80" w:before="80"/>
        <w:jc w:val="both"/>
      </w:pPr>
      <w:r>
        <w:rPr>
          <w:rFonts w:ascii="Arial" w:cs="Arial" w:eastAsia="Arial" w:hAnsi="Arial"/>
          <w:color w:val="111827"/>
          <w:sz w:val="22"/>
          <w:szCs w:val="22"/>
        </w:rPr>
        <w:t xml:space="preserve">All optical connection designs in this document are physically grounded in the MOCT fixed ribbon cable. This represents a fundamentally different design philosophy from conventional pluggable optical systems (SFP/QSFP) and carries three structural implications:</w:t>
      </w:r>
    </w:p>
    <w:p>
      <w:pPr>
        <w:pStyle w:val="ListParagraph"/>
        <w:numPr>
          <w:ilvl w:val="0"/>
          <w:numId w:val="2"/>
        </w:numPr>
        <w:spacing w:after="60" w:before="60"/>
      </w:pPr>
      <w:r>
        <w:rPr>
          <w:rFonts w:ascii="Arial" w:cs="Arial" w:eastAsia="Arial" w:hAnsi="Arial"/>
          <w:color w:val="111827"/>
          <w:sz w:val="22"/>
          <w:szCs w:val="22"/>
        </w:rPr>
        <w:t xml:space="preserve">Single connection point, no branching: each node has exactly one ribbon cable, permanently fused at manufacture. No patch panels, adapters, or connectors.</w:t>
      </w:r>
    </w:p>
    <w:p>
      <w:pPr>
        <w:pStyle w:val="ListParagraph"/>
        <w:numPr>
          <w:ilvl w:val="0"/>
          <w:numId w:val="2"/>
        </w:numPr>
        <w:spacing w:after="60" w:before="60"/>
      </w:pPr>
      <w:r>
        <w:rPr>
          <w:rFonts w:ascii="Arial" w:cs="Arial" w:eastAsia="Arial" w:hAnsi="Arial"/>
          <w:color w:val="111827"/>
          <w:sz w:val="22"/>
          <w:szCs w:val="22"/>
        </w:rPr>
        <w:t xml:space="preserve">Core numbering irrelevant: since the cable is fixed, core identity is fully determined by 'which ribbon, which device.' No administrative tracking required.</w:t>
      </w:r>
    </w:p>
    <w:p>
      <w:pPr>
        <w:pStyle w:val="ListParagraph"/>
        <w:numPr>
          <w:ilvl w:val="0"/>
          <w:numId w:val="2"/>
        </w:numPr>
        <w:spacing w:after="60" w:before="60"/>
      </w:pPr>
      <w:r>
        <w:rPr>
          <w:rFonts w:ascii="Arial" w:cs="Arial" w:eastAsia="Arial" w:hAnsi="Arial"/>
          <w:color w:val="111827"/>
          <w:sz w:val="22"/>
          <w:szCs w:val="22"/>
        </w:rPr>
        <w:t xml:space="preserve">Zero insertion loss: no connectors means no insertion-loss variation, no dust contamination, no mechanical wear — structurally impossible.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1.5 Physical Transmission Speed Correction: 1Tbps →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Correction: The '1Tbps per core' figure cited in prior versions is the IMT-2030 peak requirement (threshold), not the physically achievable transmission speed in current implementation. The realistic design reference is 800Gbps, within the range of current commercial 800G pluggable optical technology. In a connector-free fixed ribbon cable design, 0dB insertion loss makes 800Gbps implementation more stable.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Previous (Incorrect)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Corrected</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Basis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Physical Tx per core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1Tbps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800Gbps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Current 800G pluggable range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Nature of figure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Stated as implementation target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Peak requirement (threshold)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IMT-2030 M.2160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effect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Connector loss not accounted</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0dB insertion loss applied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non-connector design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Aggregate BW (192 cores)</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192Tbps (incorrect)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153.6Tbps (800G×192)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Realistic design basis</w:t>
            </w:r>
          </w:p>
        </w:tc>
      </w:tr>
    </w:tbl>
    <w:p>
      <w:pPr>
        <w:spacing w:after="120" w:before="60"/>
        <w:jc w:val="center"/>
      </w:pPr>
      <w:r>
        <w:rPr>
          <w:rFonts w:ascii="Arial" w:cs="Arial" w:eastAsia="Arial" w:hAnsi="Arial"/>
          <w:i/>
          <w:iCs/>
          <w:color w:val="6B7280"/>
          <w:sz w:val="18"/>
          <w:szCs w:val="18"/>
        </w:rPr>
        <w:t xml:space="preserve">Table 1-5. Physical Transmission Speed Correction</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2. Overall Hardware Architecture — 5-Layer Stack</w:t>
      </w:r>
    </w:p>
    <w:p>
      <w:pPr>
        <w:spacing w:after="80" w:before="80"/>
        <w:jc w:val="both"/>
      </w:pPr>
      <w:r>
        <w:rPr>
          <w:rFonts w:ascii="Arial" w:cs="Arial" w:eastAsia="Arial" w:hAnsi="Arial"/>
          <w:color w:val="111827"/>
          <w:sz w:val="22"/>
          <w:szCs w:val="22"/>
        </w:rPr>
        <w:t xml:space="preserve">The Cognition Cube hardware follows a 5-layer structure applicable to both EAI (E2E Center) and PAI (AI Data Center). Implementation details vary by deployment environment, but the architectural layering is shared.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2.1 5-Layer Hardware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400"/>
        <w:gridCol w:w="2460"/>
      </w:tblGrid>
      <w:tr>
        <w:trPr>
          <w:tblHeader/>
        </w:trPr>
        <w:tc>
          <w:tcPr>
            <w:tcW w:type="dxa" w:w="7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Layer</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Component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4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AI Cognition Plane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PAI·AAI·AsAI</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EAI perception+control engine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PAI DIKWEI cycle engine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HBF Cube Fabric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Cube Memory (T·C·I·E·M)</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Mission experience (M-Axis)</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Personal intent (I-Axis)</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Transform Engine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Dedicated Equipment</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384→8 DEMUX + 16ch Dual E2E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384→8 DEMUX + cognition cycle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HBM Raw Memory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Storage (per-channel)</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16-ch perception+control</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8-ch multimodal stream</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Physical Tx Layer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MOCT Fixed Ribbon Cable</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r>
    </w:tbl>
    <w:p>
      <w:pPr>
        <w:spacing w:after="120" w:before="60"/>
        <w:jc w:val="center"/>
      </w:pPr>
      <w:r>
        <w:rPr>
          <w:rFonts w:ascii="Arial" w:cs="Arial" w:eastAsia="Arial" w:hAnsi="Arial"/>
          <w:i/>
          <w:iCs/>
          <w:color w:val="6B7280"/>
          <w:sz w:val="18"/>
          <w:szCs w:val="18"/>
        </w:rPr>
        <w:t xml:space="preserve">Table 2-1. Cognition Cube 5-Layer Hardware Stack — EAI/PAI Comparison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2.2 Bandwidth Requirements (Recalculated at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Segment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L1→L2 (MOCT→HBM)</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0dB loss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L2→L3 (HBM→DEMUX)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16-ch total ≈ 12Gbps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 total ≈ 6Gbps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Per-channel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Processing requirement</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Dedicated Equipment spec</w:t>
            </w:r>
          </w:p>
        </w:tc>
      </w:tr>
    </w:tbl>
    <w:p>
      <w:pPr>
        <w:spacing w:after="120" w:before="60"/>
        <w:jc w:val="center"/>
      </w:pPr>
      <w:r>
        <w:rPr>
          <w:rFonts w:ascii="Arial" w:cs="Arial" w:eastAsia="Arial" w:hAnsi="Arial"/>
          <w:i/>
          <w:iCs/>
          <w:color w:val="6B7280"/>
          <w:sz w:val="18"/>
          <w:szCs w:val="18"/>
        </w:rPr>
        <w:t xml:space="preserve">Table 2-2. Bandwidth Requirements at 800Gbps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3. HBM — Raw Memory Layer Hardware Design</w:t>
      </w:r>
    </w:p>
    <w:p>
      <w:pPr>
        <w:spacing w:after="80" w:before="80"/>
        <w:jc w:val="both"/>
      </w:pPr>
      <w:r>
        <w:rPr>
          <w:rFonts w:ascii="Arial" w:cs="Arial" w:eastAsia="Arial" w:hAnsi="Arial"/>
          <w:color w:val="111827"/>
          <w:sz w:val="22"/>
          <w:szCs w:val="22"/>
        </w:rPr>
        <w:t xml:space="preserve">The core design principle of the Raw Memory Layer (HBM) is hardware-guaranteed immutability. A WORM (Write-Once Read-Many) controller enforces write protection at the physical circuit level. Both EAI and PAI apply the same WORM principle, differing only in channel count and data characteristics.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3.1 WORM Controller Design — Common Structure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[SEU Input Bus — EAI: 16-channel / PAI: 8-channel parallel sync]</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[WORM Logic Gate] - Sector Lock Register: bit SET after first write completes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Re-write attempt → INTERRUPT + audit log   - DMA-only path: CPU/OS access physically blocked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ECC layer built-in (auto bit-error correction)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[Per-channel independent storage partition]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EAI: CH1-CH8 perception partition + CH9-CH16 control partition (physically isolated)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CH1-CH8 multimodal partition (cognition cube synthesis input)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[T-Axis Timestamp Engine]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NodeID[16] : Timestamp_ns[48] : ChannelHash[16]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Inter-channel sync target: &lt; 1μs (PTP IEEE 1588v2)</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3.2 EAI HBM — 16-Channel Specification (E2E Center)</w:t>
      </w:r>
    </w:p>
    <w:p>
      <w:pPr>
        <w:spacing w:after="80" w:before="80"/>
        <w:jc w:val="both"/>
      </w:pPr>
      <w:r>
        <w:rPr>
          <w:rFonts w:ascii="Arial" w:cs="Arial" w:eastAsia="Arial" w:hAnsi="Arial"/>
          <w:color w:val="111827"/>
          <w:sz w:val="22"/>
          <w:szCs w:val="22"/>
        </w:rPr>
        <w:t xml:space="preserve">EAI HBM stores the perception plane (E2E #1, CH1-CH8) and control plane (E2E #2, CH9-CH16) in two physically isolated partitions. E2E #2 continues independently when E2E #1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900"/>
        <w:gridCol w:w="1400"/>
        <w:gridCol w:w="1500"/>
        <w:gridCol w:w="25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9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~2Gbps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Hi-Density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4K/60fps, HDR</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~3Mbps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Ring</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192kHz 24-bit</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GPS+IMU 9-DOF</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Secure Enclave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TEE isolation</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Text/Linguistic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Variable</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Unicode</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6-DOF IMU</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CAN FD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Actuator FB</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ADC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Temp/gas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CH9</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Command Input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PAI→EAI cmd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CH10</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Actuation Output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&lt; 1ms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buffer</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RT-PWM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Motor/brake</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Safety Override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Indep. pwr</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 WORM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Hardwired relay</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Emergency stop</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Auth/Identity</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Signed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HSM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 verification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Operator auth</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Mission State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Continuous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 real-time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Mission log</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Task progress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AAI Coordination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Low-lat</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Mesh link</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Multi-EAI coord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Audit/Evidence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Immutable</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WORM dedicated</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Legal record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Traceability</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Redundancy Link</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Hot-standby</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Backup path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Failover</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CH backup</w:t>
            </w:r>
          </w:p>
        </w:tc>
      </w:tr>
    </w:tbl>
    <w:p>
      <w:pPr>
        <w:spacing w:after="120" w:before="60"/>
        <w:jc w:val="center"/>
      </w:pPr>
      <w:r>
        <w:rPr>
          <w:rFonts w:ascii="Arial" w:cs="Arial" w:eastAsia="Arial" w:hAnsi="Arial"/>
          <w:i/>
          <w:iCs/>
          <w:color w:val="6B7280"/>
          <w:sz w:val="18"/>
          <w:szCs w:val="18"/>
        </w:rPr>
        <w:t xml:space="preserve">Table 3-1. EAI HBM — 16-Channel Storage Specification (E2E Center)</w:t>
      </w:r>
    </w:p>
    <w:p>
      <w:r>
        <w:br w:type="page"/>
      </w:r>
    </w:p>
    <w:p>
      <w:pPr>
        <w:pStyle w:val="Heading2"/>
        <w:spacing w:after="140" w:before="300"/>
      </w:pPr>
      <w:r>
        <w:rPr>
          <w:rFonts w:ascii="Arial" w:cs="Arial" w:eastAsia="Arial" w:hAnsi="Arial"/>
          <w:b/>
          <w:bCs/>
          <w:color w:val="2563EB"/>
          <w:sz w:val="28"/>
          <w:szCs w:val="28"/>
        </w:rPr>
        <w:t xml:space="preserve">3.3 PAI HBM — 8-Channel Specification (AI Data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1600"/>
        <w:gridCol w:w="1600"/>
        <w:gridCol w:w="2500"/>
        <w:gridCol w:w="6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Special Requirements</w:t>
            </w:r>
          </w:p>
        </w:tc>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Tag</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~2Gbps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Hi-Density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4K/60fps, HDR support</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Visual</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~3Mbps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Ring</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192kHz 24-bit PCM</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GPS NMEA, IMU 9-DOF</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Location</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Secure Enclave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HW encrypt, TEE isolation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Text/NLP</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Variable</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Flash+DRAM</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Unicode, compressed enc.</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continuous</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Accel+gyro+pattern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PCIe 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CAN/Ethernet</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 FD, actuator FB</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ADC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Temp/gas/proximity</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w:t>
            </w:r>
          </w:p>
        </w:tc>
      </w:tr>
    </w:tbl>
    <w:p>
      <w:pPr>
        <w:spacing w:after="120" w:before="60"/>
        <w:jc w:val="center"/>
      </w:pPr>
      <w:r>
        <w:rPr>
          <w:rFonts w:ascii="Arial" w:cs="Arial" w:eastAsia="Arial" w:hAnsi="Arial"/>
          <w:i/>
          <w:iCs/>
          <w:color w:val="6B7280"/>
          <w:sz w:val="18"/>
          <w:szCs w:val="18"/>
        </w:rPr>
        <w:t xml:space="preserve">Table 3-2. PAI HBM — 8-Channel Storage Specification (AI Data Center)</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4. HBF — Cube Memory Layer Hardware Design</w:t>
      </w:r>
    </w:p>
    <w:p>
      <w:pPr>
        <w:spacing w:after="80" w:before="80"/>
        <w:jc w:val="both"/>
      </w:pPr>
      <w:r>
        <w:rPr>
          <w:rFonts w:ascii="Arial" w:cs="Arial" w:eastAsia="Arial" w:hAnsi="Arial"/>
          <w:color w:val="111827"/>
          <w:sz w:val="22"/>
          <w:szCs w:val="22"/>
        </w:rPr>
        <w:t xml:space="preserve">The Cube Memory Layer (HBF) is a five-axis (T·C·I·E·M) semantic fabric in which only the T-Axis is immutable; the remaining axes are dynamically updated by AI layers. EAI accumulates mission experience in the M-Axis, while PAI concentrates on the I-Axis (intent).</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4.1 Five-Axis Hardware Access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2000"/>
        <w:gridCol w:w="1660"/>
      </w:tblGrid>
      <w:tr>
        <w:trPr>
          <w:tblHeader/>
        </w:trPr>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Cube Axis</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AsAI Perm.</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Physical Protection</w:t>
            </w:r>
          </w:p>
        </w:tc>
        <w:tc>
          <w:tcPr>
            <w:tcW w:type="dxa" w:w="16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Update Owner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T-Axis (Time)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WORM hardwire</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SEU Timestamp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C-Axis (Context)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Context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I-Axis (Intent)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(PAI+AAI)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Intent Extractor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E-Axis (Emotion)</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Emotion Module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M-Axis (Meta)</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111827"/>
                <w:sz w:val="18"/>
                <w:szCs w:val="18"/>
              </w:rPr>
              <w:t xml:space="preserve">Layer Lock (AAI+AsAI)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AAI·AsAI Meta Engine</w:t>
            </w:r>
          </w:p>
        </w:tc>
      </w:tr>
    </w:tbl>
    <w:p>
      <w:pPr>
        <w:spacing w:after="120" w:before="60"/>
        <w:jc w:val="center"/>
      </w:pPr>
      <w:r>
        <w:rPr>
          <w:rFonts w:ascii="Arial" w:cs="Arial" w:eastAsia="Arial" w:hAnsi="Arial"/>
          <w:i/>
          <w:iCs/>
          <w:color w:val="6B7280"/>
          <w:sz w:val="18"/>
          <w:szCs w:val="18"/>
        </w:rPr>
        <w:t xml:space="preserve">Table 4-1. HBF Five-Axis Hardware Access Permission Matrix</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4.2 HBF Operational Difference: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Axis</w:t>
            </w:r>
          </w:p>
        </w:tc>
        <w:tc>
          <w:tcPr>
            <w:tcW w:type="dxa" w:w="3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timeline anchor (immutable physical events)</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Personal experience timeline anchor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Field environment, obstacles, spatial context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 location, surroundings, situational context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I-Axis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goal, route plan, action intent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Personal intent, search, learning, decision</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Hazard urgency, system state priority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Emotional state, priority weighting</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accumulation, autonomy growth</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 organic growth</w:t>
            </w:r>
          </w:p>
        </w:tc>
      </w:tr>
    </w:tbl>
    <w:p>
      <w:pPr>
        <w:spacing w:after="120" w:before="60"/>
        <w:jc w:val="center"/>
      </w:pPr>
      <w:r>
        <w:rPr>
          <w:rFonts w:ascii="Arial" w:cs="Arial" w:eastAsia="Arial" w:hAnsi="Arial"/>
          <w:i/>
          <w:iCs/>
          <w:color w:val="6B7280"/>
          <w:sz w:val="18"/>
          <w:szCs w:val="18"/>
        </w:rPr>
        <w:t xml:space="preserve">Table 4-2. HBF Five-Axis Operational Comparison: EAI vs PAI</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5. Dedicated Equipment — Transform Engine Hardware Design</w:t>
      </w:r>
    </w:p>
    <w:p>
      <w:pPr>
        <w:spacing w:after="80" w:before="80"/>
        <w:jc w:val="both"/>
      </w:pPr>
      <w:r>
        <w:rPr>
          <w:rFonts w:ascii="Arial" w:cs="Arial" w:eastAsia="Arial" w:hAnsi="Arial"/>
          <w:color w:val="111827"/>
          <w:sz w:val="22"/>
          <w:szCs w:val="22"/>
        </w:rPr>
        <w:t xml:space="preserve">The Dedicated Equipment is the core transform engine between HBM (physical lanes) and HBF (semantic fabric). It exists in both EAI (E2E Center) and PAI (AI Data Center) deployments, following the same 3-block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5.1 3-Block Hardware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Block</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Function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Implementation</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Block 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384 optical lanes → PAI 8ch (or EAI 16ch) de-mux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(Xilinx UltraScale+ recommended)</w:t>
            </w:r>
          </w:p>
        </w:tc>
      </w:tr>
      <w:tr>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Block 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output → 24-core Bundle (PAI/EAI → AAI)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or custom ASIC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Block C</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Cube Write-Back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AsAI result → HBF Cube address mapping + M-Axis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Custom ASIC recommended</w:t>
            </w:r>
          </w:p>
        </w:tc>
      </w:tr>
    </w:tbl>
    <w:p>
      <w:pPr>
        <w:spacing w:after="120" w:before="60"/>
        <w:jc w:val="center"/>
      </w:pPr>
      <w:r>
        <w:rPr>
          <w:rFonts w:ascii="Arial" w:cs="Arial" w:eastAsia="Arial" w:hAnsi="Arial"/>
          <w:i/>
          <w:iCs/>
          <w:color w:val="6B7280"/>
          <w:sz w:val="18"/>
          <w:szCs w:val="18"/>
        </w:rPr>
        <w:t xml:space="preserve">Table 5-1. Dedicated Equipment 3-Block Hardware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5.2 Block A — DEMUX Engine Design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 192 cores × 800Gbps]  [Node_8 Face C: 192 cores × 800Gbps]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Fixed ribbon cable (no connectors, factory-fused) → DEMUX Engine (FPGA)</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Lane grouping: 48 lanes/ch × 8 groups  |  EAI extension: 24 lanes/ch × 16 groups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Per-channel independent clock domain (PLL)  |  Non-collision: Core(ri) ∩ Core(rj) =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Processing latency target: &lt; 2ns (hardwired)  |  Faulty core auto-exclusion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Output → PAI: [8-ch cognition bus]  OR  EAI: [16-ch Dual E2E bus]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5.3 EAI-Specific — 16-Channel Dual E2E Physical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EAI (E2E Center) only: The perception plane (E2E #1, CH1-CH8) and control plane (E2E #2, CH9-CH16) are physically isolated in separate core groups within the same MOCT ribbon. E2E #1 failure does not propagate to E2E #2. CH11 (Safety Override) uses independent power + hardwired relay.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Isolation Item</w:t>
            </w:r>
          </w:p>
        </w:tc>
        <w:tc>
          <w:tcPr>
            <w:tcW w:type="dxa" w:w="3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#1 Perception Plane</w:t>
            </w:r>
          </w:p>
        </w:tc>
        <w:tc>
          <w:tcPr>
            <w:tcW w:type="dxa" w:w="38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#2 Control Plane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core allocation</w:t>
            </w:r>
          </w:p>
        </w:tc>
        <w:tc>
          <w:tcPr>
            <w:tcW w:type="dxa" w:w="35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Cores #1–#24 (ribbon upper group)</w:t>
            </w:r>
          </w:p>
        </w:tc>
        <w:tc>
          <w:tcPr>
            <w:tcW w:type="dxa" w:w="38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Cores #25–#48 (ribbon lower group)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Main PSU</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Backup UPS + supercapacitor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Clock source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PTP master clock</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Independent Crystal OSC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Fault propagation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#1 independent failure allowed</w:t>
            </w:r>
          </w:p>
        </w:tc>
        <w:tc>
          <w:tcPr>
            <w:tcW w:type="dxa" w:w="38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#2 independent (structural guarantee)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w:t>
            </w:r>
          </w:p>
        </w:tc>
        <w:tc>
          <w:tcPr>
            <w:tcW w:type="dxa" w:w="386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Indep. power + 30s+ self-sustained</w:t>
            </w:r>
          </w:p>
        </w:tc>
      </w:tr>
    </w:tbl>
    <w:p>
      <w:pPr>
        <w:spacing w:after="120" w:before="60"/>
        <w:jc w:val="center"/>
      </w:pPr>
      <w:r>
        <w:rPr>
          <w:rFonts w:ascii="Arial" w:cs="Arial" w:eastAsia="Arial" w:hAnsi="Arial"/>
          <w:i/>
          <w:iCs/>
          <w:color w:val="6B7280"/>
          <w:sz w:val="18"/>
          <w:szCs w:val="18"/>
        </w:rPr>
        <w:t xml:space="preserve">Table 5-2. EAI Dual E2E Physical Isolation Requirements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6. Multimedia Multi-Channel SEU Synchronization Hardware</w:t>
      </w:r>
    </w:p>
    <w:p>
      <w:pPr>
        <w:spacing w:after="80" w:before="80"/>
        <w:jc w:val="both"/>
      </w:pPr>
      <w:r>
        <w:rPr>
          <w:rFonts w:ascii="Arial" w:cs="Arial" w:eastAsia="Arial" w:hAnsi="Arial"/>
          <w:color w:val="111827"/>
          <w:sz w:val="22"/>
          <w:szCs w:val="22"/>
        </w:rPr>
        <w:t xml:space="preserve">This 4-stage synchronization pipeline integrates 8-channel (PAI) or 16-channel (EAI) inputs into a single cognitive object (SEU). Because each channel has heterogeneous data rates, latency characteristics, and interfaces, a common time-slot synchronization layer is mandatory.</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6.1 SEU Synchronization Pipeline (4 Stages)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1] Master Clock: PTP IEEE 1588v2 — Grand Master → each channel receiver (accuracy &lt; 100ns)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2] SEU Window Generator: 0.8–1.5 s adaptive slot boundary signal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Inject slot timestamp into each channel receive buffer  |  Align to CH1 frame boundary</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3] Per-channel independent receive buffer (8 or 16 parallel)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FIFO + timestamp queue  |  Flush on slot boundary  |  Missing channel: null + MISSING_FLAG</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4] SEU Assembly Engine → HBM DMA write → Meta Abstraction → HBF Cube synthesis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 : Timestamp_ns : ChannelHash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M-Axis: initialized empty; populated by AAI/AsAI</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6.2 Adaptive SEU Window Size Control</w:t>
      </w:r>
    </w:p>
    <w:p>
      <w:pPr>
        <w:pStyle w:val="ListParagraph"/>
        <w:numPr>
          <w:ilvl w:val="0"/>
          <w:numId w:val="2"/>
        </w:numPr>
        <w:spacing w:after="60" w:before="60"/>
      </w:pPr>
      <w:r>
        <w:rPr>
          <w:rFonts w:ascii="Arial" w:cs="Arial" w:eastAsia="Arial" w:hAnsi="Arial"/>
          <w:color w:val="111827"/>
          <w:sz w:val="22"/>
          <w:szCs w:val="22"/>
        </w:rPr>
        <w:t xml:space="preserve">Default: 1.0 s (static mode)</w:t>
      </w:r>
    </w:p>
    <w:p>
      <w:pPr>
        <w:pStyle w:val="ListParagraph"/>
        <w:numPr>
          <w:ilvl w:val="0"/>
          <w:numId w:val="2"/>
        </w:numPr>
        <w:spacing w:after="60" w:before="60"/>
      </w:pPr>
      <w:r>
        <w:rPr>
          <w:rFonts w:ascii="Arial" w:cs="Arial" w:eastAsia="Arial" w:hAnsi="Arial"/>
          <w:color w:val="111827"/>
          <w:sz w:val="22"/>
          <w:szCs w:val="22"/>
        </w:rPr>
        <w:t xml:space="preserve">CH4 Biometric rapid change detected → shrink to 0.8 s (capture high-resolution events)</w:t>
      </w:r>
    </w:p>
    <w:p>
      <w:pPr>
        <w:pStyle w:val="ListParagraph"/>
        <w:numPr>
          <w:ilvl w:val="0"/>
          <w:numId w:val="2"/>
        </w:numPr>
        <w:spacing w:after="60" w:before="60"/>
      </w:pPr>
      <w:r>
        <w:rPr>
          <w:rFonts w:ascii="Arial" w:cs="Arial" w:eastAsia="Arial" w:hAnsi="Arial"/>
          <w:color w:val="111827"/>
          <w:sz w:val="22"/>
          <w:szCs w:val="22"/>
        </w:rPr>
        <w:t xml:space="preserve">All-channel change rate below threshold → extend to 1.5 s (prevent unnecessary cube generation)</w:t>
      </w:r>
    </w:p>
    <w:p>
      <w:pPr>
        <w:pStyle w:val="ListParagraph"/>
        <w:numPr>
          <w:ilvl w:val="0"/>
          <w:numId w:val="2"/>
        </w:numPr>
        <w:spacing w:after="60" w:before="60"/>
      </w:pPr>
      <w:r>
        <w:rPr>
          <w:rFonts w:ascii="Arial" w:cs="Arial" w:eastAsia="Arial" w:hAnsi="Arial"/>
          <w:color w:val="111827"/>
          <w:sz w:val="22"/>
          <w:szCs w:val="22"/>
        </w:rPr>
        <w:t xml:space="preserve">EAI control plane (CH9–CH16): independent window — operates regardless of perception window</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7. PAI AI Data Center — Dedicated Design Considerations</w:t>
      </w:r>
    </w:p>
    <w:p>
      <w:pPr>
        <w:spacing w:after="80" w:before="80"/>
        <w:jc w:val="both"/>
      </w:pPr>
      <w:r>
        <w:rPr>
          <w:rFonts w:ascii="Arial" w:cs="Arial" w:eastAsia="Arial" w:hAnsi="Arial"/>
          <w:color w:val="111827"/>
          <w:sz w:val="22"/>
          <w:szCs w:val="22"/>
        </w:rPr>
        <w:t xml:space="preserve">When PAI is deployed in an AI data center, EAI-specific elements (CH11 Safety Override, weatherproof enclosure, etc.) are not applied. The design is optimized for high-density processing and concurrent operation of multiple PAI instances.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7.1 Design Differences: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Design 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Channel count</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16-channel Dual E2E</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8-channel single E2E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Safety Override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CH11 indep. power+relay required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Not applied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Environmental rating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IP54+, −10°C to +60°C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standard (20–25°C)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Ribbon cable length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5 m+ (outdoor pole installation)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1–3 m (server rack wiring)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Parallel instances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Robot/drone unit (1:1)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PAI-1, PAI-2, … N instances concurrent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Primary M-Axis use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autonomy growth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PoE++ or independent DC + UPS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PDU standard power</w:t>
            </w:r>
          </w:p>
        </w:tc>
      </w:tr>
    </w:tbl>
    <w:p>
      <w:pPr>
        <w:spacing w:after="120" w:before="60"/>
        <w:jc w:val="center"/>
      </w:pPr>
      <w:r>
        <w:rPr>
          <w:rFonts w:ascii="Arial" w:cs="Arial" w:eastAsia="Arial" w:hAnsi="Arial"/>
          <w:i/>
          <w:iCs/>
          <w:color w:val="6B7280"/>
          <w:sz w:val="18"/>
          <w:szCs w:val="18"/>
        </w:rPr>
        <w:t xml:space="preserve">Table 7-1. EAI (E2E Center) vs PAI (AI Data Center) Design Differences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7.2 Parallel Multi-Instance PAI Architecture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B/C: 192 optical cores × 2 faces = 384 Cube lanes]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lane → independent PAI instance allocation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Inter-instance non-collision: Core(ri) ∩ Core(rj) = ∅ (physical guarantee)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PAI-1, PAI-2, ..., PAI-N (independent 8-channel each, independent T-Axis + M-Axis)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PAI → 24-core Bundle → D12 AAI node</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8.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Validation Layer</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Pass Criterion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Methodology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WORM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Overwrite block</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100% physical block</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Fault injection test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Timing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Inter-channel sync</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&lt; 1μs (99.99%)</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Oscilloscope + PTP analyzer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HBF ACL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Access violation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violations (100M-op)</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Formal verification + fuzzing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Non-collision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Core isolation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Math proof + measured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Collision detector insert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SEU Completeness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Missing channel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(excl. optional ch)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simultaneous inject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Power failure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30s+ self-sustained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Power cut scenario</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E2E Isolation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Plane separation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 failure → #2 100% independent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Staged fault injection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800G Stability</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 Tx 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 &lt; 10⁻¹²</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BERT 72h+ measurement</w:t>
            </w:r>
          </w:p>
        </w:tc>
      </w:tr>
    </w:tbl>
    <w:p>
      <w:pPr>
        <w:spacing w:after="120" w:before="60"/>
        <w:jc w:val="center"/>
      </w:pPr>
      <w:r>
        <w:rPr>
          <w:rFonts w:ascii="Arial" w:cs="Arial" w:eastAsia="Arial" w:hAnsi="Arial"/>
          <w:i/>
          <w:iCs/>
          <w:color w:val="6B7280"/>
          <w:sz w:val="18"/>
          <w:szCs w:val="18"/>
        </w:rPr>
        <w:t xml:space="preserve">Table 8-1. Layer-by-Layer Validation Items and Pass Criteria</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9. Conclusion and Future Document Proposals</w:t>
      </w:r>
    </w:p>
    <w:p>
      <w:pPr>
        <w:spacing w:after="80" w:before="80"/>
        <w:jc w:val="both"/>
      </w:pPr>
      <w:r>
        <w:rPr>
          <w:rFonts w:ascii="Arial" w:cs="Arial" w:eastAsia="Arial" w:hAnsi="Arial"/>
          <w:color w:val="111827"/>
          <w:sz w:val="22"/>
          <w:szCs w:val="22"/>
        </w:rPr>
        <w:t xml:space="preserve">This document has concretized the Cognition Cube hardware design through three key corrections and enhancements:</w:t>
      </w:r>
    </w:p>
    <w:p>
      <w:pPr>
        <w:pStyle w:val="ListParagraph"/>
        <w:numPr>
          <w:ilvl w:val="0"/>
          <w:numId w:val="3"/>
        </w:numPr>
        <w:spacing w:after="60" w:before="60"/>
      </w:pPr>
      <w:r>
        <w:rPr>
          <w:rFonts w:ascii="Arial" w:cs="Arial" w:eastAsia="Arial" w:hAnsi="Arial"/>
          <w:color w:val="111827"/>
          <w:sz w:val="22"/>
          <w:szCs w:val="22"/>
        </w:rPr>
        <w:t xml:space="preserve">Physical transmission speed correction: 1Tbps (peak requirement) → 800Gbps (realistic, within 800G pluggable technology range).</w:t>
      </w:r>
    </w:p>
    <w:p>
      <w:pPr>
        <w:pStyle w:val="ListParagraph"/>
        <w:numPr>
          <w:ilvl w:val="0"/>
          <w:numId w:val="3"/>
        </w:numPr>
        <w:spacing w:after="60" w:before="60"/>
      </w:pPr>
      <w:r>
        <w:rPr>
          <w:rFonts w:ascii="Arial" w:cs="Arial" w:eastAsia="Arial" w:hAnsi="Arial"/>
          <w:color w:val="111827"/>
          <w:sz w:val="22"/>
          <w:szCs w:val="22"/>
        </w:rPr>
        <w:t xml:space="preserve">Deployment location clarification: EAI at E2E Center (O8/D12 nodes), PAI at AI Data Center — distinct design criteria formally separated at the architecture level.</w:t>
      </w:r>
    </w:p>
    <w:p>
      <w:pPr>
        <w:pStyle w:val="ListParagraph"/>
        <w:numPr>
          <w:ilvl w:val="0"/>
          <w:numId w:val="3"/>
        </w:numPr>
        <w:spacing w:after="60" w:before="60"/>
      </w:pPr>
      <w:r>
        <w:rPr>
          <w:rFonts w:ascii="Arial" w:cs="Arial" w:eastAsia="Arial" w:hAnsi="Arial"/>
          <w:color w:val="111827"/>
          <w:sz w:val="22"/>
          <w:szCs w:val="22"/>
        </w:rPr>
        <w:t xml:space="preserve">Fixed ribbon cable premise reflected: no connectors (0dB insertion loss), single connection point, no branching — applied throughout HBM/HBF design.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9.1 Future Document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Doc No.</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Title</w:t>
            </w:r>
          </w:p>
        </w:tc>
        <w:tc>
          <w:tcPr>
            <w:tcW w:type="dxa" w:w="4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Content</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#24</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Cognition Cube Physical Spec (HBM/HBF)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register map, HBF ACL bit fields, electrical interfaces</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#25</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SEU Synchronization Protocol Spec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SEU packet format, PTP sync profile, channel completeness algo</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#26</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Dedicated Equipment FPGA/ASIC Design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DEMUX/MUX RTL, timing analysis, 800G optical interface</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#27</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PAI AI DC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Multi-instance parallel operation, rack wiring, DC power spec</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#28</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EAI E2E Center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Outdoor install, CH11 independent power, Dual E2E field validation</w:t>
            </w:r>
          </w:p>
        </w:tc>
      </w:tr>
    </w:tbl>
    <w:p>
      <w:pPr>
        <w:spacing w:after="120" w:before="60"/>
        <w:jc w:val="center"/>
      </w:pPr>
      <w:r>
        <w:rPr>
          <w:rFonts w:ascii="Arial" w:cs="Arial" w:eastAsia="Arial" w:hAnsi="Arial"/>
          <w:i/>
          <w:iCs/>
          <w:color w:val="6B7280"/>
          <w:sz w:val="18"/>
          <w:szCs w:val="18"/>
        </w:rPr>
        <w:t xml:space="preserve">Table 9-1. Future Document Proposals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6B7280"/>
                <w:sz w:val="22"/>
                <w:szCs w:val="22"/>
              </w:rPr>
              <w:t xml:space="preserve">This document is an internal technical design document of the Velsanet Architecture Group.
All design specifications are based on software MVP validation results and will be finalized through physical hardware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Velsanet Architecture Group  —  Internal Technical Document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B7280"/>
        <w:sz w:val="18"/>
        <w:szCs w:val="18"/>
      </w:rPr>
      <w:t xml:space="preserve">VELSANET  |  Cognition Cube Hardware Design  v1.1  |  EAI E2E Center / PAI AI Data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2026-05-27T12:36:51.702Z</dcterms:created>
  <dcterms:modified xsi:type="dcterms:W3CDTF">2026-05-27T12:36:51.702Z</dcterms:modified>
</cp:coreProperties>
</file>

<file path=docProps/custom.xml><?xml version="1.0" encoding="utf-8"?>
<Properties xmlns="http://schemas.openxmlformats.org/officeDocument/2006/custom-properties" xmlns:vt="http://schemas.openxmlformats.org/officeDocument/2006/docPropsVTypes"/>
</file>