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VELSANET ARCHITECTURE GROUP  |  TECHNICAL DESIGN DOCUMENT</w:t>
      </w:r>
    </w:p>
    <w:p>
      <w:pPr>
        <w:spacing w:after="160"/>
      </w:pPr>
      <w:r>
        <w:rPr>
          <w:b/>
          <w:bCs/>
          <w:i w:val="false"/>
          <w:iCs w:val="false"/>
          <w:sz w:val="28"/>
          <w:szCs w:val="28"/>
        </w:rPr>
        <w:t xml:space="preserve">WP#33 — Integration Test Plan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Multi-Node Connectivity · Fault Recovery Integration · Performance · Cross-Document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Draft — skeleton, section scopes and open items fixed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v1.2 │ 2026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System-level acceptance testing of multiple assembled O8/D12/I20 nodes operating together — node-to-node connectivity, multi-node fault recovery, throughput/latency, and cross-document consistency — distinct from WP#30 §9's single-node RTL/FPGA/ASIC validation and WP#28's single-EAI field validation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Extends WP#29 §4 (hypercube topology), §10.7.2/§10.7.10 (self-healing, Master-Standby); WP#26 §7/§9 (800G, validation pattern); WP#28 Table 6-1 (field validation pattern); WP#30 §9 (single-node validation, not duplicated); WP#31/WP#32 (schematic/PCB, cross-checked not redesigned); scope fixed at WP#29 R7 (Table 2-1/12-1)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Republic of Korea | Velsanet Architecture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note</w:t>
            </w:r>
          </w:p>
        </w:tc>
      </w:tr>
      <w:tr>
        <w:tc>
          <w:tcPr>
            <w:tcW w:type="dxa" w:w="9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is complete as a design specification (v1.2). Its scope was deliberately reworked earlier in drafting, per 창호, to avoid duplicating WP#30 §9's single-node RTL→FPGA→ASIC validation stages: WP#33 covers what only becomes testable once multiple assembled nodes exist — multi-node connectivity, multi-node self-healing/failover, system throughput, and consistency across WP#26/30/31/32. No test procedure, pass criterion, or numeric target is invented in this draft. All five remaining open items are Ready for Hardware — see Section 8.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2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R1-1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2-1 (Document Sequence) synced to current file versions: WP#29 v1.9→v1.10 (OI-29 terminology corrections), WP#30 v1.2→v1.3, WP#31 v0.8→v1.2 (this reference was already stale before this revision — the actual WP#31 file was v1.0, not v0.8), WP#32 “In progress §4/§5/§7 drafted”→v0.7 (§3–§7 drafted).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창호 — cross-document version sync.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R1-2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version updated to v1.1.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Reflects the scope of this revision.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R-1. Revision Log — 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2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R2-1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§4.2 (MAC Auto-Control Fallback Test) and a new Table 6-1 row (MOCT-DWDM Alignment Coupler verification), reflecting WP#34 §3.4.3's MOCT-DWDM Alignment Coupler (MAC). Registered as OI-33-06/OI-33-07 (both Ready for Hardware). Per WP#34 OI-34-20's cross-document registration request.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창호 — closes WP#34 OI-34-20.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R2-2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version updated to v1.2.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Reflects the scope of this revision.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R-2. Revision Log — R2</w:t>
      </w:r>
    </w:p>
    <w:p>
      <w:pPr>
        <w:pStyle w:val="Heading1"/>
        <w:spacing w:after="160" w:before="280"/>
      </w:pPr>
      <w:r>
        <w:rPr>
          <w:b/>
          <w:bCs/>
        </w:rPr>
        <w:t xml:space="preserve">Philosophy of Validation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WP#33 is the last bastion of the Velsanet network equipment design series (WP#24–32). Individual documents each guarantee consistency within their own scope, but whether that consistency survives in an actual assembled multi-node system can only be confirmed through this integration test.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is the final gate verifying that every requirement fixed at the design stage actually holds on physical hardware — catching system-level defects that no prior simulation or single-node validation could surface. The test items specified here are executable only once hardware is assembled, and their results are the final judgment of design completeness.</w:t>
      </w:r>
    </w:p>
    <w:p>
      <w:pPr>
        <w:pStyle w:val="Heading1"/>
        <w:spacing w:after="160" w:before="280"/>
      </w:pPr>
      <w:r>
        <w:rPr>
          <w:b/>
          <w:bCs/>
        </w:rPr>
        <w:t xml:space="preserve">1. Purpose and Scope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WP#33 is the system-level integration and acceptance test plan for Velsanet network equipment, testing multiple assembled O8/D12/I20 nodes operating together as a network — not a single node's internal RTL/FPGA/ASIC validation (WP#30 §9, unchanged and not duplicated here) and not a single EAI unit's field validation (WP#28 Table 6-1, unchanged and not duplicated here).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Scope includes: multi-node hypercube connectivity testing (Section 3); multi-node fault recovery and self-healing integration testing, extending WP#29 §10.7.2/§10.7.10 beyond the single-node case WP#30 §9.4 covers (Section 4); system-level performance/throughput testing (Section 5); and cross-document acceptance — confirming WP#26/WP#30/WP#31/WP#32 are mutually consistent in an actual assembled unit, not just individually correct on paper (Section 6).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Out of scope: single-node RTL simulation, FPGA bring-up, and ASIC post-silicon validation (WP#30 §9, unchanged); single-EAI-unit field validation (WP#28 Table 6-1, unchanged); the Matrix RTL, schematic, and PCB designs themselves (WP#30/31/32, unchanged — this document tests them, does not redesign them).</w:t>
      </w:r>
    </w:p>
    <w:p>
      <w:pPr>
        <w:pStyle w:val="Heading1"/>
        <w:spacing w:after="160" w:before="280"/>
      </w:pPr>
      <w:r>
        <w:rPr>
          <w:b/>
          <w:bCs/>
        </w:rPr>
        <w:t xml:space="preserve">2. Positioning in the Document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 No.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Core Content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Equipment FPGA/ASIC Design Guide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SEU1/SEU2 RTL engine templates, FPGA→ASIC migration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12 open items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EAI E2E Center Deployment Guide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Outdoor install, CH11 independent power, Dual E2E field validation (single unit)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#29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Equipment SAD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O8/D12/I20 block architecture, placement, Core Stack negotiation, O8 operational architecture, NPU-Matrix execution model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v1.10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Equipment RTL &amp; Physical Design (Switching/Routing)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switching/routing RTL, register interfaces, semiconductor physical implementation, single-node validation (§9)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sections drafted — v1.3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Schematic &amp; BOM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block diagram, component selection, power/clock distribution, 800G interface, BOM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sections drafted — v1.2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PCB Layout Design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Board-level component placement, high-speed trace routing, thermal design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sections drafted — v0.7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 #33 (this document)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 Plan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Multi-node connectivity, multi-node fault recovery, system performance, cross-document acceptance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v1.2, 7 open items (Ready for Hardware)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2-1. Document Sequence — Updated at WP#33 (skeleton)</w:t>
      </w:r>
    </w:p>
    <w:p>
      <w:pPr>
        <w:pStyle w:val="Heading1"/>
        <w:spacing w:after="160" w:before="280"/>
      </w:pPr>
      <w:r>
        <w:rPr>
          <w:b/>
          <w:bCs/>
        </w:rPr>
        <w:t xml:space="preserve">3. Multi-Node Connectivity Test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Verifying actual hypercube-conformant connectivity between assembled nodes against the topology fixed at WP#29 §4 and the deployment contexts established at WP#27/WP#28 (AI Data Center and E2E Center).</w:t>
      </w:r>
    </w:p>
    <w:p>
      <w:pPr>
        <w:pStyle w:val="Heading2"/>
        <w:spacing w:after="160" w:before="280"/>
      </w:pPr>
      <w:r>
        <w:rPr>
          <w:b/>
          <w:bCs/>
        </w:rPr>
        <w:t xml:space="preserve">3.1 Node Combination and Mode Rules (New — reflects WP#29 R10)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 창호, connectivity tests must additionally confirm each node's Mode A/B status (WP#29 §10.7.4) is compatible with its role in the tested connection, per §10.7.10's new Master/Standby restriction (WP#29 R10 — Master/Standby nodes must be Mode B; Mode A remains valid for ordinary same-tier traffic).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Node Combination</w:t>
            </w:r>
          </w:p>
        </w:tc>
        <w:tc>
          <w:tcPr>
            <w:tcW w:type="dxa" w:w="2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45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 Requirement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O8 ↔ O8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tier (city–city)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Either node may be Mode A (PAI/EAI attached) for ordinary traffic; a node acting as Master/Standby for this link must be Mode B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O8 ↔ D12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Upward (city → region)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O8 node, when serving as Master/Standby for this uplink, must be Mode B — not simply because it connects upward, but because the Master/Standby role itself requires Mode B (WP#29 §10.7.10)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D12 ↔ D12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tier (region–region)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Either node may be Mode A (AAI attached) for ordinary traffic; Master/Standby role requires Mode B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D12 ↔ I20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Upward (region → nation)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D12 node, when serving as Master/Standby for this uplink, must be Mode B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I20 ↔ I20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tier (nation–nation)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Either node may be Mode A (AsAI attached) for ordinary traffic; Master/Standby role requires Mode B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3-1. Node Combination and Mode A/B Requirements — confirmed per 창호, reflects WP#29 R10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[상세 미정 — 차후 세션에서 확정] Specific test node counts, topology configurations, and pass criteria (e.g. what constitutes verified hypercube-conformant connectivity at the physical layer) are not yet drafted — depends on an actual multi-node test bed, not yet defined at the architecture-record level.</w:t>
      </w:r>
    </w:p>
    <w:p>
      <w:pPr>
        <w:pStyle w:val="Heading1"/>
        <w:spacing w:after="160" w:before="280"/>
      </w:pPr>
      <w:r>
        <w:rPr>
          <w:b/>
          <w:bCs/>
        </w:rPr>
        <w:t xml:space="preserve">4. Fault Recovery / Self-Healing Integration Test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Multi-node exercise of WP#29 §10.7.2 (self-healing, alternate-path activation) and §10.7.10 (Master-Standby active failover), which are inherently multi-node mechanisms — a hypercube-neighbor standby assuming a failed master's role cannot be verified on a single node in isolation, unlike WP#30 §9.4's single-node field validation of the underlying MONITOR_CH/NPU mechanism.</w:t>
      </w:r>
    </w:p>
    <w:p>
      <w:pPr>
        <w:pStyle w:val="Heading2"/>
        <w:spacing w:after="160" w:before="280"/>
      </w:pPr>
      <w:r>
        <w:rPr>
          <w:b/>
          <w:bCs/>
        </w:rPr>
        <w:t xml:space="preserve">4.1 Mode B Verification for Master/Standby (New — reflects WP#29 R10)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 창호, this test explicitly verifies: (a) O8↔D12 uplinks — the O8 node designated Master or Standby for the uplink has no PAI/EAI attached (pure Mode B, no neuron/nervous-system structure present, per 창호's rationale); (b) D12↔I20 uplinks — the D12 node designated Master or Standby has no AAI attached; (c) same-tier connections (O8↔O8, D12↔D12, I20↔I20) — connection succeeds normally regardless of the connected nodes' Mode A/B status, since Mode A validity is not restricted for ordinary same-tier traffic, only for the Master/Standby role.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[상세 미정 — 차후 세션에서 확정] Fault-injection method for multi-node scenarios (e.g. how a link is actually severed between two assembled nodes in a test bed), recovery-time measurement procedure, and pass criteria are not yet drafted — this extends WP#30 OI-30-20 (single-node self-healing pass criteria, still open) to the multi-node case. Mode B verification method (e.g. querying MONITOR_CONFIG_REG's attachment-detection state, WP#29 §10.7.4.3) is also not yet drafted.</w:t>
      </w:r>
    </w:p>
    <w:p>
      <w:pPr>
        <w:pStyle w:val="Heading2"/>
        <w:spacing w:after="160" w:before="280"/>
      </w:pPr>
      <w:r>
        <w:rPr>
          <w:b/>
          <w:bCs/>
        </w:rPr>
        <w:t xml:space="preserve">4.2 MAC Auto-Control Fallback Test (New — reflects WP#34 §3.4.3.5/OI-34-16/OI-34-20)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D12/I20 units equipped with the MOCT-DWDM Alignment Coupler (MAC, WP#34 §3.4.3), this test verifies that a MAC auto-control failure (actuator fault, sensor disagreement, or non-convergent correction) correctly surfaces as a MONITOR_EVENT_REG event and triggers the existing MONITOR_CH → NPU → alternate-path/handover pipeline (WP#29 §10.7.11, WP#30 §3.1) — not a separate, untested escalation path, per WP#34's OI-34-16 correction that no new architecture is required here.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[상세 미정 — 차후 세션에서 확정] Fault-injection method for MAC auto-control failure (e.g. deliberately inducing actuator fault or sensor disagreement in a test bed), the specific MONITOR_EVENT_REG bit/ACTION value it should map to (still open per WP#34 OI-34-16), and pass criteria are not yet drafted. This extends §4.1's Mode B verification pattern to the MAC-specific case.</w:t>
      </w:r>
    </w:p>
    <w:p>
      <w:pPr>
        <w:pStyle w:val="Heading1"/>
        <w:spacing w:after="160" w:before="280"/>
      </w:pPr>
      <w:r>
        <w:rPr>
          <w:b/>
          <w:bCs/>
        </w:rPr>
        <w:t xml:space="preserve">5. Performance / Throughput Test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Scope: system-level 800G throughput and latency measurement across multiple connected nodes, building on WP#26 §7's 800Gbps/core physical-layer contract and WP#30 §8's timing budgets — but measured end-to-end across an assembled multi-node path, not per-component as in WP#30 §8.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[상세 미정 — 차후 세션에서 확정] Test topology, traffic generation method, and throughput/latency pass criteria are not yet drafted — depends on WP#30 OI-30-16 (Matrix switching latency budget, still open), since system-level latency cannot be meaningfully bounded until the component-level budget is fixed.</w:t>
      </w:r>
    </w:p>
    <w:p>
      <w:pPr>
        <w:pStyle w:val="Heading1"/>
        <w:spacing w:after="160" w:before="280"/>
      </w:pPr>
      <w:r>
        <w:rPr>
          <w:b/>
          <w:bCs/>
        </w:rPr>
        <w:t xml:space="preserve">6. Cross-Document Acceptance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Scope: confirming WP#26, WP#30, WP#31, and WP#32 are mutually consistent in an actual assembled unit, following WP#28 Table 6-1's field-validation-of-a-specification-guarantee pattern (that document confirmed Dual E2E isolation held in installed hardware, not just on paper; this section applies the same logic across four documents instead of one).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Documents</w:t>
            </w:r>
          </w:p>
        </w:tc>
        <w:tc>
          <w:tcPr>
            <w:tcW w:type="dxa" w:w="43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Confirms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SEU1 RTL ↔ Matrix RTL interface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WP#26 §4 vs. WP#30 §4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SEU1 engine actually interfaces correctly with the Matrix switch fabric, per WP#30 §4's register mapping (Tables 4-1–4-4)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 ↔ PCB placement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WP#31 §8 vs. WP#32 §3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part listed in the BOM is actually placeable per WP#32's board layout, once WP#32 §3 is resolved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Timing budget ↔ signal integrity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WP#30 §8 vs. WP#32 §4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800G PAM4 traces on the actual PCB meet WP#30's timing budget, not just WP#32's industry-standard routing targets (WP#32 OI-32-02)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Single-unit field validation ↔ multi-node scenario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WP#28 Table 6-1 vs. WP#33 §4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WP#28's single-EAI Dual E2E isolation guarantee still holds when that unit is one of several nodes under multi-node fault conditions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MOCT-DWDM Alignment Coupler (MAC) verification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WP#34 §3.4.3 vs. WP#33 §4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 alignment/insertion-loss at DWDM installation meets WP#34 Table 3-4c's targets in an actual assembled D12/I20 unit, and MAC auto-control fallback (WP#34 OI-34-16) correctly surfaces through the existing MONITOR_CH/NPU pipeline rather than only on paper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6-1. Cross-Document Acceptance Checks — confirmed per 창호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[상세 미정 — 차후 세션에서 확정] Specific test procedures and pass/fail criteria for each row of Table 6-1 are not yet drafted — this table fixes what must be checked, not yet how.</w:t>
      </w:r>
    </w:p>
    <w:p>
      <w:pPr>
        <w:pStyle w:val="Heading1"/>
        <w:spacing w:after="160" w:before="280"/>
      </w:pPr>
      <w:r>
        <w:rPr>
          <w:b/>
          <w:bCs/>
        </w:rPr>
        <w:t xml:space="preserve">7. Open Items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506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Open Item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Multi-node test bed configuration, node counts, and connectivity pass criteria not defined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Hardware — structure fixed at §3; parameters confirmed once test bed exists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Multi-node fault-injection method, recovery-time measurement, and pass criteria not defined — extends WP#30 OI-30-20 to multi-node case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Hardware — fault scenarios fixed at §4.1; injection method/instrumentation is hardware-environment-dependent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 B verification method for Master/Standby nodes (e.g. querying MONITOR_CONFIG_REG attachment state) not defined — reflects WP#29 R10/OI-29-24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Hardware — tied to WP#29 OI-29-24; verification method follows once hardware register access is defined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System-level throughput/latency test topology and pass criteria not defined — blocked on WP#30 OI-30-16 (component-level latency budget)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(Ready for Hardware) — drafting possible once both hardware assembly and WP#30 OI-30-16 resolve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OI-33-04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 test procedures for each Cross-Document Acceptance check (Table 6-1) not yet drafted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Hardware — check items fixed at Table 6-1; specific procedures defined against an actual assembled unit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 verification test procedure (Table 6-1's new row) — how to measure MAC alignment/insertion-loss against WP#34 Table 3-4c's targets on an actual assembled D12/I20 unit — not yet drafted.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Hardware — check item fixed at Table 6-1; procedure defined against an actual assembled unit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OI-33-07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5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 auto-control fallback fault-injection method, target MONITOR_EVENT_REG mapping (depends on WP#34 OI-34-16, still open), and pass criteria not yet drafted.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Hardware — scope fixed at §4.2; depends on WP#34 OI-34-16 resolving first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Table 7-1. WP#33 Open Items — v1.2 (7 open items; OI-33-06/OI-33-07 new, reflect WP#34 §3.4.3 MAC integration)</w:t>
      </w:r>
    </w:p>
    <w:p>
      <w:pPr>
        <w:pStyle w:val="Heading1"/>
        <w:spacing w:after="160" w:before="280"/>
      </w:pPr>
      <w:r>
        <w:rPr>
          <w:b/>
          <w:bCs/>
        </w:rPr>
        <w:t xml:space="preserve">8. Conclusion and Next Steps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§3.1 and §4.1 carry WP#29 R10's Mode B requirement for Master/Standby nodes: Table 3-1 fixes which node combinations require Mode B (Master/Standby role only) versus permitting Mode A freely (ordinary same-tier traffic), and §4.1 states the specific verification intent for O8↔D12 and D12↔I20 uplinks. This reworked scope (originally would have duplicated WP#30 §9's single-node validation) carries the multi-node-specific constraints that single-node testing structurally cannot verify.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revision (v1.2) adds two items reflecting WP#34's MOCT-DWDM Alignment Coupler (MAC, §3.4.3): OI-33-06 registers a MAC verification procedure in Table 6-1 (Cross-Document Acceptance), and OI-33-07 adds a new §4.2 MAC auto-control fallback test, confirming a MAC failure correctly reuses the existing MONITOR_CH/NPU pipeline (WP#34 OI-34-16) rather than requiring separate validation of a new escalation path. Both are Ready for Hardware, consistent with this document's existing items. Seven open items remain in total, all Ready for Hardware — their resolution is contingent on the availability of an actual multi-node test bed, not on further architectural design work. These items constitute the preconditions for commencing integration testing, not gaps in the design documentation itself. WP#33 remains v1.2 (Complete) as the living integration-test document in the WP#24–34 design series, establishing the validation framework that will be executed once physical hardware is assembled. The document series' governing principle — that all specifications are finalized through staged physical hardware validation — is hereby reflected in WP#33's status as the last bastion of system-level consistency verification.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Velsanet Architecture Group  —  Internal Technical Document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2026-07-11T08:42:00.582Z</dcterms:created>
  <dcterms:modified xsi:type="dcterms:W3CDTF">2026-07-11T08:42:00.606Z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