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WP#26 — Dedicated Equipment FPGA/ASIC Design Guide</w:t>
      </w:r>
    </w:p>
    <w:p>
      <w:pPr>
        <w:spacing w:after="160" w:before="40"/>
        <w:jc w:val="center"/>
      </w:pPr>
      <w:r>
        <w:rPr>
          <w:i/>
          <w:iCs/>
          <w:color w:val="595959"/>
          <w:sz w:val="18"/>
          <w:szCs w:val="18"/>
        </w:rPr>
        <w:t xml:space="preserve">Two RTL Engine Templates — SEU1 (Common Base) / SEU2 (EAI-Only) — FPGA Prototyping to ASIC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756"/>
        <w:gridCol w:w="4349"/>
        <w:gridCol w:w="2979"/>
      </w:tblGrid>
      <w:tr>
        <w:trPr>
          <w:tblHeader/>
        </w:trPr>
        <w:tc>
          <w:tcPr>
            <w:tcW w:type="dxa" w:w="127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5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434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29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2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7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v1.7 (R8) │ 2026</w:t>
            </w:r>
          </w:p>
        </w:tc>
        <w:tc>
          <w:tcPr>
            <w:tcW w:type="dxa" w:w="43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WP#24 §5, §11.1; WP#25 R1 §C.16 / Table C-2; Att2 §11.1</w:t>
            </w:r>
          </w:p>
        </w:tc>
      </w:tr>
    </w:tbl>
    <w:p>
      <w:pPr>
        <w:spacing w:after="80"/>
      </w:pPr>
    </w:p>
    <w:p>
      <w:pPr>
        <w:spacing w:after="200" w:before="0"/>
        <w:jc w:val="center"/>
      </w:pPr>
      <w:r>
        <w:rPr>
          <w:color w:val="808080"/>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the SEU1/SEU2 engine templates, timing budgets, and interface definitions in this document — not confidentiality — is the mechanism by which conformance and interoperability are controlled.</w:t>
            </w:r>
          </w:p>
        </w:tc>
      </w:tr>
    </w:tbl>
    <w:p>
      <w:pPr>
        <w:spacing w:after="80"/>
      </w:pPr>
    </w:p>
    <w:p>
      <w:pPr>
        <w:pStyle w:val="Heading1"/>
        <w:spacing w:after="120" w:before="260"/>
      </w:pPr>
      <w:r>
        <w:t xml:space="preserve">Revision Log — R2 vs v1.0</w:t>
      </w:r>
    </w:p>
    <w:p>
      <w:pPr>
        <w:spacing w:after="140"/>
      </w:pPr>
      <w:r>
        <w:t xml:space="preserve">Per Velsanet document-integrity practice, revisions are addition-only: this log records what changed and why, rather than silently overwriting v1.0's content. No numeric, process-node, or micro-architectural value has been invented in this revision — every item below either (a) marks a value that has not yet been decided as explicitly Open, or (b) adds a cross-reference/register without altering any prior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rPr>
          <w:tblHeader/>
        </w:trPr>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t>
            </w:r>
          </w:p>
        </w:tc>
        <w:tc>
          <w:tcPr>
            <w:tcW w:type="dxa" w:w="57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Change</w:t>
            </w:r>
          </w:p>
        </w:tc>
        <w:tc>
          <w:tcPr>
            <w:tcW w:type="dxa" w:w="2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Inserted inline "Open — OI-nn" markers at every point where v1.0 used a qualitative placeholder ("bounded by", "mature node", "moderate") without a decided value.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qualitative placeholder and an explicit Open flag look similar in prose but function differently for a reader: the flag states plainly that no decision exists yet, rather than reading as if the document is quietly asserting one.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Flagged the optical-core numbering used in Table 5-1 ("Cores #1–24 / #25–48", carried from WP#24 Table 5-2) against WP#25 R1-3's "1 optical core = 1 SEU1 instance" (singular) as an unresolved cross-document terminology question (OI-14).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two source documents use core-counting language that has not been reconciled. WP#26 inherits the tension rather than introduces it, and is not the right place to resolve it unilaterally — that requires the WP#24 and WP#25 R1 record owners.</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 "Open Items Register," consolidating every OI-nn item raised inline into one table with owner and status. Conclusion renumbered from Section 10 to Section 11.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single register makes the document's open surface area auditable in one place, rather than requiring a full re-read to find every qualitative placeholder.</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R2-4</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three contingent, unscoped addenda (WP#26.1 / #26.2 / #26.3) to the document-sequence tables (Table 2-1, Table 10-1), distinct from WP#27/#28 which already have committed scope.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Several Open Items cluster naturally into future addenda once their underlying decisions are made. Listing them as contingent placeholders (no content yet) is honest about their status; listing them as "Proposed" with fabricated content would not be.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R3-1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10.1, "Dependency Map," ordering the 16 Open Items into a root/dependent/standalone structure per 창호's dependency chains (OI-04, OI-01, OI-06 as roots).</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Knowing which Open Items block others changes the order in which decisions should be made — resolving a root item unblocks several dependents at once. This was not derivable from the flat register alone.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R3-2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Attached a one-line technical rationale to each dependency edge, marked "inferred — confirm" since 창호 supplied the chain structure but not written rationale.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document-integrity practice, no decision (including a dependency claim) is recorded without a stated basis. Marking rationale as inferred, rather than presenting it as already confirmed, keeps the distinction between what 창호 stated and what Claude derived from it.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R4-1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Reclassified the OI-12 dependency edge from OI-06 to OI-01, per 창호's regrouping (OI-12 now in the OI-01 parallel group alongside OI-05, OI-03). The R3 "weak link" note on OI-12→OI-06 is removed, since that edge no longer exists.</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 (phase-alignment) is timing-reference behavior, which fits the completeness-window prerequisite (OI-01) better than Layer Lock arbitration priority (OI-06) — resolving the low-confidence flag raised in R3.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R4-2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Replaced the Tier 1/2/3 decision-order table with a parallel-execution Group A/B/C/D structure per 창호. Noted that OI-06 now has no dependents in the map and is no longer a blocking root.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tier framing implied a strict sequence; the group framing states directly which items can run in parallel once a prerequisite clears, which is closer to how a program would actually be scheduled. OI-06's status changed as a direct consequence of R4-1 and is called out rather than left implicit.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R5-1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Priority and Estimated Duration columns to the group structure, per 창호's estimates. Split Group D into D1 (verification-related), D2 (documentation/terminology), D3 (technical, low priority). Added Group E (OI-06, independent as of R4).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Priority and duration are program-management inputs, not architectural facts — they are recorded as 창호's estimates, not derived or invented by Claude, consistent with document-integrity practice.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R5-2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10.3, "Critical Path Estimate," identifying Group C (OI-07 → OI-08) as the longest chain at 5–10 weeks, and explicitly flagging that OI-04, OI-01, and all of Group D/E carry no duration estimate.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set of per-item durations does not by itself show total time-to-ready; the critical path is the actual answer to "how long until this is implementable," and the items still missing an estimate are exactly the ones that would change that answer most if left silent.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R6-1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10.3, "Readiness Scorecard," formalizing RTL Coding Readiness and ASIC Design Readiness at ★☆☆☆☆ each, both attributed directly to OI-04/OI-01 being open, per 창호. Added a projected-rating table showing how each score should move as specific Open Items clear.</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one-line star rating is only useful if it is traceable to a specific cause, not a general impression. Tying both ratings to the exact Open Items already identified in Sections 10.1–10.2 keeps the scorecard consistent with the rest of the register rather than a separate, re-derived judgment.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OI-14: re-read WP#25 R1 §B.9, which already states that WP#24 Table 5-2's "Cores #1–24 / #25–48" range is restated as one physically separate optical core, not a sub-group of a shared core. No conflict exists between WP#24 and WP#25 R1 — the two were never reconciled against each other when WP#26 was first drafted.</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This was found by searching the project's own source documents, not by inventing a resolution — WP#25 R1 §B.9 pre-dates WP#26 v1.0 and already contains the answer.</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OI-03: WP#25 R1 Table A-5/B-4 already specify the &lt;100ns PTP accuracy budget and its five-way decomposition (Grand Master stability, path asymmetry, residence/turnaround, timestamp granularity, margin — each individually bounded), identical for SEU1 (Domain 4) and SEU2 (Domain 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Same basis as R7-1 — the value existed in WP#25 R1 and was not carried into WP#26 v1.0's Section 6.3.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Narrowed OI-01: WP#25 R1 §A.7.3 fixes the SEU1 completeness-window duration itself (0.8s / 1.0s default / 1.5s adaptive). The remaining gap is only the RTL clock-cycle translation of that wall-clock bound at a chosen implementation clock frequency — a direct calculation once a clock is selected, not an unresolved algorithm question.</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window duration was always fixed at the algorithm level (WP#25 R1); what was actually missing was connecting that value into WP#26's RTL timing budget (Table 4-3).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R7-4</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OI-09: committed to a standard 2-flop synchronizer for the SEU1/SEU2 monitoring-tap CDC, since Section 6.1 already establishes the tap as non-functional (cross-check only, not a data path) — a 2-flop synchronizer is the standard, lowest-risk choice for that class of signal and does not require FIFO-level throughput.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This is Claude's engineering judgment, clearly distinguished from the WP#25-sourced closures above (R7-1/2/3) — offered as a proposal for 창호's confirmation, not asserted as an architectural fact.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R8-1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Drafted actual SystemVerilog RTL for OI-05 (worm_write_gate.sv) and the arbitration half of OI-06 (m_axis_layer_lock_arbiter.sv), each with a directed testbench. Compiled with a real Verilog compiler (Icarus Verilog) and simulated — both testbenches pass. Files are external to this document (Section 10.5); not reproduced inline.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Sections 10.1–10.3 (dependency maps, priority estimates, readiness scores) were planning artifacts, not resolutions. This is the first revision containing an actual executable artifact — code that compiles and a simulation that ran and passed — rather than a description of what such code should contain.</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R8-2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Split OI-06 into OI-06a (Layer Lock arbitration priority/deadlock avoidance — resolved by m_axis_layer_lock_arbiter.sv, simulated) and OI-06b (HBF ACL bit-field evaluation timing — still fully open, not addressed by the arbiter module).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original OI-06 bundled two different questions. The arbiter code resolves only the first; splitting the item prevents the RTL artifact from being read as closing more than it does.</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R8-3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Recorded explicitly that OI-01 (root), OI-04 (root), and all measurement/negotiation-dependent items (e.g., OI-02's device-specific occupancy, which requires real synthesis tooling Claude does not have access to) remain outside what Claude can resolve by further document revision, coding, or simulation — these require 창호's direct action (hardware validation, foundry negotiation) regardless of how many further revisions this document goes through.</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창호's R8 prompt: distinguishing what Claude can and cannot actually execute, rather than implying that another revision cycle would eventually reach them.</w:t>
            </w:r>
          </w:p>
        </w:tc>
      </w:tr>
    </w:tbl>
    <w:p>
      <w:pPr>
        <w:spacing w:after="80"/>
      </w:pPr>
    </w:p>
    <w:p>
      <w:pPr>
        <w:spacing w:after="160" w:before="40"/>
        <w:jc w:val="center"/>
      </w:pPr>
      <w:r>
        <w:rPr>
          <w:i/>
          <w:iCs/>
          <w:color w:val="595959"/>
          <w:sz w:val="18"/>
          <w:szCs w:val="18"/>
        </w:rPr>
        <w:t xml:space="preserve">Table R2-1. Revision Log — R2 through R8</w:t>
      </w:r>
    </w:p>
    <w:p>
      <w:pPr>
        <w:pStyle w:val="Heading1"/>
        <w:spacing w:after="120" w:before="260"/>
      </w:pPr>
      <w:r>
        <w:t xml:space="preserve">1. Purpose and Scope</w:t>
      </w:r>
    </w:p>
    <w:p>
      <w:pPr>
        <w:spacing w:after="140"/>
      </w:pPr>
      <w:r>
        <w:t xml:space="preserve">WP#26 is the implementation-facing counterpart to WP#24 (Cognition Cube Physical Spec) and WP#25 R1 (SEU1/SEU2 Synchronization Specification). Where WP#24 fixed the register maps and 3-block hardware structure of the Dedicated Equipment, and WP#25 R1 fixed the wire-level record format and timing algorithms for SEU1 and SEU2, WP#26 defines how those two structures are actually built: as two separate RTL engine templates, each carried through a FPGA prototyping stage and an ASIC production stage.</w:t>
      </w:r>
    </w:p>
    <w:p>
      <w:pPr>
        <w:spacing w:after="140"/>
      </w:pPr>
      <w:r>
        <w:t xml:space="preserve">Per WP#25 R1 Revision R1-2, SEU1 and SEU2 are not one engine with an optional extension mode — they are structurally distinct. This document reflects that decision at the hardware-implementation level: it defines two engine templates, not one configurable template. Section 4 covers the SEU1 engine (common to every PAI and every EAI instance). Section 5 covers the SEU2 engine (EAI-only, control/actuation plane).</w:t>
      </w:r>
    </w:p>
    <w:p>
      <w:pPr>
        <w:spacing w:after="140"/>
      </w:pPr>
      <w:r>
        <w:t xml:space="preserve">Scope includes: RTL-level module decomposition of both engine templates; timing budget analysis per engine and across the SEU1/SEU2 boundary; the 800G optical interface as seen from the DEMUX front end; and the migration path from FPGA prototype to ASIC production, with ASIC treated as the primary target implementation for volume deployment (Section 8).</w:t>
      </w:r>
    </w:p>
    <w:p>
      <w:pPr>
        <w:spacing w:after="140"/>
      </w:pPr>
      <w:r>
        <w:t xml:space="preserve">Out of scope: geographic/topological placement of O8/D12/I20 nodes (per WP#25 R1-4, addressed in a separate forthcoming document); the O8 Connectivity &amp; Placement Spec (spun off per WP#25 R1-5); and EDA-vendor-specific tooling instructions, which are treated as an execution-time decision outside the architecture record.</w:t>
      </w:r>
    </w:p>
    <w:p>
      <w:pPr>
        <w:pStyle w:val="Heading1"/>
        <w:spacing w:after="120" w:before="260"/>
      </w:pPr>
      <w:r>
        <w:t xml:space="preserve">2. Positioning in the Document Sequence</w:t>
      </w:r>
    </w:p>
    <w:p>
      <w:pPr>
        <w:spacing w:after="140"/>
      </w:pPr>
      <w:r>
        <w:t xml:space="preserve">This document is Doc No. WP#26 in the hardware-implementation sub-series that began with WP#24. The table below restates and updates WP#25 R1 Table C-2, marking WP#26 as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4101"/>
        <w:gridCol w:w="2451"/>
      </w:tblGrid>
      <w:tr>
        <w:trPr>
          <w:tblHeader/>
        </w:trPr>
        <w:tc>
          <w:tcPr>
            <w:tcW w:type="dxa" w:w="9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1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24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R2</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(R2) — 16 open items, Section 10</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#26.1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Macro-Architecture &amp; FSM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WORM/ACL FSM, CDC technique, physical isolation implementation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OI-05/06/09/10/11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#26.2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&amp; DFT Specification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Test-plan specifics, coverage targets, DFT strategy</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OI-08/13/15/16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#26.3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PHY Integration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SerDes/PCS/FEC implementation detail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OI-07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next</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2-1. Document Sequence — Updated at WP#26 R2</w:t>
      </w:r>
    </w:p>
    <w:p>
      <w:pPr>
        <w:pStyle w:val="Heading1"/>
        <w:spacing w:after="120" w:before="260"/>
      </w:pPr>
      <w:r>
        <w:t xml:space="preserve">3. Two-Engine Architecture Overview</w:t>
      </w:r>
    </w:p>
    <w:p>
      <w:pPr>
        <w:spacing w:after="140"/>
      </w:pPr>
      <w:r>
        <w:t xml:space="preserve">The Dedicated Equipment (WP#24 §5, 3-block structure: DEMUX Engine, MUX Engine, Cube Write-Back) is instantiated once per optical core. Because one optical core carries exactly one SEU1 instance, and EAI additionally requires a second, physically separate optical core for one SEU2 instance (WP#25 R1-3), the Dedicated Equipment itself resolves into two engine templates rather than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2"/>
        <w:gridCol w:w="3851"/>
        <w:gridCol w:w="4707"/>
      </w:tblGrid>
      <w:tr>
        <w:trPr>
          <w:tblHeader/>
        </w:trPr>
        <w:tc>
          <w:tcPr>
            <w:tcW w:type="dxa" w:w="8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Engine Template</w:t>
            </w:r>
          </w:p>
        </w:tc>
        <w:tc>
          <w:tcPr>
            <w:tcW w:type="dxa" w:w="38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Instantiated By</w:t>
            </w:r>
          </w:p>
        </w:tc>
        <w:tc>
          <w:tcPr>
            <w:tcW w:type="dxa" w:w="47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Function</w:t>
            </w:r>
          </w:p>
        </w:tc>
      </w:tr>
      <w:tr>
        <w:tc>
          <w:tcPr>
            <w:tcW w:type="dxa" w:w="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Engine</w:t>
            </w:r>
          </w:p>
        </w:tc>
        <w:tc>
          <w:tcPr>
            <w:tcW w:type="dxa" w:w="3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Every PAI (8ch) and every EAI (first 8 of 16ch, E2E #1 perception plane)</w:t>
            </w:r>
          </w:p>
        </w:tc>
        <w:tc>
          <w:tcPr>
            <w:tcW w:type="dxa" w:w="4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Common afferent structure: DEMUX → SEU1 Assembly → WORM write gate → HBF C/I/E-Axis path</w:t>
            </w:r>
          </w:p>
        </w:tc>
      </w:tr>
      <w:tr>
        <w:tc>
          <w:tcPr>
            <w:tcW w:type="dxa" w:w="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Engine</w:t>
            </w:r>
          </w:p>
        </w:tc>
        <w:tc>
          <w:tcPr>
            <w:tcW w:type="dxa" w:w="3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only (CH9–CH16, E2E #2 control plane)</w:t>
            </w:r>
          </w:p>
        </w:tc>
        <w:tc>
          <w:tcPr>
            <w:tcW w:type="dxa" w:w="4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EAI-only efferent structure: MUX → Cube Write-Back → M-Axis path → CH11 safety interface</w:t>
            </w:r>
          </w:p>
        </w:tc>
      </w:tr>
    </w:tbl>
    <w:p>
      <w:pPr>
        <w:spacing w:after="80"/>
      </w:pPr>
    </w:p>
    <w:p>
      <w:pPr>
        <w:spacing w:after="160" w:before="40"/>
        <w:jc w:val="center"/>
      </w:pPr>
      <w:r>
        <w:rPr>
          <w:i/>
          <w:iCs/>
          <w:color w:val="595959"/>
          <w:sz w:val="18"/>
          <w:szCs w:val="18"/>
        </w:rPr>
        <w:t xml:space="preserve">Table 3-1. Two-Engine Decomposition of the Dedicated Equipment</w:t>
      </w:r>
    </w:p>
    <w:p>
      <w:pPr>
        <w:spacing w:after="140"/>
      </w:pPr>
      <w:r>
        <w:t xml:space="preserve">This mirrors the physical isolation already fixed at WP#24 §5.3 (cores #1–24 vs #25–48 within one MOCT ribbon, separate power, separate clock source) and at WP#25 R1 Part A/Part B. The SEU1 and SEU2 RTL templates in Sections 4 and 5 below are the register-transfer-level realization of that same isolation boundary — they share no clock domain, no register bus, and (per Section 8) may be placed as physically separate blocks even on a single ASIC die.</w:t>
      </w:r>
    </w:p>
    <w:p>
      <w:pPr>
        <w:pStyle w:val="Heading1"/>
        <w:spacing w:after="120" w:before="260"/>
      </w:pPr>
      <w:r>
        <w:t xml:space="preserve">4. SEU1 RTL Engine Template (Common Base)</w:t>
      </w:r>
    </w:p>
    <w:p>
      <w:pPr>
        <w:spacing w:after="140"/>
      </w:pPr>
      <w:r>
        <w:t xml:space="preserve">The SEU1 engine is the single template every PAI and every EAI instantiates. It is designed once and reused without modification across both deployment contexts (WP#24 §2.1 5-layer stack applies identically to L1–L3 for both).</w:t>
      </w:r>
    </w:p>
    <w:p>
      <w:pPr>
        <w:pStyle w:val="Heading2"/>
        <w:spacing w:after="120" w:before="260"/>
      </w:pPr>
      <w:r>
        <w:t xml:space="preserve">4.1 Module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240"/>
        <w:gridCol w:w="1560"/>
      </w:tblGrid>
      <w:tr>
        <w:trPr>
          <w:tblHeader/>
        </w:trPr>
        <w:tc>
          <w:tcPr>
            <w:tcW w:type="dxa" w:w="15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Module</w:t>
            </w:r>
          </w:p>
        </w:tc>
        <w:tc>
          <w:tcPr>
            <w:tcW w:type="dxa" w:w="62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Function</w:t>
            </w:r>
          </w:p>
        </w:tc>
        <w:tc>
          <w:tcPr>
            <w:tcW w:type="dxa" w:w="15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Maps to WP#24</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Sub-block</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384 optical lanes → 8ch (PAI) or 8ch of 16 (EAI E2E #1) de-multiplex</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Block A, §5.2</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Assembly Engine</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4-stage synchronization pipeline; builds one SEU1 record per completeness window</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 WP#25 R1 Part A</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Gate</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Hardware-enforced write-once interface into HBM per-channel register set</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WORM_SECTOR_LOCK</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 Latch I/F</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Reads T-Axis Timestamp Engine output into SEU_TIMESTAMP_LATCH</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offset 0x20</w:t>
            </w:r>
          </w:p>
        </w:tc>
      </w:tr>
    </w:tbl>
    <w:p>
      <w:pPr>
        <w:spacing w:after="80"/>
      </w:pPr>
    </w:p>
    <w:p>
      <w:pPr>
        <w:spacing w:after="160" w:before="40"/>
        <w:jc w:val="center"/>
      </w:pPr>
      <w:r>
        <w:rPr>
          <w:i/>
          <w:iCs/>
          <w:color w:val="595959"/>
          <w:sz w:val="18"/>
          <w:szCs w:val="18"/>
        </w:rPr>
        <w:t xml:space="preserve">Table 4-1. SEU1 Engine — RTL Module Decomposition</w:t>
      </w:r>
    </w:p>
    <w:p>
      <w:pPr>
        <w:spacing w:after="140"/>
      </w:pPr>
      <w:r>
        <w:rPr>
          <w:b/>
          <w:bCs/>
        </w:rPr>
        <w:t xml:space="preserve">Open — OI-05: </w:t>
      </w:r>
      <w:r>
        <w:rPr>
          <w:i/>
          <w:iCs/>
        </w:rPr>
        <w:t xml:space="preserve">WORM Write Gate RTL structure is not yet chosen among a hardware FSM, a one-shot pulse circuit, or a plain lock register. WP#24 fixes the write-once </w:t>
      </w:r>
      <w:r>
        <w:t xml:space="preserve">behavior</w:t>
      </w:r>
      <w:r>
        <w:rPr>
          <w:i/>
          <w:iCs/>
        </w:rPr>
        <w:t xml:space="preserve"> (WORM_SECTOR_LOCK, hardware-set, no clear path); it does not fix the </w:t>
      </w:r>
      <w:r>
        <w:t xml:space="preserve">circuit style</w:t>
      </w:r>
      <w:r>
        <w:rPr>
          <w:i/>
          <w:iCs/>
        </w:rPr>
        <w:t xml:space="preserve"> that implements it. Decision owner: RTL architecture, proposed for WP#26.1.</w:t>
      </w:r>
    </w:p>
    <w:p>
      <w:pPr>
        <w:spacing w:after="140"/>
      </w:pPr>
      <w:r>
        <w:rPr>
          <w:b/>
          <w:bCs/>
        </w:rPr>
        <w:t xml:space="preserve">Resolved — OI-05 (drafted, R8): </w:t>
      </w:r>
      <w:r>
        <w:rPr>
          <w:i/>
          <w:iCs/>
        </w:rPr>
        <w:t xml:space="preserve">4-state FSM (IDLE → LATCH → COMMIT → LOCKED) implemented as actual SystemVerilog: worm_write_gate.sv (Section 10.5). Compiled with Icarus Verilog and simulated against a directed testbench (tb_worm_write_gate.sv) — 2 back-to-back SEU1 records, audit-pointer increment and single-cycle HBM write pulse both verified in simulation. One design assumption is flagged in the file header for 창호</w:t>
      </w:r>
      <w:r>
        <w:rPr>
          <w:i/>
          <w:iCs/>
        </w:rPr>
        <w:t xml:space="preserve">'</w:t>
      </w:r>
      <w:r>
        <w:rPr>
          <w:i/>
          <w:iCs/>
        </w:rPr>
        <w:t xml:space="preserve">s confirmation: WORM_SECTOR_LOCK is treated as a per-slot lock word in an audit trail (consistent with WORM_AUDIT_PTR advancing per record), not a single lifetime lock for the whole channel — this reading was not explicit in WP#24 and should be confirmed, not assumed correct.</w:t>
      </w:r>
    </w:p>
    <w:p>
      <w:pPr>
        <w:pStyle w:val="Heading2"/>
        <w:spacing w:after="120" w:before="260"/>
      </w:pPr>
      <w:r>
        <w:t xml:space="preserve">4.2 Interface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5"/>
        <w:gridCol w:w="1424"/>
        <w:gridCol w:w="1763"/>
        <w:gridCol w:w="5088"/>
      </w:tblGrid>
      <w:tr>
        <w:trPr>
          <w:tblHeader/>
        </w:trPr>
        <w:tc>
          <w:tcPr>
            <w:tcW w:type="dxa" w:w="108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Signal</w:t>
            </w:r>
          </w:p>
        </w:tc>
        <w:tc>
          <w:tcPr>
            <w:tcW w:type="dxa" w:w="14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176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Direction</w:t>
            </w:r>
          </w:p>
        </w:tc>
        <w:tc>
          <w:tcPr>
            <w:tcW w:type="dxa" w:w="508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optlane_in[47:0]</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 × SerDes</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lane group from MOCT fixed ribbon (48 lanes/ch × 8 groups, PAI)</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seu1_rec_out</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 (WP#25 format)</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Completed SEU1 record to HBM write path</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worm_lock_stat</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Mirrors WORM_SECTOR_LOCK bit 0 — hardware-set, no clear path</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ptp_sync_in</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80-bit</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master clock reference per WP#25 R1 sync profile</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Static (fixed per channel)</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WORM_CHAN_ID, fixed at fabrication</w:t>
            </w:r>
          </w:p>
        </w:tc>
      </w:tr>
    </w:tbl>
    <w:p>
      <w:pPr>
        <w:spacing w:after="80"/>
      </w:pPr>
    </w:p>
    <w:p>
      <w:pPr>
        <w:spacing w:after="160" w:before="40"/>
        <w:jc w:val="center"/>
      </w:pPr>
      <w:r>
        <w:rPr>
          <w:i/>
          <w:iCs/>
          <w:color w:val="595959"/>
          <w:sz w:val="18"/>
          <w:szCs w:val="18"/>
        </w:rPr>
        <w:t xml:space="preserve">Table 4-2. SEU1 Engine — Top-Level Interface Signals</w:t>
      </w:r>
    </w:p>
    <w:p>
      <w:pPr>
        <w:pStyle w:val="Heading2"/>
        <w:spacing w:after="120" w:before="260"/>
      </w:pPr>
      <w:r>
        <w:t xml:space="preserve">4.3 Timing Budget</w:t>
      </w:r>
    </w:p>
    <w:p>
      <w:pPr>
        <w:spacing w:after="140"/>
      </w:pPr>
      <w:r>
        <w:t xml:space="preserve">The SEU1 pipeline inherits the WP#24 hardwired DEMUX latency target (&lt; 2ns) and adds the SEU1 Assembly Engine's completeness-window latency, bounded by the PTP sync profile defined in WP#25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5"/>
        <w:gridCol w:w="1885"/>
        <w:gridCol w:w="6030"/>
      </w:tblGrid>
      <w:tr>
        <w:trPr>
          <w:tblHeader/>
        </w:trPr>
        <w:tc>
          <w:tcPr>
            <w:tcW w:type="dxa" w:w="14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188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Target Latency</w:t>
            </w:r>
          </w:p>
        </w:tc>
        <w:tc>
          <w:tcPr>
            <w:tcW w:type="dxa" w:w="60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4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(Block A)</w:t>
            </w:r>
          </w:p>
        </w:tc>
        <w:tc>
          <w:tcPr>
            <w:tcW w:type="dxa" w:w="18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2ns</w:t>
            </w:r>
          </w:p>
        </w:tc>
        <w:tc>
          <w:tcPr>
            <w:tcW w:type="dxa" w:w="60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per-channel independent clock domain (PLL)</w:t>
            </w:r>
          </w:p>
        </w:tc>
      </w:tr>
      <w:tr>
        <w:tc>
          <w:tcPr>
            <w:tcW w:type="dxa" w:w="14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Assembly (4-stage)</w:t>
            </w:r>
          </w:p>
        </w:tc>
        <w:tc>
          <w:tcPr>
            <w:tcW w:type="dxa" w:w="18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by completeness window</w:t>
            </w:r>
          </w:p>
        </w:tc>
        <w:tc>
          <w:tcPr>
            <w:tcW w:type="dxa" w:w="60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WP#25 R1 Part A algorithm; not a fixed constant — depends on channel data-rate heterogeneity</w:t>
            </w:r>
          </w:p>
        </w:tc>
      </w:tr>
      <w:tr>
        <w:tc>
          <w:tcPr>
            <w:tcW w:type="dxa" w:w="14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commit</w:t>
            </w:r>
          </w:p>
        </w:tc>
        <w:tc>
          <w:tcPr>
            <w:tcW w:type="dxa" w:w="18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clock cycle post-assembly</w:t>
            </w:r>
          </w:p>
        </w:tc>
        <w:tc>
          <w:tcPr>
            <w:tcW w:type="dxa" w:w="60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Hardware-set lock bit, no round-trip acknowledgment required</w:t>
            </w:r>
          </w:p>
        </w:tc>
      </w:tr>
    </w:tbl>
    <w:p>
      <w:pPr>
        <w:spacing w:after="80"/>
      </w:pPr>
    </w:p>
    <w:p>
      <w:pPr>
        <w:spacing w:after="160" w:before="40"/>
        <w:jc w:val="center"/>
      </w:pPr>
      <w:r>
        <w:rPr>
          <w:i/>
          <w:iCs/>
          <w:color w:val="595959"/>
          <w:sz w:val="18"/>
          <w:szCs w:val="18"/>
        </w:rPr>
        <w:t xml:space="preserve">Table 4-3. SEU1 Engine — Timing Budget</w:t>
      </w:r>
    </w:p>
    <w:p>
      <w:pPr>
        <w:spacing w:after="140"/>
      </w:pPr>
      <w:r>
        <w:rPr>
          <w:b/>
          <w:bCs/>
        </w:rPr>
        <w:t xml:space="preserve">Open — OI-01: </w:t>
      </w:r>
      <w:r>
        <w:rPr>
          <w:i/>
          <w:iCs/>
        </w:rPr>
        <w:t xml:space="preserve">The completeness-window latency is described only as </w:t>
      </w:r>
      <w:r>
        <w:rPr>
          <w:i/>
          <w:iCs/>
        </w:rPr>
        <w:t xml:space="preserve">"</w:t>
      </w:r>
      <w:r>
        <w:rPr>
          <w:i/>
          <w:iCs/>
        </w:rPr>
        <w:t xml:space="preserve">bounded,</w:t>
      </w:r>
      <w:r>
        <w:rPr>
          <w:i/>
          <w:iCs/>
        </w:rPr>
        <w:t xml:space="preserve">"</w:t>
      </w:r>
      <w:r>
        <w:rPr>
          <w:i/>
          <w:iCs/>
        </w:rPr>
        <w:t xml:space="preserve"> with no minimum/maximum clock-cycle figure. That figure depends on worst-case channel data-rate heterogeneity, which has not been characterized against real hardware. Decision owner: 창호 + hardware validation results (Section 9).</w:t>
      </w:r>
    </w:p>
    <w:p>
      <w:pPr>
        <w:spacing w:after="140"/>
      </w:pPr>
      <w:r>
        <w:rPr>
          <w:b/>
          <w:bCs/>
        </w:rPr>
        <w:t xml:space="preserve">Resolved — OI-01 (narrowed, R7): </w:t>
      </w:r>
      <w:r>
        <w:rPr>
          <w:i/>
          <w:iCs/>
        </w:rPr>
        <w:t xml:space="preserve">WP#25 R1 §A.7.3 fixes the window itself: default 1000ms, adaptive down to 800ms on a CH4 rapid-change trigger, adaptive up to 1500ms on sustained low change-rate across CH1–CH8. The remaining unknown is only the clock-cycle count at a chosen RTL clock frequency — cycles = window_ms × clock_Hz / 1000 — a calculation, not an open algorithm question. Still blocked on OI-04-adjacent clock-frequency selection, but no longer blocked on the window value itself.</w:t>
      </w:r>
    </w:p>
    <w:p>
      <w:pPr>
        <w:pStyle w:val="Heading2"/>
        <w:spacing w:after="120" w:before="260"/>
      </w:pPr>
      <w:r>
        <w:t xml:space="preserve">4.4 FPGA Prototype Target</w:t>
      </w:r>
    </w:p>
    <w:p>
      <w:pPr>
        <w:spacing w:after="140"/>
      </w:pPr>
      <w:r>
        <w:t xml:space="preserve">Per WP#24 Table 5-1, Block A (DEMUX Engine) is FPGA-targeted (Xilinx UltraScale+ recommended) for both prototyping and initial low-volume production. The SEU1 engine template inherits this target for its DEMUX sub-block; the SEU1 Assembly Engine and WORM Write Gate are implemented as programmable logic within the same device for prototype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4"/>
        <w:gridCol w:w="3866"/>
        <w:gridCol w:w="4070"/>
      </w:tblGrid>
      <w:tr>
        <w:trPr>
          <w:tblHeader/>
        </w:trPr>
        <w:tc>
          <w:tcPr>
            <w:tcW w:type="dxa" w:w="14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Resource</w:t>
            </w:r>
          </w:p>
        </w:tc>
        <w:tc>
          <w:tcPr>
            <w:tcW w:type="dxa" w:w="386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Estimate (per-channel instance)</w:t>
            </w:r>
          </w:p>
        </w:tc>
        <w:tc>
          <w:tcPr>
            <w:tcW w:type="dxa" w:w="407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Transceivers (SerDes)</w:t>
            </w:r>
          </w:p>
        </w:tc>
        <w:tc>
          <w:tcPr>
            <w:tcW w:type="dxa" w:w="38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 groups × 48 lanes, 800Gbps/core aggregate</w:t>
            </w:r>
          </w:p>
        </w:tc>
        <w:tc>
          <w:tcPr>
            <w:tcW w:type="dxa" w:w="4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MOCT fixed-ribbon lane grouping, WP#24 §5.2</w:t>
            </w:r>
          </w:p>
        </w:tc>
      </w:tr>
      <w:tr>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Logic (LUT) budget</w:t>
            </w:r>
          </w:p>
        </w:tc>
        <w:tc>
          <w:tcPr>
            <w:tcW w:type="dxa" w:w="38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Moderate — DEMUX control + 4-stage pipeline state machine</w:t>
            </w:r>
          </w:p>
        </w:tc>
        <w:tc>
          <w:tcPr>
            <w:tcW w:type="dxa" w:w="4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Scales with channel count, not per-lane</w:t>
            </w:r>
          </w:p>
        </w:tc>
      </w:tr>
      <w:tr>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BRAM</w:t>
            </w:r>
          </w:p>
        </w:tc>
        <w:tc>
          <w:tcPr>
            <w:tcW w:type="dxa" w:w="38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Completeness-window buffering per channel</w:t>
            </w:r>
          </w:p>
        </w:tc>
        <w:tc>
          <w:tcPr>
            <w:tcW w:type="dxa" w:w="4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Sized to worst-case heterogeneous-rate skew, WP#25 algorithm</w:t>
            </w:r>
          </w:p>
        </w:tc>
      </w:tr>
    </w:tbl>
    <w:p>
      <w:pPr>
        <w:spacing w:after="80"/>
      </w:pPr>
    </w:p>
    <w:p>
      <w:pPr>
        <w:spacing w:after="160" w:before="40"/>
        <w:jc w:val="center"/>
      </w:pPr>
      <w:r>
        <w:rPr>
          <w:i/>
          <w:iCs/>
          <w:color w:val="595959"/>
          <w:sz w:val="18"/>
          <w:szCs w:val="18"/>
        </w:rPr>
        <w:t xml:space="preserve">Table 4-4. SEU1 Engine — FPGA Resource Estimate (order-of-magnitude, prototype stage)</w:t>
      </w:r>
    </w:p>
    <w:p>
      <w:pPr>
        <w:spacing w:after="140"/>
      </w:pPr>
      <w:r>
        <w:rPr>
          <w:b/>
          <w:bCs/>
        </w:rPr>
        <w:t xml:space="preserve">Open — OI-02: </w:t>
      </w:r>
      <w:r>
        <w:rPr>
          <w:i/>
          <w:iCs/>
        </w:rPr>
        <w:t xml:space="preserve">No specific device (e.g., VU9P vs VU13P) or precise LUT/BRAM/DSP/SerDes occupancy percentage has been selected — the estimate above is order-of-magnitude only. Precise figures require RTL synthesis against a chosen device, which is a Section 9 (FPGA bring-up) activity, not yet performed.</w:t>
      </w:r>
    </w:p>
    <w:p>
      <w:pPr>
        <w:pStyle w:val="Heading2"/>
        <w:spacing w:after="120" w:before="260"/>
      </w:pPr>
      <w:r>
        <w:t xml:space="preserve">4.5 ASIC Production Path</w:t>
      </w:r>
    </w:p>
    <w:p>
      <w:pPr>
        <w:spacing w:after="140"/>
      </w:pPr>
      <w:r>
        <w:t xml:space="preserve">The SEU1 engine is the higher-volume of the two templates — it is instantiated in every PAI and every EAI, versus SEU2's EAI-only deployment. This volume profile favors migration to ASIC once the FPGA prototype passes functional and timing sign-off (Section 9), consistent with WP#24's general FPGA-for-prototype / ASIC-for-volume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1"/>
        <w:gridCol w:w="8529"/>
      </w:tblGrid>
      <w:tr>
        <w:trPr>
          <w:tblHeader/>
        </w:trPr>
        <w:tc>
          <w:tcPr>
            <w:tcW w:type="dxa" w:w="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Consideration</w:t>
            </w:r>
          </w:p>
        </w:tc>
        <w:tc>
          <w:tcPr>
            <w:tcW w:type="dxa" w:w="85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Guidance</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Partitioning</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sub-block and SEU1 Assembly Engine as a single hardened block; WORM Write Gate kept as a physically distinct, minimal-logic block reflecting its write-once, no-clear-path guarantee at the silicon level, not just the register level</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Process node</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mature, cost-optimized node is favored over a leading-edge node — SEU1's logic is control/state-machine dominated rather than compute-dominated, so density gains from a leading node have limited return relative to the SerDes/PHY cost</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target</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primarily by the 800Gbps/core SerDes interfaces, not by the assembly-engine logic; PHY IP selection dominates the power budget</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carry-over</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prototype testbenches (Section 9) are reused as the RTL regression suite for ASIC sign-off — no re-derivation of the completeness-window algorithm from WP#25 is required</w:t>
            </w:r>
          </w:p>
        </w:tc>
      </w:tr>
    </w:tbl>
    <w:p>
      <w:pPr>
        <w:spacing w:after="80"/>
      </w:pPr>
    </w:p>
    <w:p>
      <w:pPr>
        <w:spacing w:after="160" w:before="40"/>
        <w:jc w:val="center"/>
      </w:pPr>
      <w:r>
        <w:rPr>
          <w:i/>
          <w:iCs/>
          <w:color w:val="595959"/>
          <w:sz w:val="18"/>
          <w:szCs w:val="18"/>
        </w:rPr>
        <w:t xml:space="preserve">Table 4-5. SEU1 Engine — ASIC Production Considerations</w:t>
      </w:r>
    </w:p>
    <w:p>
      <w:pPr>
        <w:spacing w:after="140"/>
      </w:pPr>
      <w:r>
        <w:rPr>
          <w:b/>
          <w:bCs/>
        </w:rPr>
        <w:t xml:space="preserve">Open — OI-04: </w:t>
      </w:r>
      <w:r>
        <w:rPr>
          <w:i/>
          <w:iCs/>
        </w:rPr>
        <w:t xml:space="preserve">"</w:t>
      </w:r>
      <w:r>
        <w:rPr>
          <w:i/>
          <w:iCs/>
        </w:rPr>
        <w:t xml:space="preserve">Mature, cost-optimized node</w:t>
      </w:r>
      <w:r>
        <w:rPr>
          <w:i/>
          <w:iCs/>
        </w:rPr>
        <w:t xml:space="preserve">"</w:t>
      </w:r>
      <w:r>
        <w:rPr>
          <w:i/>
          <w:iCs/>
        </w:rPr>
        <w:t xml:space="preserve"> is a direction, not a selection — no specific process node (foundry/node family) has been chosen for either engine. See Section 8.4 for the same item stated at the cross-engine level. Decision owner: 창호 / foundry partner selection.</w:t>
      </w:r>
    </w:p>
    <w:p>
      <w:pPr>
        <w:pStyle w:val="Heading1"/>
        <w:spacing w:after="120" w:before="260"/>
      </w:pPr>
      <w:r>
        <w:t xml:space="preserve">5. SEU2 RTL Engine Template (EAI-Only, Control Plane)</w:t>
      </w:r>
    </w:p>
    <w:p>
      <w:pPr>
        <w:spacing w:after="140"/>
      </w:pPr>
      <w:r>
        <w:t xml:space="preserve">The SEU2 engine exists only where an EAI instance exists. Per WP#25 R1-2, it is not an extension of SEU1 — it is structurally distinct, the way afferent and efferent nerve roots differ in kind rather than size. The RTL template below reflects that: SEU2 is not SEU1 with additional logic gated on, it is a separate template sharing no register bus or clock domain with SEU1.</w:t>
      </w:r>
    </w:p>
    <w:p>
      <w:pPr>
        <w:pStyle w:val="Heading2"/>
        <w:spacing w:after="120" w:before="260"/>
      </w:pPr>
      <w:r>
        <w:t xml:space="preserve">5.1 Structural Differences from SEU1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6"/>
        <w:gridCol w:w="2745"/>
        <w:gridCol w:w="5489"/>
      </w:tblGrid>
      <w:tr>
        <w:trPr>
          <w:tblHeader/>
        </w:trPr>
        <w:tc>
          <w:tcPr>
            <w:tcW w:type="dxa" w:w="112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Property</w:t>
            </w:r>
          </w:p>
        </w:tc>
        <w:tc>
          <w:tcPr>
            <w:tcW w:type="dxa" w:w="27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SEU1 Engine</w:t>
            </w:r>
          </w:p>
        </w:tc>
        <w:tc>
          <w:tcPr>
            <w:tcW w:type="dxa" w:w="548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SEU2 Engine</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Deployment</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Every PAI + every EAI (E2E #1)</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only (E2E #2)</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Direction</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Afferent (sensory/perception → HBM/HBF)</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(control/actuation, HBF M-Axis → output)</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core</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Cores #1–24 (WP#24 Table 5-2)</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Cores #25–48, physically separate core group</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Main PSU</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parallel (WP#24 Table 5-2)</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Clock source</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master clock</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Crystal OSC (WP#24 Table 5-2)</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 interface</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Override — isolated island, no shared trace (WP#24 §7, Figure 7-1)</w:t>
            </w:r>
          </w:p>
        </w:tc>
      </w:tr>
    </w:tbl>
    <w:p>
      <w:pPr>
        <w:spacing w:after="80"/>
      </w:pPr>
    </w:p>
    <w:p>
      <w:pPr>
        <w:spacing w:after="160" w:before="40"/>
        <w:jc w:val="center"/>
      </w:pPr>
      <w:r>
        <w:rPr>
          <w:i/>
          <w:iCs/>
          <w:color w:val="595959"/>
          <w:sz w:val="18"/>
          <w:szCs w:val="18"/>
        </w:rPr>
        <w:t xml:space="preserve">Table 5-1. SEU1 vs SEU2 — Structural Comparison</w:t>
      </w:r>
    </w:p>
    <w:p>
      <w:pPr>
        <w:spacing w:after="140"/>
      </w:pPr>
      <w:r>
        <w:rPr>
          <w:b/>
          <w:bCs/>
        </w:rPr>
        <w:t xml:space="preserve">Open — OI-14: </w:t>
      </w:r>
      <w:r>
        <w:rPr>
          <w:i/>
          <w:iCs/>
        </w:rPr>
        <w:t xml:space="preserve">The </w:t>
      </w:r>
      <w:r>
        <w:rPr>
          <w:i/>
          <w:iCs/>
        </w:rPr>
        <w:t xml:space="preserve">"</w:t>
      </w:r>
      <w:r>
        <w:rPr>
          <w:i/>
          <w:iCs/>
        </w:rPr>
        <w:t xml:space="preserve">Optical core</w:t>
      </w:r>
      <w:r>
        <w:rPr>
          <w:i/>
          <w:iCs/>
        </w:rPr>
        <w:t xml:space="preserve">"</w:t>
      </w:r>
      <w:r>
        <w:rPr>
          <w:i/>
          <w:iCs/>
        </w:rPr>
        <w:t xml:space="preserve"> row uses WP#24 Table 5-2</w:t>
      </w:r>
      <w:r>
        <w:rPr>
          <w:i/>
          <w:iCs/>
        </w:rPr>
        <w:t xml:space="preserve">'</w:t>
      </w:r>
      <w:r>
        <w:rPr>
          <w:i/>
          <w:iCs/>
        </w:rPr>
        <w:t xml:space="preserve">s core-range language (</w:t>
      </w:r>
      <w:r>
        <w:rPr>
          <w:i/>
          <w:iCs/>
        </w:rPr>
        <w:t xml:space="preserve">"</w:t>
      </w:r>
      <w:r>
        <w:rPr>
          <w:i/>
          <w:iCs/>
        </w:rPr>
        <w:t xml:space="preserve">Cores #1–24</w:t>
      </w:r>
      <w:r>
        <w:rPr>
          <w:i/>
          <w:iCs/>
        </w:rPr>
        <w:t xml:space="preserve">"</w:t>
      </w:r>
      <w:r>
        <w:rPr>
          <w:i/>
          <w:iCs/>
        </w:rPr>
        <w:t xml:space="preserve"> / </w:t>
      </w:r>
      <w:r>
        <w:rPr>
          <w:i/>
          <w:iCs/>
        </w:rPr>
        <w:t xml:space="preserve">"</w:t>
      </w:r>
      <w:r>
        <w:rPr>
          <w:i/>
          <w:iCs/>
        </w:rPr>
        <w:t xml:space="preserve">#25–48</w:t>
      </w:r>
      <w:r>
        <w:rPr>
          <w:i/>
          <w:iCs/>
        </w:rPr>
        <w:t xml:space="preserve">"</w:t>
      </w:r>
      <w:r>
        <w:rPr>
          <w:i/>
          <w:iCs/>
        </w:rPr>
        <w:t xml:space="preserve">) without reconciling it against WP#25 R1-3</w:t>
      </w:r>
      <w:r>
        <w:rPr>
          <w:i/>
          <w:iCs/>
        </w:rPr>
        <w:t xml:space="preserve">'</w:t>
      </w:r>
      <w:r>
        <w:rPr>
          <w:i/>
          <w:iCs/>
        </w:rPr>
        <w:t xml:space="preserve">s singular framing (</w:t>
      </w:r>
      <w:r>
        <w:rPr>
          <w:i/>
          <w:iCs/>
        </w:rPr>
        <w:t xml:space="preserve">"</w:t>
      </w:r>
      <w:r>
        <w:rPr>
          <w:i/>
          <w:iCs/>
        </w:rPr>
        <w:t xml:space="preserve">1 optical core = 1 SEU1 instance</w:t>
      </w:r>
      <w:r>
        <w:rPr>
          <w:i/>
          <w:iCs/>
        </w:rPr>
        <w:t xml:space="preserve">"</w:t>
      </w:r>
      <w:r>
        <w:rPr>
          <w:i/>
          <w:iCs/>
        </w:rPr>
        <w:t xml:space="preserve">; EAI</w:t>
      </w:r>
      <w:r>
        <w:rPr>
          <w:i/>
          <w:iCs/>
        </w:rPr>
        <w:t xml:space="preserve">'</w:t>
      </w:r>
      <w:r>
        <w:rPr>
          <w:i/>
          <w:iCs/>
        </w:rPr>
        <w:t xml:space="preserve">s SEU2 as </w:t>
      </w:r>
      <w:r>
        <w:rPr>
          <w:i/>
          <w:iCs/>
        </w:rPr>
        <w:t xml:space="preserve">"</w:t>
      </w:r>
      <w:r>
        <w:rPr>
          <w:i/>
          <w:iCs/>
        </w:rPr>
        <w:t xml:space="preserve">a second, physically separate optical core</w:t>
      </w:r>
      <w:r>
        <w:rPr>
          <w:i/>
          <w:iCs/>
        </w:rPr>
        <w:t xml:space="preserve">"</w:t>
      </w:r>
      <w:r>
        <w:rPr>
          <w:i/>
          <w:iCs/>
        </w:rPr>
        <w:t xml:space="preserve">). This row is carried forward from WP#24 unmodified; the reconciliation is a cross-document question for the WP#24 and WP#25 R1 record owners, not resolved unilaterally here.</w:t>
      </w:r>
    </w:p>
    <w:p>
      <w:pPr>
        <w:spacing w:after="140"/>
      </w:pPr>
      <w:r>
        <w:rPr>
          <w:b/>
          <w:bCs/>
        </w:rPr>
        <w:t xml:space="preserve">Resolved — OI-14 (closed, R7): </w:t>
      </w:r>
      <w:r>
        <w:rPr>
          <w:i/>
          <w:iCs/>
        </w:rPr>
        <w:t xml:space="preserve">WP#25 R1 §B.9 already contains the reconciliation: EAI</w:t>
      </w:r>
      <w:r>
        <w:rPr>
          <w:i/>
          <w:iCs/>
        </w:rPr>
        <w:t xml:space="preserve">'</w:t>
      </w:r>
      <w:r>
        <w:rPr>
          <w:i/>
          <w:iCs/>
        </w:rPr>
        <w:t xml:space="preserve">s second core is stated as </w:t>
      </w:r>
      <w:r>
        <w:rPr>
          <w:i/>
          <w:iCs/>
        </w:rPr>
        <w:t xml:space="preserve">"</w:t>
      </w:r>
      <w:r>
        <w:rPr>
          <w:i/>
          <w:iCs/>
        </w:rPr>
        <w:t xml:space="preserve">corresponding to E2E #2 / cores #25–48 of WP#24 Table 5-2</w:t>
      </w:r>
      <w:r>
        <w:rPr>
          <w:i/>
          <w:iCs/>
        </w:rPr>
        <w:t xml:space="preserve">'</w:t>
      </w:r>
      <w:r>
        <w:rPr>
          <w:i/>
          <w:iCs/>
        </w:rPr>
        <w:t xml:space="preserve">s ribbon grouping, restated here as a physically separate core rather than a sub-group of one shared core.</w:t>
      </w:r>
      <w:r>
        <w:rPr>
          <w:i/>
          <w:iCs/>
        </w:rPr>
        <w:t xml:space="preserve">"</w:t>
      </w:r>
      <w:r>
        <w:rPr>
          <w:i/>
          <w:iCs/>
        </w:rPr>
        <w:t xml:space="preserve"> WP#24</w:t>
      </w:r>
      <w:r>
        <w:rPr>
          <w:i/>
          <w:iCs/>
        </w:rPr>
        <w:t xml:space="preserve">'</w:t>
      </w:r>
      <w:r>
        <w:rPr>
          <w:i/>
          <w:iCs/>
        </w:rPr>
        <w:t xml:space="preserve">s 24-count range describes the fiber-lane bundle; WP#25 R1</w:t>
      </w:r>
      <w:r>
        <w:rPr>
          <w:i/>
          <w:iCs/>
        </w:rPr>
        <w:t xml:space="preserve">'</w:t>
      </w:r>
      <w:r>
        <w:rPr>
          <w:i/>
          <w:iCs/>
        </w:rPr>
        <w:t xml:space="preserve">s </w:t>
      </w:r>
      <w:r>
        <w:rPr>
          <w:i/>
          <w:iCs/>
        </w:rPr>
        <w:t xml:space="preserve">"</w:t>
      </w:r>
      <w:r>
        <w:rPr>
          <w:i/>
          <w:iCs/>
        </w:rPr>
        <w:t xml:space="preserve">1 optical core</w:t>
      </w:r>
      <w:r>
        <w:rPr>
          <w:i/>
          <w:iCs/>
        </w:rPr>
        <w:t xml:space="preserve">"</w:t>
      </w:r>
      <w:r>
        <w:rPr>
          <w:i/>
          <w:iCs/>
        </w:rPr>
        <w:t xml:space="preserve"> is the logical unit that bundle constitutes. No cross-document conflict exists — this was a missed cross-reference in WP#26 v1.0, not an unresolved architecture question.</w:t>
      </w:r>
    </w:p>
    <w:p>
      <w:pPr>
        <w:pStyle w:val="Heading2"/>
        <w:spacing w:after="120" w:before="260"/>
      </w:pPr>
      <w:r>
        <w:t xml:space="preserve">5.2 Module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16"/>
        <w:gridCol w:w="2644"/>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Module</w:t>
            </w:r>
          </w:p>
        </w:tc>
        <w:tc>
          <w:tcPr>
            <w:tcW w:type="dxa" w:w="52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Function</w:t>
            </w:r>
          </w:p>
        </w:tc>
        <w:tc>
          <w:tcPr>
            <w:tcW w:type="dxa" w:w="26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Maps to WP#24</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 Engine</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8/16ch output → 24-core Bundle toward AAI</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Block B, §5.1</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Cube Write-Back</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AsAI result → HBF Cube address mapping + M-Axis update</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Block C, §5.1</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Interface</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control (EN 50205 Type A/B), independent power monitor</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 Figure 5-1 (safety state machine)</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Clock I/F</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Crystal OSC reference, decoupled from PTP master</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WP#24 Table 5-2</w:t>
            </w:r>
          </w:p>
        </w:tc>
      </w:tr>
    </w:tbl>
    <w:p>
      <w:pPr>
        <w:spacing w:after="80"/>
      </w:pPr>
    </w:p>
    <w:p>
      <w:pPr>
        <w:spacing w:after="160" w:before="40"/>
        <w:jc w:val="center"/>
      </w:pPr>
      <w:r>
        <w:rPr>
          <w:i/>
          <w:iCs/>
          <w:color w:val="595959"/>
          <w:sz w:val="18"/>
          <w:szCs w:val="18"/>
        </w:rPr>
        <w:t xml:space="preserve">Table 5-2. SEU2 Engine — RTL Module Decomposition</w:t>
      </w:r>
    </w:p>
    <w:p>
      <w:pPr>
        <w:spacing w:after="140"/>
      </w:pPr>
      <w:r>
        <w:rPr>
          <w:b/>
          <w:bCs/>
        </w:rPr>
        <w:t xml:space="preserve">Open — OI-06: </w:t>
      </w:r>
      <w:r>
        <w:rPr>
          <w:i/>
          <w:iCs/>
        </w:rPr>
        <w:t xml:space="preserve">Cube Write-Back</w:t>
      </w:r>
      <w:r>
        <w:rPr>
          <w:i/>
          <w:iCs/>
        </w:rPr>
        <w:t xml:space="preserve">'</w:t>
      </w:r>
      <w:r>
        <w:rPr>
          <w:i/>
          <w:iCs/>
        </w:rPr>
        <w:t xml:space="preserve">s HBF ACL bit-field evaluation timing (when in the pipeline the 5-axis ACL_PERM check occurs relative to the write) and the Layer Lock arbitration priority/deadlock-avoidance mechanism for M-Axis are not specified at RTL level — WP#24 §2 fixes the permission matrix, not the arbitration circuit. Decision owner: RTL architecture, proposed for WP#26.1.</w:t>
      </w:r>
    </w:p>
    <w:p>
      <w:pPr>
        <w:spacing w:after="140"/>
      </w:pPr>
      <w:r>
        <w:rPr>
          <w:b/>
          <w:bCs/>
        </w:rPr>
        <w:t xml:space="preserve">Resolved — OI-06a (drafted, R8 — split from OI-06): </w:t>
      </w:r>
      <w:r>
        <w:rPr>
          <w:i/>
          <w:iCs/>
        </w:rPr>
        <w:t xml:space="preserve">Layer Lock arbitration priority and deadlock avoidance implemented as actual SystemVerilog: m_axis_layer_lock_arbiter.sv (Section 10.5). Two-requester (AAI, AsAI) alternate-on-contention arbiter, simulated against a directed testbench — mutual exclusion (never both granted) and no-starvation across repeated contention both verified. OI-06b (ACL bit-field evaluation timing) is NOT resolved by this module and remains fully open — see Section 10.4.</w:t>
      </w:r>
    </w:p>
    <w:p>
      <w:pPr>
        <w:pStyle w:val="Heading2"/>
        <w:spacing w:after="120" w:before="260"/>
      </w:pPr>
      <w:r>
        <w:t xml:space="preserve">5.3 Timing Budget</w:t>
      </w:r>
    </w:p>
    <w:p>
      <w:pPr>
        <w:spacing w:after="140"/>
      </w:pPr>
      <w:r>
        <w:t xml:space="preserve">SEU2 timing is governed by its independent Crystal OSC rather than the PTP master clock used by SEU1, consistent with the physical-isolation requirement that E2E #2 failure must not propagate from or to E2E #1 (WP#24 Table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6"/>
        <w:gridCol w:w="2918"/>
        <w:gridCol w:w="5066"/>
      </w:tblGrid>
      <w:tr>
        <w:trPr>
          <w:tblHeader/>
        </w:trPr>
        <w:tc>
          <w:tcPr>
            <w:tcW w:type="dxa" w:w="137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29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Target Latency</w:t>
            </w:r>
          </w:p>
        </w:tc>
        <w:tc>
          <w:tcPr>
            <w:tcW w:type="dxa" w:w="506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3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 (Block B)</w:t>
            </w:r>
          </w:p>
        </w:tc>
        <w:tc>
          <w:tcPr>
            <w:tcW w:type="dxa" w:w="2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by 24-core Bundle uplink rate</w:t>
            </w:r>
          </w:p>
        </w:tc>
        <w:tc>
          <w:tcPr>
            <w:tcW w:type="dxa" w:w="50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or custom ASIC per WP#24 Table 5-1</w:t>
            </w:r>
          </w:p>
        </w:tc>
      </w:tr>
      <w:tr>
        <w:tc>
          <w:tcPr>
            <w:tcW w:type="dxa" w:w="13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Cube Write-Back (Block C)</w:t>
            </w:r>
          </w:p>
        </w:tc>
        <w:tc>
          <w:tcPr>
            <w:tcW w:type="dxa" w:w="2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M-Axis update commit</w:t>
            </w:r>
          </w:p>
        </w:tc>
        <w:tc>
          <w:tcPr>
            <w:tcW w:type="dxa" w:w="50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Custom ASIC recommended (WP#24 Table 5-1); Layer Lock arbitration adds one arbitration cycle</w:t>
            </w:r>
          </w:p>
        </w:tc>
      </w:tr>
      <w:tr>
        <w:tc>
          <w:tcPr>
            <w:tcW w:type="dxa" w:w="13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loop</w:t>
            </w:r>
          </w:p>
        </w:tc>
        <w:tc>
          <w:tcPr>
            <w:tcW w:type="dxa" w:w="2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30s self-sustained, independent of main-path timing</w:t>
            </w:r>
          </w:p>
        </w:tc>
        <w:tc>
          <w:tcPr>
            <w:tcW w:type="dxa" w:w="50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Supercapacitor-bound, not clock-bound (WP#24 Figure 5-1)</w:t>
            </w:r>
          </w:p>
        </w:tc>
      </w:tr>
    </w:tbl>
    <w:p>
      <w:pPr>
        <w:spacing w:after="80"/>
      </w:pPr>
    </w:p>
    <w:p>
      <w:pPr>
        <w:spacing w:after="160" w:before="40"/>
        <w:jc w:val="center"/>
      </w:pPr>
      <w:r>
        <w:rPr>
          <w:i/>
          <w:iCs/>
          <w:color w:val="595959"/>
          <w:sz w:val="18"/>
          <w:szCs w:val="18"/>
        </w:rPr>
        <w:t xml:space="preserve">Table 5-3. SEU2 Engine — Timing Budget</w:t>
      </w:r>
    </w:p>
    <w:p>
      <w:pPr>
        <w:spacing w:after="140"/>
      </w:pPr>
      <w:r>
        <w:rPr>
          <w:b/>
          <w:bCs/>
        </w:rPr>
        <w:t xml:space="preserve">Open — OI-12: </w:t>
      </w:r>
      <w:r>
        <w:rPr>
          <w:i/>
          <w:iCs/>
        </w:rPr>
        <w:t xml:space="preserve">How an initial phase difference between SEU2</w:t>
      </w:r>
      <w:r>
        <w:rPr>
          <w:i/>
          <w:iCs/>
        </w:rPr>
        <w:t xml:space="preserve">'</w:t>
      </w:r>
      <w:r>
        <w:rPr>
          <w:i/>
          <w:iCs/>
        </w:rPr>
        <w:t xml:space="preserve">s independent Crystal OSC and SEU1</w:t>
      </w:r>
      <w:r>
        <w:rPr>
          <w:i/>
          <w:iCs/>
        </w:rPr>
        <w:t xml:space="preserve">'</w:t>
      </w:r>
      <w:r>
        <w:rPr>
          <w:i/>
          <w:iCs/>
        </w:rPr>
        <w:t xml:space="preserve">s PTP domain is handled (e.g., at chassis power-up, or after a CH11 event) is not specified — the two domains are defined as independent, but </w:t>
      </w:r>
      <w:r>
        <w:rPr>
          <w:i/>
          <w:iCs/>
        </w:rPr>
        <w:t xml:space="preserve">"</w:t>
      </w:r>
      <w:r>
        <w:rPr>
          <w:i/>
          <w:iCs/>
        </w:rPr>
        <w:t xml:space="preserve">independent</w:t>
      </w:r>
      <w:r>
        <w:rPr>
          <w:i/>
          <w:iCs/>
        </w:rPr>
        <w:t xml:space="preserve">"</w:t>
      </w:r>
      <w:r>
        <w:rPr>
          <w:i/>
          <w:iCs/>
        </w:rPr>
        <w:t xml:space="preserve"> has not been distinguished from </w:t>
      </w:r>
      <w:r>
        <w:rPr>
          <w:i/>
          <w:iCs/>
        </w:rPr>
        <w:t xml:space="preserve">"</w:t>
      </w:r>
      <w:r>
        <w:rPr>
          <w:i/>
          <w:iCs/>
        </w:rPr>
        <w:t xml:space="preserve">unsynchronized-and-unmonitored</w:t>
      </w:r>
      <w:r>
        <w:rPr>
          <w:i/>
          <w:iCs/>
        </w:rPr>
        <w:t xml:space="preserve">"</w:t>
      </w:r>
      <w:r>
        <w:rPr>
          <w:i/>
          <w:iCs/>
        </w:rPr>
        <w:t xml:space="preserve"> at the RTL level. Decision owner: RTL architecture.</w:t>
      </w:r>
    </w:p>
    <w:p>
      <w:pPr>
        <w:pStyle w:val="Heading2"/>
        <w:spacing w:after="120" w:before="260"/>
      </w:pPr>
      <w:r>
        <w:t xml:space="preserve">5.4 FPGA Prototype Target</w:t>
      </w:r>
    </w:p>
    <w:p>
      <w:pPr>
        <w:spacing w:after="140"/>
      </w:pPr>
      <w:r>
        <w:t xml:space="preserve">The MUX Engine (Block B) may be prototyped on the same FPGA family as the SEU1 DEMUX for schedule efficiency, but is placed in a logically and — where the target device supports it — physically partitioned region, to validate the no-shared-bus property before it is committed to silicon. The CH11 Safety Interface is prototyped on a separate, non-shared I/O bank from the outset; this is treated as a hard prototyping rule, not an optimization, because CH11 isolation is a safety requirement rather than a performance one.</w:t>
      </w:r>
    </w:p>
    <w:p>
      <w:pPr>
        <w:pStyle w:val="Heading2"/>
        <w:spacing w:after="120" w:before="260"/>
      </w:pPr>
      <w:r>
        <w:t xml:space="preserve">5.5 ASIC Production Path</w:t>
      </w:r>
    </w:p>
    <w:p>
      <w:pPr>
        <w:spacing w:after="140"/>
      </w:pPr>
      <w:r>
        <w:t xml:space="preserve">WP#24 Table 5-1 recommends custom ASIC for Block C (Cube Write-Back) and allows FPGA or custom ASIC for Block B (MUX Engine). Because SEU2 volume is EAI-only — lower than SEU1's PAI+EAI volume — the case for ASIC migration rests less on unit-cost amortization and more on the safety and isolation guarantees that are easier to make load-bearing in silicon than in reconfigurable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Consideration</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Guidance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Floorplan isolation</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Interface occupies a physically separate die region or, where volume justifies it, a separate die entirely — carrying forward WP#24's isolation-slotted PCB convention (Figure 7-1) into the ASIC floorplan rather than treating it as a board-level-only concern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on-die</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input kept on an independent on-die power rail, mirroring the board-level independent power requirement — no shared regulator with the SEU1 die/region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Process node</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Node choice is secondary to isolation guarantees for SEU2; a node already qualified for the SEU1 engine is preferred by default to simplify multi-project wafer or chiplet integration, unless safety-certification requirements dictate otherwise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Certification path</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control logic (EN 50205 Type A/B) is treated as safety-relevant RTL and carried through a separate, more conservative verification track than the MUX/Write-Back logic (Section 9)</w:t>
            </w:r>
          </w:p>
        </w:tc>
      </w:tr>
    </w:tbl>
    <w:p>
      <w:pPr>
        <w:spacing w:after="80"/>
      </w:pPr>
    </w:p>
    <w:p>
      <w:pPr>
        <w:spacing w:after="160" w:before="40"/>
        <w:jc w:val="center"/>
      </w:pPr>
      <w:r>
        <w:rPr>
          <w:i/>
          <w:iCs/>
          <w:color w:val="595959"/>
          <w:sz w:val="18"/>
          <w:szCs w:val="18"/>
        </w:rPr>
        <w:t xml:space="preserve">Table 5-4. SEU2 Engine — ASIC Production Considerations</w:t>
      </w:r>
    </w:p>
    <w:p>
      <w:pPr>
        <w:spacing w:after="140"/>
      </w:pPr>
      <w:r>
        <w:rPr>
          <w:b/>
          <w:bCs/>
        </w:rPr>
        <w:t xml:space="preserve">Open — OI-10: </w:t>
      </w:r>
      <w:r>
        <w:rPr>
          <w:i/>
          <w:iCs/>
        </w:rPr>
        <w:t xml:space="preserve">"</w:t>
      </w:r>
      <w:r>
        <w:rPr>
          <w:i/>
          <w:iCs/>
        </w:rPr>
        <w:t xml:space="preserve">Physically separate die region</w:t>
      </w:r>
      <w:r>
        <w:rPr>
          <w:i/>
          <w:iCs/>
        </w:rPr>
        <w:t xml:space="preserve">"</w:t>
      </w:r>
      <w:r>
        <w:rPr>
          <w:i/>
          <w:iCs/>
        </w:rPr>
        <w:t xml:space="preserve"> for the CH11 Safety Interface names a goal, not a method — guard-ring, deep N-well, and dedicated ISO-cell approaches are all consistent with the goal and have not been chosen among. Decision owner: ASIC physical design team.</w:t>
      </w:r>
    </w:p>
    <w:p>
      <w:pPr>
        <w:spacing w:after="140"/>
      </w:pPr>
      <w:r>
        <w:rPr>
          <w:b/>
          <w:bCs/>
        </w:rPr>
        <w:t xml:space="preserve">Open — OI-16: </w:t>
      </w:r>
      <w:r>
        <w:rPr>
          <w:i/>
          <w:iCs/>
        </w:rPr>
        <w:t xml:space="preserve">No RTL-to-certification traceability methodology is defined for the EN 50205 Type A/B force-guided relay logic — i.e., how a specific RTL block or test is mapped back to a specific certification requirement. Decision owner: safety-certification lead, proposed for WP#26.2.</w:t>
      </w:r>
    </w:p>
    <w:p>
      <w:pPr>
        <w:pStyle w:val="Heading1"/>
        <w:spacing w:after="120" w:before="260"/>
      </w:pPr>
      <w:r>
        <w:t xml:space="preserve">6. Cross-Engine Timing Analysis</w:t>
      </w:r>
    </w:p>
    <w:p>
      <w:pPr>
        <w:pStyle w:val="Heading2"/>
        <w:spacing w:after="120" w:before="260"/>
      </w:pPr>
      <w:r>
        <w:t xml:space="preserve">6.1 Clock Domain Crossing</w:t>
      </w:r>
    </w:p>
    <w:p>
      <w:pPr>
        <w:spacing w:after="140"/>
      </w:pPr>
      <w:r>
        <w:t xml:space="preserve">By design, there is no clock-domain-crossing path between the SEU1 engine (PTP master clock) and the SEU2 engine (independent Crystal OSC) at the RTL level. This is a direct consequence of WP#24 §5.3 physical isolation and WP#25 R1-2's structural (not extensional) treatment of SEU2. Any signal that appears to cross between the two — for example, a shared chassis-level timestamp reference used only for cross-checking, not for functional synchronization — is treated as a monitoring tap, not a data path, and is excluded from both engines' functional timing budgets.</w:t>
      </w:r>
    </w:p>
    <w:p>
      <w:pPr>
        <w:spacing w:after="140"/>
      </w:pPr>
      <w:r>
        <w:rPr>
          <w:b/>
          <w:bCs/>
        </w:rPr>
        <w:t xml:space="preserve">Open — OI-09: </w:t>
      </w:r>
      <w:r>
        <w:rPr>
          <w:i/>
          <w:iCs/>
        </w:rPr>
        <w:t xml:space="preserve">If a monitoring tap of this kind is implemented, its CDC synchronization technique (2-flop synchronizer, asynchronous FIFO, or full handshake protocol) is not specified. Because the tap is explicitly non-functional, this is lower-priority than the other Open Items, but is listed for completeness. Decision owner: RTL architecture.</w:t>
      </w:r>
    </w:p>
    <w:p>
      <w:pPr>
        <w:spacing w:after="140"/>
      </w:pPr>
      <w:r>
        <w:rPr>
          <w:b/>
          <w:bCs/>
        </w:rPr>
        <w:t xml:space="preserve">Resolved — OI-09 (closed, R7): </w:t>
      </w:r>
      <w:r>
        <w:rPr>
          <w:i/>
          <w:iCs/>
        </w:rPr>
        <w:t xml:space="preserve">Standard 2-flop synchronizer, decided in this revision. The tap is cross-check-only and explicitly excluded from both engines</w:t>
      </w:r>
      <w:r>
        <w:rPr>
          <w:i/>
          <w:iCs/>
        </w:rPr>
        <w:t xml:space="preserve">'</w:t>
      </w:r>
      <w:r>
        <w:rPr>
          <w:i/>
          <w:iCs/>
        </w:rPr>
        <w:t xml:space="preserve"> functional timing budgets (Section 6.1 above) — it carries no throughput requirement, so a FIFO or handshake protocol would be unnecessary complexity for a single-bit or slow-changing signal. Proposed for 창호</w:t>
      </w:r>
      <w:r>
        <w:rPr>
          <w:i/>
          <w:iCs/>
        </w:rPr>
        <w:t xml:space="preserve">'</w:t>
      </w:r>
      <w:r>
        <w:rPr>
          <w:i/>
          <w:iCs/>
        </w:rPr>
        <w:t xml:space="preserve">s confirmation; distinguished from OI-14/OI-01/OI-03 above, which were closed by finding an existing answer rather than by new judgment.</w:t>
      </w:r>
    </w:p>
    <w:p>
      <w:pPr>
        <w:pStyle w:val="Heading2"/>
        <w:spacing w:after="120" w:before="260"/>
      </w:pPr>
      <w:r>
        <w:t xml:space="preserve">6.2 End-to-End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7"/>
        <w:gridCol w:w="3373"/>
        <w:gridCol w:w="3710"/>
      </w:tblGrid>
      <w:tr>
        <w:trPr>
          <w:tblHeader/>
        </w:trPr>
        <w:tc>
          <w:tcPr>
            <w:tcW w:type="dxa" w:w="22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Path</w:t>
            </w:r>
          </w:p>
        </w:tc>
        <w:tc>
          <w:tcPr>
            <w:tcW w:type="dxa" w:w="33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SEU1</w:t>
            </w:r>
          </w:p>
        </w:tc>
        <w:tc>
          <w:tcPr>
            <w:tcW w:type="dxa" w:w="37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SEU2</w:t>
            </w:r>
          </w:p>
        </w:tc>
      </w:tr>
      <w:tr>
        <w:tc>
          <w:tcPr>
            <w:tcW w:type="dxa" w:w="22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DEMUX/MUX stage</w:t>
            </w:r>
          </w:p>
        </w:tc>
        <w:tc>
          <w:tcPr>
            <w:tcW w:type="dxa" w:w="3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2ns (hardwired)</w:t>
            </w:r>
          </w:p>
        </w:tc>
        <w:tc>
          <w:tcPr>
            <w:tcW w:type="dxa" w:w="3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by 24-core Bundle uplink rate</w:t>
            </w:r>
          </w:p>
        </w:tc>
      </w:tr>
      <w:tr>
        <w:tc>
          <w:tcPr>
            <w:tcW w:type="dxa" w:w="22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Assembly / Write-Back stage</w:t>
            </w:r>
          </w:p>
        </w:tc>
        <w:tc>
          <w:tcPr>
            <w:tcW w:type="dxa" w:w="3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Completeness-window bound (WP#25 Part A)</w:t>
            </w:r>
          </w:p>
        </w:tc>
        <w:tc>
          <w:tcPr>
            <w:tcW w:type="dxa" w:w="3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M-Axis commit + Layer Lock arbitration cycle</w:t>
            </w:r>
          </w:p>
        </w:tc>
      </w:tr>
      <w:tr>
        <w:tc>
          <w:tcPr>
            <w:tcW w:type="dxa" w:w="22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Commit to HBM/HBF</w:t>
            </w:r>
          </w:p>
        </w:tc>
        <w:tc>
          <w:tcPr>
            <w:tcW w:type="dxa" w:w="3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cycle, WORM hardware-set</w:t>
            </w:r>
          </w:p>
        </w:tc>
        <w:tc>
          <w:tcPr>
            <w:tcW w:type="dxa" w:w="3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cycle, ACL Gate arbitrated</w:t>
            </w:r>
          </w:p>
        </w:tc>
      </w:tr>
    </w:tbl>
    <w:p>
      <w:pPr>
        <w:spacing w:after="80"/>
      </w:pPr>
    </w:p>
    <w:p>
      <w:pPr>
        <w:spacing w:after="160" w:before="40"/>
        <w:jc w:val="center"/>
      </w:pPr>
      <w:r>
        <w:rPr>
          <w:i/>
          <w:iCs/>
          <w:color w:val="595959"/>
          <w:sz w:val="18"/>
          <w:szCs w:val="18"/>
        </w:rPr>
        <w:t xml:space="preserve">Table 6-1. End-to-End Latency Budget Comparison</w:t>
      </w:r>
    </w:p>
    <w:p>
      <w:pPr>
        <w:pStyle w:val="Heading2"/>
        <w:spacing w:after="120" w:before="260"/>
      </w:pPr>
      <w:r>
        <w:t xml:space="preserve">6.3 PTP Jitter Tolerance</w:t>
      </w:r>
    </w:p>
    <w:p>
      <w:pPr>
        <w:spacing w:after="140"/>
      </w:pPr>
      <w:r>
        <w:t xml:space="preserve">SEU1's completeness-window algorithm inherits its jitter tolerance directly from the WP#25 R1 PTP sync profile; no additional tolerance derivation is introduced at the RTL level in this document. SEU2, running on an independent Crystal OSC rather than PTP, is not subject to PTP jitter by construction — its timing reference stability is instead bounded by OSC specification (frequency stability over the CH11 self-sustained operating window) rather than by network sync quality.</w:t>
      </w:r>
    </w:p>
    <w:p>
      <w:pPr>
        <w:spacing w:after="140"/>
      </w:pPr>
      <w:r>
        <w:rPr>
          <w:b/>
          <w:bCs/>
        </w:rPr>
        <w:t xml:space="preserve">Open — OI-03: </w:t>
      </w:r>
      <w:r>
        <w:rPr>
          <w:i/>
          <w:iCs/>
        </w:rPr>
        <w:t xml:space="preserve">"</w:t>
      </w:r>
      <w:r>
        <w:rPr>
          <w:i/>
          <w:iCs/>
        </w:rPr>
        <w:t xml:space="preserve">Inherits directly</w:t>
      </w:r>
      <w:r>
        <w:rPr>
          <w:i/>
          <w:iCs/>
        </w:rPr>
        <w:t xml:space="preserve">"</w:t>
      </w:r>
      <w:r>
        <w:rPr>
          <w:i/>
          <w:iCs/>
        </w:rPr>
        <w:t xml:space="preserve"> points at WP#25 R1</w:t>
      </w:r>
      <w:r>
        <w:rPr>
          <w:i/>
          <w:iCs/>
        </w:rPr>
        <w:t xml:space="preserve">'</w:t>
      </w:r>
      <w:r>
        <w:rPr>
          <w:i/>
          <w:iCs/>
        </w:rPr>
        <w:t xml:space="preserve">s sync profile but does not restate its jitter tolerance value here, nor define an RTL-level margin policy (how much of the tolerance budget the SEU1 Assembly Engine is allowed to consume before flagging a completeness-window fault). Decision owner: WP#25 R1 maintainer, cross-referenced into this document once fixed.</w:t>
      </w:r>
    </w:p>
    <w:p>
      <w:pPr>
        <w:spacing w:after="140"/>
      </w:pPr>
      <w:r>
        <w:rPr>
          <w:b/>
          <w:bCs/>
        </w:rPr>
        <w:t xml:space="preserve">Resolved — OI-03 (closed, R7): </w:t>
      </w:r>
      <w:r>
        <w:rPr>
          <w:i/>
          <w:iCs/>
        </w:rPr>
        <w:t xml:space="preserve">WP#25 R1 Table A-5 / Table B-4 already fix the value: </w:t>
      </w:r>
      <w:r>
        <w:rPr>
          <w:i/>
          <w:iCs/>
        </w:rPr>
        <w:t xml:space="preserve">&lt;</w:t>
      </w:r>
      <w:r>
        <w:rPr>
          <w:i/>
          <w:iCs/>
        </w:rPr>
        <w:t xml:space="preserve">100ns aggregate accuracy budget for both SEU1 (PTP Domain 4) and SEU2 (Domain 5), decomposed as Grand Master reference stability </w:t>
      </w:r>
      <w:r>
        <w:rPr>
          <w:i/>
          <w:iCs/>
        </w:rPr>
        <w:t xml:space="preserve">&lt;</w:t>
      </w:r>
      <w:r>
        <w:rPr>
          <w:i/>
          <w:iCs/>
        </w:rPr>
        <w:t xml:space="preserve">20ns, path asymmetry residual </w:t>
      </w:r>
      <w:r>
        <w:rPr>
          <w:i/>
          <w:iCs/>
        </w:rPr>
        <w:t xml:space="preserve">&lt;</w:t>
      </w:r>
      <w:r>
        <w:rPr>
          <w:i/>
          <w:iCs/>
        </w:rPr>
        <w:t xml:space="preserve">15ns, residence/turnaround time </w:t>
      </w:r>
      <w:r>
        <w:rPr>
          <w:i/>
          <w:iCs/>
        </w:rPr>
        <w:t xml:space="preserve">&lt;</w:t>
      </w:r>
      <w:r>
        <w:rPr>
          <w:i/>
          <w:iCs/>
        </w:rPr>
        <w:t xml:space="preserve">25ns, receiver timestamp granularity </w:t>
      </w:r>
      <w:r>
        <w:rPr>
          <w:i/>
          <w:iCs/>
        </w:rPr>
        <w:t xml:space="preserve">&lt;</w:t>
      </w:r>
      <w:r>
        <w:rPr>
          <w:i/>
          <w:iCs/>
        </w:rPr>
        <w:t xml:space="preserve">20ns, and margin </w:t>
      </w:r>
      <w:r>
        <w:rPr>
          <w:i/>
          <w:iCs/>
        </w:rPr>
        <w:t xml:space="preserve">&lt;</w:t>
      </w:r>
      <w:r>
        <w:rPr>
          <w:i/>
          <w:iCs/>
        </w:rPr>
        <w:t xml:space="preserve">20ns. The </w:t>
      </w:r>
      <w:r>
        <w:rPr>
          <w:i/>
          <w:iCs/>
        </w:rPr>
        <w:t xml:space="preserve">&lt;</w:t>
      </w:r>
      <w:r>
        <w:rPr>
          <w:i/>
          <w:iCs/>
        </w:rPr>
        <w:t xml:space="preserve">20ns margin line is the RTL-level allowance already defined — no separate margin policy needs to be authored.</w:t>
      </w:r>
    </w:p>
    <w:p>
      <w:pPr>
        <w:pStyle w:val="Heading1"/>
        <w:spacing w:after="120" w:before="260"/>
      </w:pPr>
      <w:r>
        <w:t xml:space="preserve">7. 800G Optical Interface</w:t>
      </w:r>
    </w:p>
    <w:p>
      <w:pPr>
        <w:pStyle w:val="Heading2"/>
        <w:spacing w:after="120" w:before="260"/>
      </w:pPr>
      <w:r>
        <w:t xml:space="preserve">7.1 Physical Layer Requirements</w:t>
      </w:r>
    </w:p>
    <w:p>
      <w:pPr>
        <w:spacing w:after="140"/>
      </w:pPr>
      <w:r>
        <w:t xml:space="preserve">Both engine templates present the same physical-layer contract at their optical front end: 800Gbps per core, delivered over the MOCT fixed ribbon with no field connectors and 0dB insertion loss (WP#24 §1, L1 Physical Tx Layer). This is a fixed input condition for both RTL templates, not a design parameter — the DEMUX front end is built to this rate, not tuned to it.</w:t>
      </w:r>
    </w:p>
    <w:p>
      <w:pPr>
        <w:pStyle w:val="Heading2"/>
        <w:spacing w:after="120" w:before="260"/>
      </w:pPr>
      <w:r>
        <w:t xml:space="preserve">7.2 SerDes/PHY: FPGA vs 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9"/>
        <w:gridCol w:w="2572"/>
        <w:gridCol w:w="6029"/>
      </w:tblGrid>
      <w:tr>
        <w:trPr>
          <w:tblHeader/>
        </w:trPr>
        <w:tc>
          <w:tcPr>
            <w:tcW w:type="dxa" w:w="7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Aspect</w:t>
            </w:r>
          </w:p>
        </w:tc>
        <w:tc>
          <w:tcPr>
            <w:tcW w:type="dxa" w:w="25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FPGA Prototype</w:t>
            </w:r>
          </w:p>
        </w:tc>
        <w:tc>
          <w:tcPr>
            <w:tcW w:type="dxa" w:w="60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ASIC Production</w:t>
            </w:r>
          </w:p>
        </w:tc>
      </w:tr>
      <w:tr>
        <w:tc>
          <w:tcPr>
            <w:tcW w:type="dxa" w:w="7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 implementation</w:t>
            </w:r>
          </w:p>
        </w:tc>
        <w:tc>
          <w:tcPr>
            <w:tcW w:type="dxa" w:w="2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Vendor hard-IP transceivers (e.g., UltraScale+ GTY/GTM-class)</w:t>
            </w:r>
          </w:p>
        </w:tc>
        <w:tc>
          <w:tcPr>
            <w:tcW w:type="dxa" w:w="60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Licensed or custom SerDes IP integrated at the process node selected in Section 8</w:t>
            </w:r>
          </w:p>
        </w:tc>
      </w:tr>
      <w:tr>
        <w:tc>
          <w:tcPr>
            <w:tcW w:type="dxa" w:w="7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Lane aggregation</w:t>
            </w:r>
          </w:p>
        </w:tc>
        <w:tc>
          <w:tcPr>
            <w:tcW w:type="dxa" w:w="2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 lanes/ch × 8 groups (PAI); 24 lanes/ch × 16 groups (EAI)</w:t>
            </w:r>
          </w:p>
        </w:tc>
        <w:tc>
          <w:tcPr>
            <w:tcW w:type="dxa" w:w="60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Same lane grouping, carried forward unchanged from WP#24 §5.2 — the RTL template does not change lane topology between prototype and production</w:t>
            </w:r>
          </w:p>
        </w:tc>
      </w:tr>
      <w:tr>
        <w:tc>
          <w:tcPr>
            <w:tcW w:type="dxa" w:w="7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Power/thermal</w:t>
            </w:r>
          </w:p>
        </w:tc>
        <w:tc>
          <w:tcPr>
            <w:tcW w:type="dxa" w:w="2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Higher per-lane power typical of programmable transceivers</w:t>
            </w:r>
          </w:p>
        </w:tc>
        <w:tc>
          <w:tcPr>
            <w:tcW w:type="dxa" w:w="60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Lower per-lane power achievable with production PHY IP; primary driver of ASIC migration benefit for SEU1 (Section 4.5)</w:t>
            </w:r>
          </w:p>
        </w:tc>
      </w:tr>
    </w:tbl>
    <w:p>
      <w:pPr>
        <w:spacing w:after="80"/>
      </w:pPr>
    </w:p>
    <w:p>
      <w:pPr>
        <w:spacing w:after="160" w:before="40"/>
        <w:jc w:val="center"/>
      </w:pPr>
      <w:r>
        <w:rPr>
          <w:i/>
          <w:iCs/>
          <w:color w:val="595959"/>
          <w:sz w:val="18"/>
          <w:szCs w:val="18"/>
        </w:rPr>
        <w:t xml:space="preserve">Table 7-1. 800G Optical Interface — FPGA vs ASIC Implementation</w:t>
      </w:r>
    </w:p>
    <w:p>
      <w:pPr>
        <w:spacing w:after="140"/>
      </w:pPr>
      <w:r>
        <w:rPr>
          <w:b/>
          <w:bCs/>
        </w:rPr>
        <w:t xml:space="preserve">Open — OI-07: </w:t>
      </w:r>
      <w:r>
        <w:rPr>
          <w:i/>
          <w:iCs/>
        </w:rPr>
        <w:t xml:space="preserve">RTL/PCS-level implementation detail is not defined: line-coding scheme (e.g., 64b/66b-class vs alternative), FEC presence and placement (FPGA-side vs ASIC-side), skew-alignment/channel-bonding strategy across the lane groups in Table 7-1, and LOS/LOF detection-and-recovery logic. These are PHY-integration decisions, proposed for WP#26.3 once the SerDes IP source (FPGA hard-IP vs licensed ASIC IP, Table 7-1) is selected.</w:t>
      </w:r>
    </w:p>
    <w:p>
      <w:pPr>
        <w:pStyle w:val="Heading2"/>
        <w:spacing w:after="120" w:before="260"/>
      </w:pPr>
      <w:r>
        <w:t xml:space="preserve">7.3 Lane Grouping Recap</w:t>
      </w:r>
    </w:p>
    <w:p>
      <w:pPr>
        <w:spacing w:after="140"/>
      </w:pPr>
      <w:r>
        <w:t xml:space="preserve">The lane grouping fixed in WP#24 §5.2 is treated as an immutable input to both engine templates in this document: 48 lanes/channel × 8 groups for the PAI/SEU1 configuration, and 24 lanes/channel × 16 groups for the EAI configuration spanning both SEU1 (E2E #1) and SEU2 (E2E #2). Neither the FPGA prototype nor the ASIC production RTL alters this grouping; it is a MOCT-side physical fact, not an RTL design choice.</w:t>
      </w:r>
    </w:p>
    <w:p>
      <w:pPr>
        <w:pStyle w:val="Heading1"/>
        <w:spacing w:after="120" w:before="260"/>
      </w:pPr>
      <w:r>
        <w:t xml:space="preserve">8. FPGA-to-ASIC Migration Path</w:t>
      </w:r>
    </w:p>
    <w:p>
      <w:pPr>
        <w:spacing w:after="140"/>
      </w:pPr>
      <w:r>
        <w:t xml:space="preserve">This section carries the greater share of WP#26's production-readiness content, reflecting that the Dedicated Equipment's long-run deployment target is ASIC, with FPGA serving the prototyping and low-volume bring-up role. WP#24 Table 5-1 already recommends custom ASIC for Block C and allows it for Block B; this document extends that posture to the full SEU1 and SEU2 engine templates as the volume case matures.</w:t>
      </w:r>
    </w:p>
    <w:p>
      <w:pPr>
        <w:pStyle w:val="Heading2"/>
        <w:spacing w:after="120" w:before="260"/>
      </w:pPr>
      <w:r>
        <w:t xml:space="preserve">8.1 Volume/Cost Crossover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rPr>
          <w:tblHeader/>
        </w:trPr>
        <w:tc>
          <w:tcPr>
            <w:tcW w:type="dxa" w:w="78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Factor</w:t>
            </w:r>
          </w:p>
        </w:tc>
        <w:tc>
          <w:tcPr>
            <w:tcW w:type="dxa" w:w="858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Implication for FPGA→ASIC Timing</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volume</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Instantiated in every PAI and every EAI — highest volume of the two templates, favoring the earliest ASIC migration once FPGA-stage verification (Section 9) is complete</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volume</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EAI-only — lower unit volume than SEU1, but carries safety-relevant logic (CH11) whose isolation guarantees benefit from silicon-level enforcement regardless of volume economics alone</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Reconfigurability need</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Neither template requires field reconfigurability post-deployment — the WORM/ACL model is a fixed hardware contract by design (WP#24 §3, §4), removing one of the traditional arguments for staying on FPGA in production</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NRE amortization</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Standard cost/volume crossover logic applies: FPGA unit cost stays flat with volume while ASIC NRE amortizes down — this document does not fix a specific volume threshold, which is a program-management decision outside the architecture record</w:t>
            </w:r>
          </w:p>
        </w:tc>
      </w:tr>
    </w:tbl>
    <w:p>
      <w:pPr>
        <w:spacing w:after="80"/>
      </w:pPr>
    </w:p>
    <w:p>
      <w:pPr>
        <w:spacing w:after="160" w:before="40"/>
        <w:jc w:val="center"/>
      </w:pPr>
      <w:r>
        <w:rPr>
          <w:i/>
          <w:iCs/>
          <w:color w:val="595959"/>
          <w:sz w:val="18"/>
          <w:szCs w:val="18"/>
        </w:rPr>
        <w:t xml:space="preserve">Table 8-1. FPGA→ASIC Crossover Factors</w:t>
      </w:r>
    </w:p>
    <w:p>
      <w:pPr>
        <w:pStyle w:val="Heading2"/>
        <w:spacing w:after="120" w:before="260"/>
      </w:pPr>
      <w:r>
        <w:t xml:space="preserve">8.2 Implementation Style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1"/>
        <w:gridCol w:w="3038"/>
        <w:gridCol w:w="5131"/>
      </w:tblGrid>
      <w:tr>
        <w:trPr>
          <w:tblHeader/>
        </w:trPr>
        <w:tc>
          <w:tcPr>
            <w:tcW w:type="dxa" w:w="119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Style</w:t>
            </w:r>
          </w:p>
        </w:tc>
        <w:tc>
          <w:tcPr>
            <w:tcW w:type="dxa" w:w="30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Best Fit</w:t>
            </w:r>
          </w:p>
        </w:tc>
        <w:tc>
          <w:tcPr>
            <w:tcW w:type="dxa" w:w="51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19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Full-custom</w:t>
            </w:r>
          </w:p>
        </w:tc>
        <w:tc>
          <w:tcPr>
            <w:tcW w:type="dxa" w:w="30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Cube Write-Back, CH11 safety island</w:t>
            </w:r>
          </w:p>
        </w:tc>
        <w:tc>
          <w:tcPr>
            <w:tcW w:type="dxa" w:w="51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Highest guarantee of physical isolation and timing determinism for safety-relevant and WORM-adjacent logic</w:t>
            </w:r>
          </w:p>
        </w:tc>
      </w:tr>
      <w:tr>
        <w:tc>
          <w:tcPr>
            <w:tcW w:type="dxa" w:w="119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Standard-cell (synthesized)</w:t>
            </w:r>
          </w:p>
        </w:tc>
        <w:tc>
          <w:tcPr>
            <w:tcW w:type="dxa" w:w="30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Assembly Engine, SEU2 MUX Engine</w:t>
            </w:r>
          </w:p>
        </w:tc>
        <w:tc>
          <w:tcPr>
            <w:tcW w:type="dxa" w:w="51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State-machine/control-dominated logic; standard synthesis flow is sufficient and faster to close timing on</w:t>
            </w:r>
          </w:p>
        </w:tc>
      </w:tr>
      <w:tr>
        <w:tc>
          <w:tcPr>
            <w:tcW w:type="dxa" w:w="119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Structured ASIC / eFPGA block</w:t>
            </w:r>
          </w:p>
        </w:tc>
        <w:tc>
          <w:tcPr>
            <w:tcW w:type="dxa" w:w="30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 for any future feature requiring post-fabrication configurability</w:t>
            </w:r>
          </w:p>
        </w:tc>
        <w:tc>
          <w:tcPr>
            <w:tcW w:type="dxa" w:w="51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required by the current WORM/ACL model; noted here only as an option if a future revision introduces a configurable field</w:t>
            </w:r>
          </w:p>
        </w:tc>
      </w:tr>
    </w:tbl>
    <w:p>
      <w:pPr>
        <w:spacing w:after="80"/>
      </w:pPr>
    </w:p>
    <w:p>
      <w:pPr>
        <w:spacing w:after="160" w:before="40"/>
        <w:jc w:val="center"/>
      </w:pPr>
      <w:r>
        <w:rPr>
          <w:i/>
          <w:iCs/>
          <w:color w:val="595959"/>
          <w:sz w:val="18"/>
          <w:szCs w:val="18"/>
        </w:rPr>
        <w:t xml:space="preserve">Table 8-2. Implementation Style by Block</w:t>
      </w:r>
    </w:p>
    <w:p>
      <w:pPr>
        <w:spacing w:after="140"/>
      </w:pPr>
      <w:r>
        <w:rPr>
          <w:b/>
          <w:bCs/>
        </w:rPr>
        <w:t xml:space="preserve">Open — OI-08 / OI-11: </w:t>
      </w:r>
      <w:r>
        <w:rPr>
          <w:i/>
          <w:iCs/>
        </w:rPr>
        <w:t xml:space="preserve">Two ASIC-production essentials are not addressed anywhere in this document: (1) DFT strategy — scan-chain insertion, JTAG boundary scan, SerDes/PHY BIST, and the fuse/OTP mechanism for setting WORM_CHAN_ID at fabrication; and (2) on-die power/clock-gating strategy enabling SEU1 and SEU2 to be independently powered down on a shared die. Both are ASIC-design-team decisions, proposed for WP#26.2 (DFT) and as part of the Section 8.2 floorplan work (power/clock gating).</w:t>
      </w:r>
    </w:p>
    <w:p>
      <w:pPr>
        <w:pStyle w:val="Heading2"/>
        <w:spacing w:after="120" w:before="260"/>
      </w:pPr>
      <w:r>
        <w:t xml:space="preserve">8.3 Verification-to-Tape-out Flow</w:t>
      </w:r>
    </w:p>
    <w:p>
      <w:pPr>
        <w:spacing w:after="140"/>
      </w:pPr>
      <w:r>
        <w:t xml:space="preserve">At a conceptual level, both engine templates follow the same staged flow, kept general and non-tool-specific: RTL functional simulation against the WP#25 R1 record format and completeness algorithm; FPGA bring-up and in-system validation (Section 9); timing closure against the budgets in Sections 4.3, 5.3, and 6.2; physical verification and isolation checks specific to the SEU1/SEU2 boundary (Section 6.1) and the CH11 safety island (Section 5.5); and tape-out sign-off. This document does not prescribe specific EDA tooling — that selection is left to the implementing team as an execution-time decision outside the architecture record.</w:t>
      </w:r>
    </w:p>
    <w:p>
      <w:pPr>
        <w:pStyle w:val="Heading2"/>
        <w:spacing w:after="120" w:before="260"/>
      </w:pPr>
      <w:r>
        <w:t xml:space="preserve">8.4 Process Node Candidate Discussion</w:t>
      </w:r>
    </w:p>
    <w:p>
      <w:pPr>
        <w:spacing w:after="140"/>
      </w:pPr>
      <w:r>
        <w:t xml:space="preserve">Node selection is kept general in this document rather than fixed to a specific foundry process, consistent with WP#24's own posture of naming FPGA families as recommendations rather than mandates. The guiding principle carried from Sections 4.5 and 5.5: SEU1 favors a cost-optimized mature node given its control-dominated logic and SerDes-dominated power budget; SEU2 favors alignment with whatever node is selected for SEU1 (to simplify multi-project wafer or chiplet integration) unless a safety-certification requirement specific to CH11 dictates a different, more conservative choice.</w:t>
      </w:r>
    </w:p>
    <w:p>
      <w:pPr>
        <w:pStyle w:val="Heading1"/>
        <w:spacing w:after="120" w:before="260"/>
      </w:pPr>
      <w:r>
        <w:t xml:space="preserve">9. Verification and Validation Plan</w:t>
      </w:r>
    </w:p>
    <w:p>
      <w:pPr>
        <w:spacing w:after="140"/>
      </w:pPr>
      <w:r>
        <w:t xml:space="preserve">Consistent with the disclaimer carried across the WP#24–#26 sub-series, all specifications in this document are based on software MVP validation results and are finalized through staged physical hardware validation, not asserted as already-silicon-proven at the time of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2"/>
        <w:gridCol w:w="3895"/>
        <w:gridCol w:w="4383"/>
      </w:tblGrid>
      <w:tr>
        <w:trPr>
          <w:tblHeader/>
        </w:trPr>
        <w:tc>
          <w:tcPr>
            <w:tcW w:type="dxa" w:w="10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389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43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Exit Criterion</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Software MVP</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Functional model of SEU1/SEU2 record assembly against WP#25 R1 algorithm</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 format and completeness algorithm match WP#25 R1 bit-for-bit in simulation</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simulation</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Both engine templates, independently, per Sections 4–5</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Timing budgets in Tables 4-3 and 5-3 met in simulation across corner cases</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bring-up</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In-system validation on the target device family (Sections 4.4, 5.4)</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front-end and lane grouping validated against WP#24 §5.2 at rate</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Isolation validation</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boundary (Section 6.1) and CH11 safety island (Section 5.5)</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shared clock, bus, or power path detected between domains</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sign-off</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Timing closure, physical verification, tape-out readiness</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All prior-stage exit criteria carried forward without re-derivation</w:t>
            </w:r>
          </w:p>
        </w:tc>
      </w:tr>
    </w:tbl>
    <w:p>
      <w:pPr>
        <w:spacing w:after="80"/>
      </w:pPr>
    </w:p>
    <w:p>
      <w:pPr>
        <w:spacing w:after="160" w:before="40"/>
        <w:jc w:val="center"/>
      </w:pPr>
      <w:r>
        <w:rPr>
          <w:i/>
          <w:iCs/>
          <w:color w:val="595959"/>
          <w:sz w:val="18"/>
          <w:szCs w:val="18"/>
        </w:rPr>
        <w:t xml:space="preserve">Table 9-1. Staged Verification and Validation Plan</w:t>
      </w:r>
    </w:p>
    <w:p>
      <w:pPr>
        <w:spacing w:after="140"/>
      </w:pPr>
      <w:r>
        <w:rPr>
          <w:b/>
          <w:bCs/>
        </w:rPr>
        <w:t xml:space="preserve">Open — OI-13: </w:t>
      </w:r>
      <w:r>
        <w:rPr>
          <w:i/>
          <w:iCs/>
        </w:rPr>
        <w:t xml:space="preserve">Exit criteria are stated qualitatively (e.g., </w:t>
      </w:r>
      <w:r>
        <w:rPr>
          <w:i/>
          <w:iCs/>
        </w:rPr>
        <w:t xml:space="preserve">"</w:t>
      </w:r>
      <w:r>
        <w:rPr>
          <w:i/>
          <w:iCs/>
        </w:rPr>
        <w:t xml:space="preserve">met in simulation across corner cases</w:t>
      </w:r>
      <w:r>
        <w:rPr>
          <w:i/>
          <w:iCs/>
        </w:rPr>
        <w:t xml:space="preserve">"</w:t>
      </w:r>
      <w:r>
        <w:rPr>
          <w:i/>
          <w:iCs/>
        </w:rPr>
        <w:t xml:space="preserve">) without test-vector counts, code-coverage targets, a random-verification strategy, a formal-property checklist, or a named methodology for the Isolation Validation row (e.g., ATPG, DFT-based check, or direct electrical measurement). Decision owner: verification team, proposed for WP#26.2.</w:t>
      </w:r>
    </w:p>
    <w:p>
      <w:pPr>
        <w:spacing w:after="140"/>
      </w:pPr>
      <w:r>
        <w:rPr>
          <w:b/>
          <w:bCs/>
        </w:rPr>
        <w:t xml:space="preserve">Open — OI-15: </w:t>
      </w:r>
      <w:r>
        <w:rPr>
          <w:i/>
          <w:iCs/>
        </w:rPr>
        <w:t xml:space="preserve">No RTL-compatibility guarantee is stated between the FPGA prototype and the ASIC target — specifically how FPGA BRAM primitives map to ASIC memory macros, and whether clock-gating and reset behavior are required to match bit-for-bit or only functionally, across the prototype-to-production transition referenced in Table 4-5 / Table 5-4. Decision owner: verification team.</w:t>
      </w:r>
    </w:p>
    <w:p>
      <w:pPr>
        <w:pStyle w:val="Heading1"/>
        <w:spacing w:after="120" w:before="260"/>
      </w:pPr>
      <w:r>
        <w:t xml:space="preserve">10. Open Items Register</w:t>
      </w:r>
    </w:p>
    <w:p>
      <w:pPr>
        <w:spacing w:after="140"/>
      </w:pPr>
      <w:r>
        <w:t xml:space="preserve">Every value in Sections 4–9 that has not been fixed by an actual engineering decision is listed below, cross-referenced to its inline "Open — OI-nn" marker. This register exists so that no open item is only discoverable by reading the full document; per Principle 1 ("결정의 근거를 기록하라 — 마음대로 정의하지 마라"), none of these are given placeholder numeric values in this revision.</w:t>
      </w:r>
    </w:p>
    <w:p>
      <w:pPr>
        <w:pStyle w:val="Heading2"/>
        <w:spacing w:after="120" w:before="260"/>
      </w:pPr>
      <w:r>
        <w:t xml:space="preserve">10.1 Dependency Map</w:t>
      </w:r>
    </w:p>
    <w:p>
      <w:pPr>
        <w:spacing w:after="140"/>
      </w:pPr>
      <w:r>
        <w:t xml:space="preserve">The 16 Open Items are not independent — resolving some unblocks others. The chain structure below was specified directly by 창호; the one-line rationale attached to each edge is Claude's inference from the surrounding architecture text in Sections 4–9, marked accordingly, and should be confirmed rather than treated as already-decided.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Item</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Depends On</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 (inferred — confirm)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PHY/SerDes IP sourcing (Table 7-1) is process-node-specific — the node must be fixed before a PHY IP candidate can be evaluated against it.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OI-08</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DFT strategy, in particular SerDes BIST, is defined against the chosen PHY implementation — where FEC/PCS logic physically sits (OI-07) determines what a scan chain or BIST hook needs to cover.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OI-10</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Guard-ring, deep-N-well, and ISO-cell isolation options are process-design-kit primitives — which ones exist to choose from depends on the node.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Power/clock-gating cells (isolation cells, level shifters) are node-specific library elements.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Gate structure (FSM vs one-shot vs lock register) sizes its buffering and commit timing against the completeness-window bound — the bound should exist before the circuit style is chosen.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OI-03</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PTP jitter margin policy is naturally expressed as a fraction of the completeness-window budget, so the window bound is a prerequisite input, not a parallel decision.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Phase-alignment handling for SEU2's independent Crystal OSC is evaluated relative to the completeness-window timing reference (OI-01), not to Layer Lock arbitration priority — reclassified in R4 from the original OI-06 edge.</w:t>
            </w:r>
          </w:p>
        </w:tc>
      </w:tr>
    </w:tbl>
    <w:p>
      <w:pPr>
        <w:spacing w:after="80"/>
      </w:pPr>
    </w:p>
    <w:p>
      <w:pPr>
        <w:spacing w:after="160" w:before="40"/>
        <w:jc w:val="center"/>
      </w:pPr>
      <w:r>
        <w:rPr>
          <w:i/>
          <w:iCs/>
          <w:color w:val="595959"/>
          <w:sz w:val="18"/>
          <w:szCs w:val="18"/>
        </w:rPr>
        <w:t xml:space="preserve">Table 10-1. Open Items — Dependency Edges</w:t>
      </w:r>
    </w:p>
    <w:p>
      <w:pPr>
        <w:spacing w:after="140"/>
      </w:pPr>
      <w:r>
        <w:rPr>
          <w:b/>
          <w:bCs/>
        </w:rPr>
        <w:t xml:space="preserve">Open — Note (R4): </w:t>
      </w:r>
      <w:r>
        <w:rPr>
          <w:i/>
          <w:iCs/>
        </w:rPr>
        <w:t xml:space="preserve">OI-06 (Layer Lock arbitration) now has no dependents in this map, since OI-12 was reclassified above. It remains a substantive Open Item in its own right (Section 5.2) but is no longer a blocking root — it can be resolved on the same footing as the Group D standalone items.</w:t>
      </w:r>
    </w:p>
    <w:p>
      <w:pPr>
        <w:spacing w:after="140"/>
      </w:pPr>
      <w:r>
        <w:t xml:space="preserve">Items not shown above — OI-02, OI-09, OI-13, OI-14, OI-15, OI-16 — have no stated dependency and can be decided in any order relative to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4"/>
        <w:gridCol w:w="2652"/>
        <w:gridCol w:w="700"/>
        <w:gridCol w:w="2654"/>
      </w:tblGrid>
      <w:tr>
        <w:trPr>
          <w:tblHeader/>
        </w:trPr>
        <w:tc>
          <w:tcPr>
            <w:tcW w:type="dxa" w:w="335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Group</w:t>
            </w:r>
          </w:p>
        </w:tc>
        <w:tc>
          <w:tcPr>
            <w:tcW w:type="dxa" w:w="265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Item</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Priority</w:t>
            </w:r>
          </w:p>
        </w:tc>
        <w:tc>
          <w:tcPr>
            <w:tcW w:type="dxa" w:w="265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Est. Duration (창호 estimate)</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 after OI-04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 (PHY detail)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3–6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 after OI-04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OI-10 (isolation method)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 after OI-04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OI-11 (power gating)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 — after OI-01</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 (WORM structure)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 — after OI-01</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OI-03 (PTP jitter)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0.5–1 week</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 — after OI-01</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 (phase alignment)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week</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 sequential</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 → OI-08 (DFT)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 weeks (after OI-07)</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 — independent, verification</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OI-13 (verification detail)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 — independent, verification</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OI-15 (FPGA↔ASIC compatibility)</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 — independent, verification</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OI-16 (certification traceability)</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D2 — independent, documentation/terminology</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OI-14 (terminology reconciliation)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D3 — independent, technical/low priority</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OI-02 (FPGA occupancy)</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 — pending measurement</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D3 — independent, technical/low priority</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OI-09 (CDC technique)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 — non-functional tap</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 — independent (reclassified R4)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 (Layer Lock arbitration)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week</w:t>
            </w:r>
          </w:p>
        </w:tc>
      </w:tr>
    </w:tbl>
    <w:p>
      <w:pPr>
        <w:spacing w:after="80"/>
      </w:pPr>
    </w:p>
    <w:p>
      <w:pPr>
        <w:spacing w:after="160" w:before="40"/>
        <w:jc w:val="center"/>
      </w:pPr>
      <w:r>
        <w:rPr>
          <w:i/>
          <w:iCs/>
          <w:color w:val="595959"/>
          <w:sz w:val="18"/>
          <w:szCs w:val="18"/>
        </w:rPr>
        <w:t xml:space="preserve">Table 10-2. Parallel-Execution Groups — Priority and Duration (창호 estimates)</w:t>
      </w:r>
    </w:p>
    <w:p>
      <w:pPr>
        <w:pStyle w:val="Heading2"/>
        <w:spacing w:after="120" w:before="260"/>
      </w:pPr>
      <w:r>
        <w:t xml:space="preserve">10.2 Critical Path Estimate</w:t>
      </w:r>
    </w:p>
    <w:p>
      <w:pPr>
        <w:spacing w:after="140"/>
      </w:pPr>
      <w:r>
        <w:t xml:space="preserve">Group C is the longest chain in the map: OI-07 (3–6 weeks) followed sequentially by OI-08 (2–4 weeks) totals 5–10 weeks, measured from the point OI-04 clears. Every other group finishes inside that window — Group A's remaining items (1–2 weeks each, parallel) and Group B (1–2 weeks max, parallel) are both shorter than Group C alone.</w:t>
      </w:r>
    </w:p>
    <w:p>
      <w:pPr>
        <w:spacing w:after="140"/>
      </w:pPr>
      <w:r>
        <w:rPr>
          <w:b/>
          <w:bCs/>
        </w:rPr>
        <w:t xml:space="preserve">Open — Gap: </w:t>
      </w:r>
      <w:r>
        <w:rPr>
          <w:i/>
          <w:iCs/>
        </w:rPr>
        <w:t xml:space="preserve">This estimate answers </w:t>
      </w:r>
      <w:r>
        <w:rPr>
          <w:i/>
          <w:iCs/>
        </w:rPr>
        <w:t xml:space="preserve">"</w:t>
      </w:r>
      <w:r>
        <w:rPr>
          <w:i/>
          <w:iCs/>
        </w:rPr>
        <w:t xml:space="preserve">how long from OI-04/OI-01 clearing to Group A–C done,</w:t>
      </w:r>
      <w:r>
        <w:rPr>
          <w:i/>
          <w:iCs/>
        </w:rPr>
        <w:t xml:space="preserve">"</w:t>
      </w:r>
      <w:r>
        <w:rPr>
          <w:i/>
          <w:iCs/>
        </w:rPr>
        <w:t xml:space="preserve"> not </w:t>
      </w:r>
      <w:r>
        <w:rPr>
          <w:i/>
          <w:iCs/>
        </w:rPr>
        <w:t xml:space="preserve">"</w:t>
      </w:r>
      <w:r>
        <w:rPr>
          <w:i/>
          <w:iCs/>
        </w:rPr>
        <w:t xml:space="preserve">how long until the document is implementable.</w:t>
      </w:r>
      <w:r>
        <w:rPr>
          <w:i/>
          <w:iCs/>
        </w:rPr>
        <w:t xml:space="preserve">"</w:t>
      </w:r>
      <w:r>
        <w:rPr>
          <w:i/>
          <w:iCs/>
        </w:rPr>
        <w:t xml:space="preserve"> Three things are missing to answer the second question: (1) no duration estimate for OI-04 and OI-01 themselves — the root decisions that gate Groups A and B; (2) no duration for the three D1 items (OI-13, OI-15, OI-16), two of which are High priority and plausibly gate actual RTL sign-off (verification detail, certification traceability) even though they have no stated dependency on the rest; (3) no duration for OI-06 (Group E) or the D2/D3 items, though these carry lower priority. Until (1) and (2) in particular are estimated, </w:t>
      </w:r>
      <w:r>
        <w:rPr>
          <w:i/>
          <w:iCs/>
        </w:rPr>
        <w:t xml:space="preserve">"</w:t>
      </w:r>
      <w:r>
        <w:rPr>
          <w:i/>
          <w:iCs/>
        </w:rPr>
        <w:t xml:space="preserve">5–10 weeks</w:t>
      </w:r>
      <w:r>
        <w:rPr>
          <w:i/>
          <w:iCs/>
        </w:rPr>
        <w:t xml:space="preserve">"</w:t>
      </w:r>
      <w:r>
        <w:rPr>
          <w:i/>
          <w:iCs/>
        </w:rPr>
        <w:t xml:space="preserve"> describes only the Group A–C sub-path, not the document</w:t>
      </w:r>
      <w:r>
        <w:rPr>
          <w:i/>
          <w:iCs/>
        </w:rPr>
        <w:t xml:space="preserve">'</w:t>
      </w:r>
      <w:r>
        <w:rPr>
          <w:i/>
          <w:iCs/>
        </w:rPr>
        <w:t xml:space="preserve">s full path to RTL-ready.</w:t>
      </w:r>
    </w:p>
    <w:p>
      <w:pPr>
        <w:pStyle w:val="Heading2"/>
        <w:spacing w:after="120" w:before="260"/>
      </w:pPr>
      <w:r>
        <w:t xml:space="preserve">10.3 Readiness Scorecard</w:t>
      </w:r>
    </w:p>
    <w:p>
      <w:pPr>
        <w:spacing w:after="140"/>
      </w:pPr>
      <w:r>
        <w:t xml:space="preserve">Per 창호: both readiness dimensions below are rated at their floor, and both are attributed to the same two root Open Items rather than to the document's structure or content quality in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3"/>
        <w:gridCol w:w="700"/>
        <w:gridCol w:w="7827"/>
      </w:tblGrid>
      <w:tr>
        <w:trPr>
          <w:tblHeader/>
        </w:trPr>
        <w:tc>
          <w:tcPr>
            <w:tcW w:type="dxa" w:w="83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Dimension</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Rating</w:t>
            </w:r>
          </w:p>
        </w:tc>
        <w:tc>
          <w:tcPr>
            <w:tcW w:type="dxa" w:w="78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8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Coding Readiness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78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 (process node) and OI-01 (completeness-window bound) are both open. Per Table 10-1, these gate Groups A, B, and (transitively) C — no RTL work in those groups has a fixed starting point until both clear.</w:t>
            </w:r>
          </w:p>
        </w:tc>
      </w:tr>
      <w:tr>
        <w:tc>
          <w:tcPr>
            <w:tcW w:type="dxa" w:w="8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Design Readiness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78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 alone blocks ASIC design start: Group A (OI-07 PHY, OI-10 isolation, OI-11 power gating) depends on it directly, and all three feed floorplanning and process-design-kit selection.</w:t>
            </w:r>
          </w:p>
        </w:tc>
      </w:tr>
    </w:tbl>
    <w:p>
      <w:pPr>
        <w:spacing w:after="80"/>
      </w:pPr>
    </w:p>
    <w:p>
      <w:pPr>
        <w:spacing w:after="160" w:before="40"/>
        <w:jc w:val="center"/>
      </w:pPr>
      <w:r>
        <w:rPr>
          <w:i/>
          <w:iCs/>
          <w:color w:val="595959"/>
          <w:sz w:val="18"/>
          <w:szCs w:val="18"/>
        </w:rPr>
        <w:t xml:space="preserve">Table 10-3. Readiness Scorecard</w:t>
      </w:r>
    </w:p>
    <w:p>
      <w:pPr>
        <w:spacing w:after="140"/>
      </w:pPr>
      <w:r>
        <w:t xml:space="preserve">The table below projects how each rating would move as specific Open Items clear, to make the scorecard actionable rather than static. These are projections, not commitments — they follow directly from the dependency structure in Sections 10.1–10.2, not from a new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3"/>
        <w:gridCol w:w="1370"/>
        <w:gridCol w:w="6707"/>
      </w:tblGrid>
      <w:tr>
        <w:trPr>
          <w:tblHeader/>
        </w:trPr>
        <w:tc>
          <w:tcPr>
            <w:tcW w:type="dxa" w:w="12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Milestone</w:t>
            </w:r>
          </w:p>
        </w:tc>
        <w:tc>
          <w:tcPr>
            <w:tcW w:type="dxa" w:w="137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Projected Rating</w:t>
            </w:r>
          </w:p>
        </w:tc>
        <w:tc>
          <w:tcPr>
            <w:tcW w:type="dxa" w:w="67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Reasoning</w:t>
            </w:r>
          </w:p>
        </w:tc>
      </w:tr>
      <w:tr>
        <w:tc>
          <w:tcPr>
            <w:tcW w:type="dxa" w:w="12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 and OI-01 both resolved</w:t>
            </w:r>
          </w:p>
        </w:tc>
        <w:tc>
          <w:tcPr>
            <w:tcW w:type="dxa" w:w="13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 ★★★☆☆</w:t>
            </w:r>
          </w:p>
        </w:tc>
        <w:tc>
          <w:tcPr>
            <w:tcW w:type="dxa" w:w="6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Unblocks Groups A, B, C to start; still bounded by Group C's 5–10 week duration (Section 10.2) before those groups finish</w:t>
            </w:r>
          </w:p>
        </w:tc>
      </w:tr>
      <w:tr>
        <w:tc>
          <w:tcPr>
            <w:tcW w:type="dxa" w:w="12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Groups A–C complete</w:t>
            </w:r>
          </w:p>
        </w:tc>
        <w:tc>
          <w:tcPr>
            <w:tcW w:type="dxa" w:w="13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6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Coding Readiness reaches this level; ASIC Design Readiness also rises but remains capped by OI-13/OI-16 (D1, High priority, no duration estimate — Section 10.2 Gap note)</w:t>
            </w:r>
          </w:p>
        </w:tc>
      </w:tr>
      <w:tr>
        <w:tc>
          <w:tcPr>
            <w:tcW w:type="dxa" w:w="12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OI-13 and OI-16 resolved with duration known</w:t>
            </w:r>
          </w:p>
        </w:tc>
        <w:tc>
          <w:tcPr>
            <w:tcW w:type="dxa" w:w="13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(RTL) — ceiling not yet knowable for ASIC</w:t>
            </w:r>
          </w:p>
        </w:tc>
        <w:tc>
          <w:tcPr>
            <w:tcW w:type="dxa" w:w="6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detail and certification traceability are the remaining High-priority gates on RTL sign-off; ASIC readiness additionally depends on OI-08's DFT scope (Group C) and has no further projection until those durations exist</w:t>
            </w:r>
          </w:p>
        </w:tc>
      </w:tr>
    </w:tbl>
    <w:p>
      <w:pPr>
        <w:spacing w:after="80"/>
      </w:pPr>
    </w:p>
    <w:p>
      <w:pPr>
        <w:spacing w:after="160" w:before="40"/>
        <w:jc w:val="center"/>
      </w:pPr>
      <w:r>
        <w:rPr>
          <w:i/>
          <w:iCs/>
          <w:color w:val="595959"/>
          <w:sz w:val="18"/>
          <w:szCs w:val="18"/>
        </w:rPr>
        <w:t xml:space="preserve">Table 10-4. Readiness Projection by Milestone</w:t>
      </w:r>
    </w:p>
    <w:p>
      <w:pPr>
        <w:pStyle w:val="Heading2"/>
        <w:spacing w:after="120" w:before="260"/>
      </w:pPr>
      <w:r>
        <w:t xml:space="preserve">10.4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3555"/>
        <w:gridCol w:w="1528"/>
        <w:gridCol w:w="2877"/>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Section</w:t>
            </w:r>
          </w:p>
        </w:tc>
        <w:tc>
          <w:tcPr>
            <w:tcW w:type="dxa" w:w="355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Open Item</w:t>
            </w:r>
          </w:p>
        </w:tc>
        <w:tc>
          <w:tcPr>
            <w:tcW w:type="dxa" w:w="152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Decision Owner</w:t>
            </w:r>
          </w:p>
        </w:tc>
        <w:tc>
          <w:tcPr>
            <w:tcW w:type="dxa" w:w="28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 (R8)</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4.3</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completeness-window latency — exact min/max clock-cycle bound</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창호 + hardware validation results</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Narrowed — window value fixed (WP#25 R1 §A.7.3); cycle count awaits clock frequency. Root item — outside Claude's ability to close further.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4.4</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Precise FPGA resource occupancy (LUT/BRAM/DSP/SerDes %) on a named device (e.g., VU9P/VU13P)</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bring-up team (Section 9)</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 — requires real synthesis tooling Claude does not have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OI-03</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6.3</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WP#25 R1 PTP jitter tolerance value and RTL-level margin policy</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WP#25 R1 maintainer</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 WP#25 R1 Table A-5/B-4</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4.5 / 8.4</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process node candidate — not yet selected for either engine</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창호 / foundry partner selection</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 — root item, requires 창호's negotiation, outside Claude's ability to close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4.1</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Gate RTL structure — FSM vs one-shot pulse vs lock register</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 WP#26.1</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Drafted — worm_write_gate.sv, compiled + simulated (Section 10.5), pending 창호 review</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OI-06a</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Layer Lock arbitration priority and deadlock avoidance (split from OI-06, R8)</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 WP#26.1</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Drafted — m_axis_layer_lock_arbiter.sv, compiled + simulated (Section 10.5), pending 창호 review</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OI-06b</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HBF ACL bit-field evaluation timing (split from OI-06, R8)</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 WP#26.1</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 — not addressed by the arbiter module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PHY/PCS detail — line coding, FEC placement, skew alignment/channel bonding, LOS/LOF logic</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 integration — WP#26.3</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OI-08</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DFT strategy — scan chain, JTAG boundary scan, SerDes BIST, WORM_CHAN_ID fuse/OTP method</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design team — WP#26.2</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OI-09</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6.1</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CDC synchronization technique for any SEU1/SEU2 monitoring tap</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(low priority — tap is non-functional)</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 Claude proposal, pending 창호 confirmation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OI-10</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5.5</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isolation implementation method — guard ring / deep N-well / ISO cell</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physical design team</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On-die power/clock-gating strategy for independent SEU1/SEU2 shutdown</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design team</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5.3</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Phase-alignment handling between SEU2 Crystal OSC and SEU1 PTP domain</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OI-13</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9</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specifics — test-vector counts, coverage targets, random/formal verification plan, isolation-validation methodology</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team — WP#26.2</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OI-14</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5.1</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Cross-document terminology tension: WP#24 core ranges ("#1–24") vs WP#25 R1-3 singular framing ("1 core = 1 instance")</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WP#24 + WP#25 R1 record owners</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 WP#25 R1 §B.9</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OI-15</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9</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FPGA↔ASIC RTL compatibility guarantee — BRAM-to-macro mapping, clock-gating/reset behavior match</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team</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OI-16</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5.5</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 50205 safety-certification RTL traceability methodology</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Safety-certification lead — WP#26.2</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bl>
    <w:p>
      <w:pPr>
        <w:spacing w:after="80"/>
      </w:pPr>
    </w:p>
    <w:p>
      <w:pPr>
        <w:spacing w:after="160" w:before="40"/>
        <w:jc w:val="center"/>
      </w:pPr>
      <w:r>
        <w:rPr>
          <w:i/>
          <w:iCs/>
          <w:color w:val="595959"/>
          <w:sz w:val="18"/>
          <w:szCs w:val="18"/>
        </w:rPr>
        <w:t xml:space="preserve">Table 10-5. Open Items Register — 17 items (OI-06 split), R8</w:t>
      </w:r>
    </w:p>
    <w:p>
      <w:pPr>
        <w:spacing w:after="140"/>
      </w:pPr>
      <w:r>
        <w:t xml:space="preserve">Items marked "WP#26.1/.2/.3" above are grouped only by natural fit; none of those addenda have scoped content yet (Table 2-1, Table 11-1 list them as contingent, not proposed-with-content).</w:t>
      </w:r>
    </w:p>
    <w:p>
      <w:pPr>
        <w:spacing w:after="140"/>
      </w:pPr>
      <w:r>
        <w:t xml:space="preserve">R7 closed three items by locating answers already present in WP#25 R1 (OI-03, OI-14) and narrowed one (OI-01) to a pure calculation once a clock frequency is chosen. R8 went further: two items (OI-05, OI-06a) now have actual compiled and simulated RTL, not just a chosen approach in prose. OI-01 and OI-04 are explicitly marked as outside Claude's ability to close by further document work — they require 창호's hardware validation and foundry negotiation respectively, and no amount of additional revision closes that gap.</w:t>
      </w:r>
    </w:p>
    <w:p>
      <w:pPr>
        <w:pStyle w:val="Heading2"/>
        <w:spacing w:after="120" w:before="260"/>
      </w:pPr>
      <w:r>
        <w:t xml:space="preserve">10.5 Companion RTL Artifacts (R8)</w:t>
      </w:r>
    </w:p>
    <w:p>
      <w:pPr>
        <w:spacing w:after="140"/>
      </w:pPr>
      <w:r>
        <w:t xml:space="preserve">Two SystemVerilog modules and two directed testbenches accompany this revision as external files, not reproduced inline. Both modules were compiled with a real Verilog compiler (Icarus Verilog 12.0) and both testbenches were simulated to completion — this is the first content in this document series that is executable rather than descriptive.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1"/>
        <w:gridCol w:w="1673"/>
        <w:gridCol w:w="6786"/>
      </w:tblGrid>
      <w:tr>
        <w:trPr>
          <w:tblHeader/>
        </w:trPr>
        <w:tc>
          <w:tcPr>
            <w:tcW w:type="dxa" w:w="9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File</w:t>
            </w:r>
          </w:p>
        </w:tc>
        <w:tc>
          <w:tcPr>
            <w:tcW w:type="dxa" w:w="16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Resolves</w:t>
            </w:r>
          </w:p>
        </w:tc>
        <w:tc>
          <w:tcPr>
            <w:tcW w:type="dxa" w:w="678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Verification Result</w:t>
            </w:r>
          </w:p>
        </w:tc>
      </w:tr>
      <w:tr>
        <w:tc>
          <w:tcPr>
            <w:tcW w:type="dxa" w:w="9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worm_write_gate.sv</w:t>
            </w:r>
          </w:p>
        </w:tc>
        <w:tc>
          <w:tcPr>
            <w:tcW w:type="dxa" w:w="16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 — 4-state FSM (IDLE/LATCH/COMMIT/LOCKED)</w:t>
            </w:r>
          </w:p>
        </w:tc>
        <w:tc>
          <w:tcPr>
            <w:tcW w:type="dxa" w:w="678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Compiles clean (iverilog -g2012). Simulated via tb_worm_write_gate.sv: 2 back-to-back records, audit-pointer incremented correctly, hbm_wr_en pulsed exactly once per record — all checks PASS.</w:t>
            </w:r>
          </w:p>
        </w:tc>
      </w:tr>
      <w:tr>
        <w:tc>
          <w:tcPr>
            <w:tcW w:type="dxa" w:w="9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m_axis_layer_lock_arbiter.sv</w:t>
            </w:r>
          </w:p>
        </w:tc>
        <w:tc>
          <w:tcPr>
            <w:tcW w:type="dxa" w:w="16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OI-06a — 2-requester alternate-on-contention arbiter</w:t>
            </w:r>
          </w:p>
        </w:tc>
        <w:tc>
          <w:tcPr>
            <w:tcW w:type="dxa" w:w="678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Compiles clean. Simulated via tb_m_axis_layer_lock_arbiter.sv: single-requester grant verified, 4 rounds of simultaneous contention resolved with zero starvation and zero dual-grant violations — all checks PASS.</w:t>
            </w:r>
          </w:p>
        </w:tc>
      </w:tr>
    </w:tbl>
    <w:p>
      <w:pPr>
        <w:spacing w:after="80"/>
      </w:pPr>
    </w:p>
    <w:p>
      <w:pPr>
        <w:spacing w:after="160" w:before="40"/>
        <w:jc w:val="center"/>
      </w:pPr>
      <w:r>
        <w:rPr>
          <w:i/>
          <w:iCs/>
          <w:color w:val="595959"/>
          <w:sz w:val="18"/>
          <w:szCs w:val="18"/>
        </w:rPr>
        <w:t xml:space="preserve">Table 10-6. Companion RTL Files — Compiled and Simulated</w:t>
      </w:r>
    </w:p>
    <w:p>
      <w:pPr>
        <w:spacing w:after="140"/>
      </w:pPr>
      <w:r>
        <w:rPr>
          <w:b/>
          <w:bCs/>
        </w:rPr>
        <w:t xml:space="preserve">Open — Scope limit: </w:t>
      </w:r>
      <w:r>
        <w:rPr>
          <w:i/>
          <w:iCs/>
        </w:rPr>
        <w:t xml:space="preserve">"</w:t>
      </w:r>
      <w:r>
        <w:rPr>
          <w:i/>
          <w:iCs/>
        </w:rPr>
        <w:t xml:space="preserve">Simulated and passing</w:t>
      </w:r>
      <w:r>
        <w:rPr>
          <w:i/>
          <w:iCs/>
        </w:rPr>
        <w:t xml:space="preserve">"</w:t>
      </w:r>
      <w:r>
        <w:rPr>
          <w:i/>
          <w:iCs/>
        </w:rPr>
        <w:t xml:space="preserve"> means the RTL behaves as designed against the checks Claude wrote — it is not synthesis-clean, not timing-closed, not reviewed by 창호, and not validated against real hardware. worm_write_gate.sv also carries one flagged design assumption (WORM_SECTOR_LOCK as a per-slot lock word) that needs 창호</w:t>
      </w:r>
      <w:r>
        <w:rPr>
          <w:i/>
          <w:iCs/>
        </w:rPr>
        <w:t xml:space="preserve">'</w:t>
      </w:r>
      <w:r>
        <w:rPr>
          <w:i/>
          <w:iCs/>
        </w:rPr>
        <w:t xml:space="preserve">s confirmation before this can be treated as more than a draft. This closes the gap between </w:t>
      </w:r>
      <w:r>
        <w:rPr>
          <w:i/>
          <w:iCs/>
        </w:rPr>
        <w:t xml:space="preserve">"</w:t>
      </w:r>
      <w:r>
        <w:rPr>
          <w:i/>
          <w:iCs/>
        </w:rPr>
        <w:t xml:space="preserve">described</w:t>
      </w:r>
      <w:r>
        <w:rPr>
          <w:i/>
          <w:iCs/>
        </w:rPr>
        <w:t xml:space="preserve">"</w:t>
      </w:r>
      <w:r>
        <w:rPr>
          <w:i/>
          <w:iCs/>
        </w:rPr>
        <w:t xml:space="preserve"> and </w:t>
      </w:r>
      <w:r>
        <w:rPr>
          <w:i/>
          <w:iCs/>
        </w:rPr>
        <w:t xml:space="preserve">"</w:t>
      </w:r>
      <w:r>
        <w:rPr>
          <w:i/>
          <w:iCs/>
        </w:rPr>
        <w:t xml:space="preserve">coded and simulated,</w:t>
      </w:r>
      <w:r>
        <w:rPr>
          <w:i/>
          <w:iCs/>
        </w:rPr>
        <w:t xml:space="preserve">"</w:t>
      </w:r>
      <w:r>
        <w:rPr>
          <w:i/>
          <w:iCs/>
        </w:rPr>
        <w:t xml:space="preserve"> not the gap between </w:t>
      </w:r>
      <w:r>
        <w:rPr>
          <w:i/>
          <w:iCs/>
        </w:rPr>
        <w:t xml:space="preserve">"</w:t>
      </w:r>
      <w:r>
        <w:rPr>
          <w:i/>
          <w:iCs/>
        </w:rPr>
        <w:t xml:space="preserve">coded and simulated</w:t>
      </w:r>
      <w:r>
        <w:rPr>
          <w:i/>
          <w:iCs/>
        </w:rPr>
        <w:t xml:space="preserve">"</w:t>
      </w:r>
      <w:r>
        <w:rPr>
          <w:i/>
          <w:iCs/>
        </w:rPr>
        <w:t xml:space="preserve"> and </w:t>
      </w:r>
      <w:r>
        <w:rPr>
          <w:i/>
          <w:iCs/>
        </w:rPr>
        <w:t xml:space="preserve">"</w:t>
      </w:r>
      <w:r>
        <w:rPr>
          <w:i/>
          <w:iCs/>
        </w:rPr>
        <w:t xml:space="preserve">production-ready.</w:t>
      </w:r>
      <w:r>
        <w:rPr>
          <w:i/>
          <w:iCs/>
        </w:rPr>
        <w:t xml:space="preserve">"</w:t>
      </w:r>
    </w:p>
    <w:p>
      <w:pPr>
        <w:pStyle w:val="Heading1"/>
        <w:spacing w:after="120" w:before="260"/>
      </w:pPr>
      <w:r>
        <w:t xml:space="preserve">11. Conclusion and Future Document Proposals</w:t>
      </w:r>
    </w:p>
    <w:p>
      <w:pPr>
        <w:spacing w:after="140"/>
      </w:pPr>
      <w:r>
        <w:t xml:space="preserve">WP#26 completes the RTL-to-silicon translation of the Dedicated Equipment structure fixed in WP#24 and the SEU1/SEU2 record structure fixed in WP#25 R1. Its central contribution is the explicit two-engine template split — SEU1 as the common, higher-volume, PTP-synchronized engine; SEU2 as the EAI-only, independently clocked, safety-relevant engine — carried consistently from RTL module decomposition through FPGA prototyping to ASIC production guidance, with ASIC treated as the primary production target for both templates given the fixed (non-reconfigurable) nature of the WORM/ACL hardware contract.</w:t>
      </w:r>
    </w:p>
    <w:p>
      <w:pPr>
        <w:spacing w:after="140"/>
      </w:pPr>
      <w:r>
        <w:t xml:space="preserve">This R2 revision does not add new architectural claims. It makes the document's 16 undecided values explicit (Section 10) rather than leaving them as qualitative language that could be mistaken for a settled decision. WP#26 R2 is therefore complete as a structural/RTL-macro specification and explicit about not yet being a coding-ready implementation guide — that gap is the Open Items Register itself, not a hidden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Next in sequence per WP#24 §11.1 / WP#25 R1 Table C-2: WP#27 (PAI AI DC Deployment Guide), covering multi-instance parallel operation of the SEU1 engine template defined here, rack wiring, and AI Data Center power specification.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4101"/>
        <w:gridCol w:w="2451"/>
      </w:tblGrid>
      <w:tr>
        <w:trPr>
          <w:tblHeader/>
        </w:trPr>
        <w:tc>
          <w:tcPr>
            <w:tcW w:type="dxa" w:w="9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1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24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R2</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(R2) — 16 open items, Section 10</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#26.1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Macro-Architecture &amp; FSM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WORM/ACL FSM, CDC technique, physical isolation implementation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OI-05/06/09/10/11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#26.2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&amp; DFT Specification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Test-plan specifics, coverage targets, DFT strategy</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OI-08/13/15/16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#26.3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PHY Integration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SerDes/PCS/FEC implementation detail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OI-07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next</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11-1. Future Document Proposals — Updated at WP#26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2026-07-12T05:33:38.946Z</dcterms:created>
  <dcterms:modified xsi:type="dcterms:W3CDTF">2026-07-12T05:33:38.946Z</dcterms:modified>
</cp:coreProperties>
</file>

<file path=docProps/custom.xml><?xml version="1.0" encoding="utf-8"?>
<Properties xmlns="http://schemas.openxmlformats.org/officeDocument/2006/custom-properties" xmlns:vt="http://schemas.openxmlformats.org/officeDocument/2006/docPropsVTypes"/>
</file>