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#WP-ECO-05</w:t>
      </w:r>
    </w:p>
    <w:p>
      <w:pPr>
        <w:pBdr>
          <w:bottom w:val="single" w:color="2E6DA4" w:sz="8" w:space="4"/>
        </w:pBdr>
        <w:spacing w:after="0" w:before="200"/>
        <w:jc w:val="center"/>
      </w:pPr>
      <w:r>
        <w:rPr>
          <w:rFonts w:ascii="Arial" w:cs="Arial" w:eastAsia="Arial" w:hAnsi="Arial"/>
          <w:b/>
          <w:bCs/>
          <w:color w:val="2E6DA4"/>
          <w:sz w:val="44"/>
          <w:szCs w:val="44"/>
        </w:rPr>
        <w:t xml:space="preserve">The Healthcare Economy</w:t>
      </w:r>
    </w:p>
    <w:p>
      <w:pPr>
        <w:spacing w:after="600" w:before="240"/>
        <w:jc w:val="center"/>
      </w:pPr>
      <w:r>
        <w:rPr>
          <w:rFonts w:ascii="Arial" w:cs="Arial" w:eastAsia="Arial" w:hAnsi="Arial"/>
          <w:color w:val="444444"/>
          <w:sz w:val="26"/>
          <w:szCs w:val="26"/>
        </w:rPr>
        <w:t xml:space="preserve">How Velsanet Transforms Medical Care Through Structural Cognition, Trust, and Sovereign Data</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Healthcare System's Structural Failures</w:t>
      </w:r>
    </w:p>
    <w:p>
      <w:pPr>
        <w:pStyle w:val="Heading2"/>
        <w:spacing w:after="160" w:before="320"/>
      </w:pPr>
      <w:r>
        <w:rPr>
          <w:rFonts w:ascii="Arial" w:cs="Arial" w:eastAsia="Arial" w:hAnsi="Arial"/>
          <w:b/>
          <w:bCs/>
          <w:color w:val="2E6DA4"/>
          <w:sz w:val="26"/>
          <w:szCs w:val="26"/>
        </w:rPr>
        <w:t xml:space="preserve">1.1 Three Problems That Cannot Be Optimized Away</w:t>
      </w:r>
    </w:p>
    <w:p>
      <w:pPr>
        <w:spacing w:after="80" w:before="80"/>
      </w:pPr>
      <w:r>
        <w:rPr>
          <w:rFonts w:ascii="Arial" w:cs="Arial" w:eastAsia="Arial" w:hAnsi="Arial"/>
          <w:color w:val="222222"/>
          <w:sz w:val="22"/>
          <w:szCs w:val="22"/>
        </w:rPr>
        <w:t xml:space="preserve">Healthcare is the most personal, most high-stakes, and most structurally broken industry in the modern economy. Its failures are not failures of effort or investment. They are structural failures that no amount of incremental improvement can resolve.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Failure</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Reality</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Consequence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Information fragmentation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records scattered across hospitals, clinics, pharmacies, and insurers — none connected</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Doctors make decisions without complete information; patients repeat tests; errors multiply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without verification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Medical credentials, drug approvals, and clinical claims are self-reported or periodically audited</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Fraud, misrepresentation, and undetected incompetence cause preventable harm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Consent without structure</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consent is a signature on a form — not a structural condition of treatment</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Patients lose control of their data and their treatment path the moment they 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Cost without accountability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Billing is opaque; pricing is arbitrary; no structural link between cost and outcome</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Healthcare costs consume 10-20% of GDP in developed economies with no structural accountability for outcomes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Access inequality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care requires proximity to major centers and financial resources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Billions of people have no access to specialist expertise regardless of need</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Healthcare does not fail because doctors are bad or hospitals are corrupt. It fails because the structure within which they operate makes information fragmentation, trust gaps, and accountability voids inevitable.</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Healthcare Architecture</w:t>
      </w:r>
    </w:p>
    <w:p>
      <w:pPr>
        <w:pStyle w:val="Heading2"/>
        <w:spacing w:after="160" w:before="320"/>
      </w:pPr>
      <w:r>
        <w:rPr>
          <w:rFonts w:ascii="Arial" w:cs="Arial" w:eastAsia="Arial" w:hAnsi="Arial"/>
          <w:b/>
          <w:bCs/>
          <w:color w:val="2E6DA4"/>
          <w:sz w:val="26"/>
          <w:szCs w:val="26"/>
        </w:rPr>
        <w:t xml:space="preserve">2.1 PAI — The Personal Health Cognitive Layer</w:t>
      </w:r>
    </w:p>
    <w:p>
      <w:pPr>
        <w:spacing w:after="80" w:before="80"/>
      </w:pPr>
      <w:r>
        <w:rPr>
          <w:rFonts w:ascii="Arial" w:cs="Arial" w:eastAsia="Arial" w:hAnsi="Arial"/>
          <w:color w:val="222222"/>
          <w:sz w:val="22"/>
          <w:szCs w:val="22"/>
        </w:rPr>
        <w:t xml:space="preserve">In the Velsanet healthcare economy, every individual's PAI serves as their lifelong personal health cognitive layer. It is not a medical record. It is a continuously updated structural representation of the person's health experience — integrating biometric signals, behavioral patterns, symptom history, treatment responses, and wellness trajectories.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13"/>
        <w:gridCol w:w="36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PAI Health Function</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biometric monitoring</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CH4 channel captures heart rate, glucose, sleep patterns, micro-expressions, stress indicators</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Baseline established before illness; deviations detected structurally before symptoms manifest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Symptom experience encapsulation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SEU captures the full multimodal experience of symptoms — pain location, intensity, duration, context</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Doctor receives structured cognitive object, not a verbal description subject to memory error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Treatment response tracking</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T-axis records all treatment events with outcomes in immutable chronological order</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Complete, verifiable treatment history travels with the patient across all providers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 generation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generates structured healthcare intent — 'I need to address recurring chest pain in context of recent high-stress work period'</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Specialist AAI receives precise, contextualized intent — not a booking request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Personal health sovereignty</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health data belongs to the individual PAI — no hospital or insurer owns it</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controls who accesses their health data and under what conditions</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Medical Transaction Guardian</w:t>
      </w:r>
    </w:p>
    <w:p>
      <w:pPr>
        <w:spacing w:after="80" w:before="80"/>
      </w:pPr>
      <w:r>
        <w:rPr>
          <w:rFonts w:ascii="Arial" w:cs="Arial" w:eastAsia="Arial" w:hAnsi="Arial"/>
          <w:color w:val="222222"/>
          <w:sz w:val="22"/>
          <w:szCs w:val="22"/>
        </w:rPr>
        <w:t xml:space="preserve">Healthcare AAI is the most complex and most consequential AAI domain. It must simultaneously apply medical ethics, clinical evidence standards, regulatory requirements, insurance conditions, and jurisdiction-specific healthcare law — all in real time, before any treatment is authorized.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Healthcare Role</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Medical ethics validation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Every treatment intent validated against applicable medical ethics framework — informed consent, non-maleficence, autonomy, justice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Clinical evidence gating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Treatment options validated against current evidence base — experimental treatments flagged, contraindications checked structurally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Regulatory compliance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Drug approvals, device certifications, practitioner licenses verified structurally before any prescription or procedure authorization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Insurance pre-authorization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Coverage conditions validated structurally before treatment — no surprise billing possible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Specialist matching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health intent matched against verified specialist AsAI providers — credentials, outcomes record, availability, geographic accessibility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Emergency override protocol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emergency pathway bypasses standard validation sequence while maintaining structural record of override authorization</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Medical AAI does not replace the doctor's judgment. It ensures that the doctor's judgment is applied within a structurally verified information environment — with complete patient history, verified credentials, and automatic compliance.</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Healthcare Execution Layer</w:t>
      </w:r>
    </w:p>
    <w:p>
      <w:pPr>
        <w:spacing w:after="80" w:before="80"/>
      </w:pPr>
      <w:r>
        <w:rPr>
          <w:rFonts w:ascii="Arial" w:cs="Arial" w:eastAsia="Arial" w:hAnsi="Arial"/>
          <w:color w:val="222222"/>
          <w:sz w:val="22"/>
          <w:szCs w:val="22"/>
        </w:rPr>
        <w:t xml:space="preserve">Healthcare AsAI encompasses every entity that delivers medical services: hospitals, clinics, specialist practices, pharmacies, diagnostic laboratories, medical device providers, and insurance execution systems. In the Velsanet economy, these entities do not market themselves to patients. They register in the Healthcare AAI Sponsored Registry and compete on structural quality metrics.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AsAI Healthcare Provider</w:t>
            </w:r>
          </w:p>
        </w:tc>
        <w:tc>
          <w:tcPr>
            <w:tcW w:type="dxa" w:w="6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Hospitals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Receive only AAI-validated, pre-authorized patient intents. No intake paperwork. No insurance pre-authorization calls. Structural record generated automatically for every interaction.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Specialist physicians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Matched to patients whose PAI cognitive profile matches their domain expertise. Consultation begins with complete structural health history. Billing executed automatically on treatment completion.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Pharmacies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Receive only AAI-validated prescriptions. Drug interaction checks performed structurally before dispensing. Substitution options presented with structural equivalence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laboratories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 structured test orders with full patient context. Results returned to patient PAI directly — not mediated through paper or fragmented systems.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Insurers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Premium calculation based on continuous PAI biometric data — voluntary, consent-governed. Claims executed automatically when AAI validates treatment completion against coverage terms.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Sovereign Health Data Economy</w:t>
      </w:r>
    </w:p>
    <w:p>
      <w:pPr>
        <w:pStyle w:val="Heading2"/>
        <w:spacing w:after="160" w:before="320"/>
      </w:pPr>
      <w:r>
        <w:rPr>
          <w:rFonts w:ascii="Arial" w:cs="Arial" w:eastAsia="Arial" w:hAnsi="Arial"/>
          <w:b/>
          <w:bCs/>
          <w:color w:val="2E6DA4"/>
          <w:sz w:val="26"/>
          <w:szCs w:val="26"/>
        </w:rPr>
        <w:t xml:space="preserve">3.1 Your Health Data Belongs to You</w:t>
      </w:r>
    </w:p>
    <w:p>
      <w:pPr>
        <w:spacing w:after="80" w:before="80"/>
      </w:pPr>
      <w:r>
        <w:rPr>
          <w:rFonts w:ascii="Arial" w:cs="Arial" w:eastAsia="Arial" w:hAnsi="Arial"/>
          <w:color w:val="222222"/>
          <w:sz w:val="22"/>
          <w:szCs w:val="22"/>
        </w:rPr>
        <w:t xml:space="preserve">In the current healthcare economy, health data is owned by whoever collected it. Hospitals own patient records. Insurers own claims data. Pharmaceutical companies own trial data. The patient — whose body generated all of it — owns nothing.</w:t>
      </w:r>
    </w:p>
    <w:p>
      <w:pPr>
        <w:spacing w:after="60" w:before="60"/>
      </w:pPr>
      <w:r>
        <w:t xml:space="preserve"/>
      </w:r>
    </w:p>
    <w:p>
      <w:pPr>
        <w:spacing w:after="80" w:before="80"/>
      </w:pPr>
      <w:r>
        <w:rPr>
          <w:rFonts w:ascii="Arial" w:cs="Arial" w:eastAsia="Arial" w:hAnsi="Arial"/>
          <w:color w:val="222222"/>
          <w:sz w:val="22"/>
          <w:szCs w:val="22"/>
        </w:rPr>
        <w:t xml:space="preserve">In the Velsanet healthcare economy, all health data originates in and belongs to the individual's PAI. No provider receives raw health data. They receive structured, consent-governed cognitive outputs — the minimum information necessary to provide the requested service.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Ownership</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Ownership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Medical records</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Hospital or clinic that created them</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PAI — immutable raw memory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results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Laboratory or imaging center</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PAI — returned directly, not held by provider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Prescription history</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Pharmacy chain database</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PAI — shared only with authorized providers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Biometric data</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Wearable device company or insurer</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PAI — never transmitted without explicit consent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Treatment outcomes</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Hospital quality database</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PAI + anonymized contribution to AAI evidence base (consent-governed)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3.2 The Medical Research Economy</w:t>
      </w:r>
    </w:p>
    <w:p>
      <w:pPr>
        <w:spacing w:after="80" w:before="80"/>
      </w:pPr>
      <w:r>
        <w:rPr>
          <w:rFonts w:ascii="Arial" w:cs="Arial" w:eastAsia="Arial" w:hAnsi="Arial"/>
          <w:color w:val="222222"/>
          <w:sz w:val="22"/>
          <w:szCs w:val="22"/>
        </w:rPr>
        <w:t xml:space="preserve">Sovereign health data does not mean data that never moves. It means data that only moves under structural consent — and when it moves, the individual receives value for its use.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Pharmaceutical research: Companies seeking clinical data submit structured research intent to Medical AAI. AAI matches with individuals whose PAI health profiles fit the research criteria. Individuals consent and receive structural compensation. Data is transferred under AAI-enforced research ethics protocols.</w:t>
      </w:r>
    </w:p>
    <w:p>
      <w:pPr>
        <w:pStyle w:val="ListParagraph"/>
        <w:numPr>
          <w:ilvl w:val="0"/>
          <w:numId w:val="2"/>
        </w:numPr>
        <w:spacing w:after="60" w:before="60"/>
      </w:pPr>
      <w:r>
        <w:rPr>
          <w:rFonts w:ascii="Arial" w:cs="Arial" w:eastAsia="Arial" w:hAnsi="Arial"/>
          <w:sz w:val="22"/>
          <w:szCs w:val="22"/>
        </w:rPr>
        <w:t xml:space="preserve">Epidemiological surveillance: Public health AAI aggregates anonymized PAI health signals across populations. Individual identity is never exposed. Disease patterns detected structurally before outbreak thresholds are reached.</w:t>
      </w:r>
    </w:p>
    <w:p>
      <w:pPr>
        <w:pStyle w:val="ListParagraph"/>
        <w:numPr>
          <w:ilvl w:val="0"/>
          <w:numId w:val="2"/>
        </w:numPr>
        <w:spacing w:after="60" w:before="60"/>
      </w:pPr>
      <w:r>
        <w:rPr>
          <w:rFonts w:ascii="Arial" w:cs="Arial" w:eastAsia="Arial" w:hAnsi="Arial"/>
          <w:sz w:val="22"/>
          <w:szCs w:val="22"/>
        </w:rPr>
        <w:t xml:space="preserve">Drug efficacy monitoring: Post-market drug monitoring conducted through continuous PAI treatment response tracking. Adverse events detected structurally and reported to regulatory AAI automatically.</w:t>
      </w:r>
    </w:p>
    <w:p>
      <w:pPr>
        <w:pStyle w:val="ListParagraph"/>
        <w:numPr>
          <w:ilvl w:val="0"/>
          <w:numId w:val="2"/>
        </w:numPr>
        <w:spacing w:after="60" w:before="60"/>
      </w:pPr>
      <w:r>
        <w:rPr>
          <w:rFonts w:ascii="Arial" w:cs="Arial" w:eastAsia="Arial" w:hAnsi="Arial"/>
          <w:sz w:val="22"/>
          <w:szCs w:val="22"/>
        </w:rPr>
        <w:t xml:space="preserve">Personalized medicine: PAI genomic and biometric profiles matched against treatment response databases to generate structurally personalized treatment recommendations.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New Healthcare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3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Enabled By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Outcome-contingent payment</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Healthcare providers paid based on structurally verified treatment outcomes, not procedures performed</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continuous outcome tracking + AAI payment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Preventive care subscription</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continuously monitors health baseline; AAI triggers preventive interventions before illness manifests; subscription fee replaces episodic treatment cost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biometric monitoring + AAI pattern recognition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Global specialist access</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Patients in any location access specialist expertise through AAI matching — geography eliminated as barrier</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global registry + AsAI remote consultation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AI-native diagnostics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AsAI providers compete on accuracy of PAI health pattern interpretation — continuous improvement driven by structural outcome feedback</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cognitive health data + AAI outcome verification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Health data cooperative</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Individuals pool PAI health data under collective AAI governance — data value shared among contributors</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sovereignty + AAI collective consent management</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w:t>
      </w:r>
    </w:p>
    <w:p>
      <w:pPr>
        <w:spacing w:after="80" w:before="80"/>
      </w:pPr>
      <w:r>
        <w:rPr>
          <w:rFonts w:ascii="Arial" w:cs="Arial" w:eastAsia="Arial" w:hAnsi="Arial"/>
          <w:color w:val="222222"/>
          <w:sz w:val="22"/>
          <w:szCs w:val="22"/>
        </w:rPr>
        <w:t xml:space="preserve">Healthcare fails structurally because information is fragmented, trust is unverifiable, and accountability is post-hoc. Velsanet addresses all three simultaneously: PAI unifies health information in sovereign individual custody; AAI verifies trust and enforces accountability before treatment; AsAI executes within structurally defined authority boundaries.</w:t>
      </w:r>
    </w:p>
    <w:p>
      <w:pPr>
        <w:spacing w:after="60" w:before="60"/>
      </w:pPr>
      <w:r>
        <w:t xml:space="preserve"/>
      </w:r>
    </w:p>
    <w:p>
      <w:pPr>
        <w:spacing w:after="80" w:before="80"/>
      </w:pPr>
      <w:r>
        <w:rPr>
          <w:rFonts w:ascii="Arial" w:cs="Arial" w:eastAsia="Arial" w:hAnsi="Arial"/>
          <w:color w:val="222222"/>
          <w:sz w:val="22"/>
          <w:szCs w:val="22"/>
        </w:rPr>
        <w:t xml:space="preserve">The result is not better healthcare within the existing system. It is a structurally different healthcare economy — one in which every patient has complete information sovereignty, every provider is structurally accountable, and every transaction is verifiable from intent to outcome.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healthcare economy, the patient is not a record in someone else's database. The patient is the database — sovereign, portable, and structurally protected.</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2026-04-10T22:09:53.482Z</dcterms:created>
  <dcterms:modified xsi:type="dcterms:W3CDTF">2026-04-10T22:09:53.482Z</dcterms:modified>
</cp:coreProperties>
</file>

<file path=docProps/custom.xml><?xml version="1.0" encoding="utf-8"?>
<Properties xmlns="http://schemas.openxmlformats.org/officeDocument/2006/custom-properties" xmlns:vt="http://schemas.openxmlformats.org/officeDocument/2006/docPropsVTypes"/>
</file>