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WP#31 — Schematic &amp; BOM</w:t>
      </w:r>
    </w:p>
    <w:p>
      <w:pPr>
        <w:spacing w:after="160"/>
      </w:pPr>
      <w:r>
        <w:rPr>
          <w:b w:val="false"/>
          <w:bCs w:val="false"/>
          <w:i/>
          <w:iCs/>
          <w:sz w:val="22"/>
          <w:szCs w:val="22"/>
        </w:rPr>
        <w:t xml:space="preserve">System Block Diagram · Component Selection · Power/Clock Distribution · 800G Optical Interface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(§3–8) drafted, updated for WP#30 OI-30-17, WP#29 R10 (Master/Standby Mode B), and QSFP-DD/citation corrections (OI-31-11, OI-31-12)</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Node equipment schematic-level design (System Block Diagram, Component Selection, Power/Clock Distribution, 800G Optical Interface) and Bill of Materials — die/board-level component connections, distinct from WP#32's PCB placement/routing</w:t>
            </w:r>
          </w:p>
        </w:tc>
        <w:tc>
          <w:tcPr>
            <w:tcW w:type="dxa" w:w="2160"/>
          </w:tcPr>
          <w:p>
            <w:r>
              <w:rPr>
                <w:b w:val="false"/>
                <w:bCs w:val="false"/>
                <w:sz w:val="20"/>
                <w:szCs w:val="20"/>
              </w:rPr>
              <w:t xml:space="preserve">Extends WP#24 §4 (electrical interfaces), §7/Figure 7-1 (PCB component block list); WP#23 §6 (BOM pattern); WP#26 §4.4/§7 (FPGA target, 800G interface); WP#30 (Matrix RTL/physical implementation this schematic realizes);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(following the WP#30 pattern): section scopes and open items are fixed now; component selection, specific part numbers, and BOM values are filled in section by section in later sessions, grounded only in what prior documents (WP#23 §6, WP#24 §4/§7, WP#26 §4.4/§7) actually specify. No part number, voltage, or dimension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WP#31 is the schematic-level design and Bill of Materials document for Velsanet network equipment (O8/D12/I20 nodes), realizing WP#30's Matrix switching/routing RTL and physical implementation as an actual component-level circuit. It was proposed at WP#29 §12 (Table 12-1) and its scope was fixed at WP#29 R7: component selection, power/clock distribution, and the 800G optical interface at the schematic (component-connection) level — explicitly distinct from WP#32's PCB-level (board placement/routing) layout.</w:t>
      </w:r>
    </w:p>
    <w:p>
      <w:pPr>
        <w:spacing w:after="160"/>
      </w:pPr>
      <w:r>
        <w:rPr>
          <w:b w:val="false"/>
          <w:bCs w:val="false"/>
          <w:i w:val="false"/>
          <w:iCs w:val="false"/>
          <w:sz w:val="22"/>
          <w:szCs w:val="22"/>
        </w:rPr>
        <w:t xml:space="preserve">ASIC-stage assumptions in this document (§5.1a, §8 item 12) are based on WP#30's resolved process-node decision (16nm-class, Phase 1, WP#30 Table 7-1a) — foundry selection itself remains open there and is not decided in this document.</w:t>
      </w:r>
    </w:p>
    <w:p>
      <w:pPr>
        <w:spacing w:after="160"/>
      </w:pPr>
      <w:r>
        <w:rPr>
          <w:b/>
          <w:bCs/>
          <w:sz w:val="22"/>
          <w:szCs w:val="22"/>
        </w:rPr>
        <w:t xml:space="preserve">New, per 창호 this session — Master/Standby BOM variant: </w:t>
      </w:r>
      <w:r>
        <w:rPr>
          <w:sz w:val="22"/>
          <w:szCs w:val="22"/>
        </w:rPr>
        <w:t xml:space="preserve">per WP#29 R10 (§10.7.10), any node designated Master or Standby for hypercube coordination must be Mode B (no PAI/EAI attached). Since the Dedicated Equipment card (WP#24 Figure 7-1 — citation unverified, see OI-31-12) carries PAI/EAI's SEU1/SEU2 RTL and is treated in this document as a fixed sub-assembly (§1, out of scope), a Master/Standby-designated node's BOM (§8) omits that sub-assembly entirely, rather than populating it and leaving it unused. This is stated here as a BOM-variant principle; the specific mechanism (separate BOM line-item set vs. a populate/no-populate option on one BOM) is not yet decided — see OI-31-10.</w:t>
      </w:r>
    </w:p>
    <w:p>
      <w:pPr>
        <w:spacing w:after="160"/>
      </w:pPr>
      <w:r>
        <w:rPr>
          <w:b w:val="false"/>
          <w:bCs w:val="false"/>
          <w:i w:val="false"/>
          <w:iCs w:val="false"/>
          <w:sz w:val="22"/>
          <w:szCs w:val="22"/>
        </w:rPr>
        <w:t xml:space="preserve">Scope includes: system block diagram extending WP#24 Figure 7-1's component list to the node-equipment level (Section 3); component selection for FPGA/ASIC, optical transceivers, memory, and power ICs (Section 4); power distribution network (Section 5); clock distribution (Section 6); 800G optical interface schematic (Section 7); and the Bill of Materials (Section 8).</w:t>
      </w:r>
    </w:p>
    <w:p>
      <w:pPr>
        <w:spacing w:after="160"/>
      </w:pPr>
      <w:r>
        <w:rPr>
          <w:b w:val="false"/>
          <w:bCs w:val="false"/>
          <w:i w:val="false"/>
          <w:iCs w:val="false"/>
          <w:sz w:val="22"/>
          <w:szCs w:val="22"/>
        </w:rPr>
        <w:t xml:space="preserve">Out of scope: the Matrix RTL itself (WP#30, unchanged here); PCB-level component placement and trace routing (WP#32); integration test planning (WP#33); the Dedicated Equipment's own internal schematic (WP#24 Figure 7-1's DEMUX/SEU/MUX ICs, which this document treats as a fixed input block rather than redesigning).</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PCB layout (Dedicated Equipment card)</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 (this document)</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v1.0</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WP#31 (skeleton)</w:t>
      </w:r>
    </w:p>
    <w:p>
      <w:pPr>
        <w:pStyle w:val="Heading1"/>
        <w:spacing w:after="160" w:before="280"/>
      </w:pPr>
      <w:r>
        <w:rPr>
          <w:b/>
          <w:bCs/>
        </w:rPr>
        <w:t xml:space="preserve">3. System Block Diagram</w:t>
      </w:r>
    </w:p>
    <w:p>
      <w:pPr>
        <w:spacing w:after="160"/>
      </w:pPr>
      <w:r>
        <w:rPr>
          <w:b w:val="false"/>
          <w:bCs w:val="false"/>
          <w:i w:val="false"/>
          <w:iCs w:val="false"/>
          <w:sz w:val="22"/>
          <w:szCs w:val="22"/>
        </w:rPr>
        <w:t xml:space="preserve">The node equipment schematic extends WP#24 Figure 7-1's Dedicated Equipment component block list by adding the node-level blocks defined in WP#29 and WP#30.</w:t>
      </w:r>
    </w:p>
    <w:p>
      <w:pPr>
        <w:pStyle w:val="Heading2"/>
        <w:spacing w:after="160" w:before="280"/>
      </w:pPr>
      <w:r>
        <w:rPr>
          <w:b/>
          <w:bCs/>
        </w:rPr>
        <w:t xml:space="preserve">3.1 Existing Dedicated Equipment Blocks (from WP#24 Figure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D9D9D9" w:val="clear"/>
          </w:tcPr>
          <w:p>
            <w:r>
              <w:rPr>
                <w:b/>
                <w:bCs/>
                <w:sz w:val="20"/>
                <w:szCs w:val="20"/>
              </w:rPr>
              <w:t xml:space="preserve">Block</w:t>
            </w:r>
          </w:p>
        </w:tc>
        <w:tc>
          <w:tcPr>
            <w:tcW w:type="dxa" w:w="4680"/>
            <w:shd w:fill="D9D9D9" w:val="clear"/>
          </w:tcPr>
          <w:p>
            <w:r>
              <w:rPr>
                <w:b/>
                <w:bCs/>
                <w:sz w:val="20"/>
                <w:szCs w:val="20"/>
              </w:rPr>
              <w:t xml:space="preserve">Source</w:t>
            </w:r>
          </w:p>
        </w:tc>
      </w:tr>
      <w:tr>
        <w:tc>
          <w:tcPr>
            <w:tcW w:type="dxa" w:w="4680"/>
          </w:tcPr>
          <w:p>
            <w:r>
              <w:rPr>
                <w:b w:val="false"/>
                <w:bCs w:val="false"/>
                <w:sz w:val="20"/>
                <w:szCs w:val="20"/>
              </w:rPr>
              <w:t xml:space="preserve">DEMUX IC (Block A)</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SEU Assembly Engine</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WORM CTRL / HBM Gate ASIC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MUX IC (Block B)</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Network Adapter / L4-L5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ACL / 5-Axis Matrix</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Cube Write-Back (Block 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M-AXIS Lock register</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D12 Uplink / 800G Fabric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Edge Header, CH1–CH16 pin block</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CH11 Relay Island (isolated, no shared trace)</w:t>
            </w:r>
          </w:p>
        </w:tc>
        <w:tc>
          <w:tcPr>
            <w:tcW w:type="dxa" w:w="4680"/>
          </w:tcPr>
          <w:p>
            <w:r>
              <w:rPr>
                <w:b w:val="false"/>
                <w:bCs w:val="false"/>
                <w:sz w:val="20"/>
                <w:szCs w:val="20"/>
              </w:rPr>
              <w:t xml:space="preserve">WP#24 Figure 7-1</w:t>
            </w:r>
          </w:p>
        </w:tc>
      </w:tr>
    </w:tbl>
    <w:p>
      <w:pPr>
        <w:spacing w:after="200"/>
      </w:pPr>
      <w:r>
        <w:rPr>
          <w:i/>
          <w:iCs/>
          <w:sz w:val="20"/>
          <w:szCs w:val="20"/>
        </w:rPr>
        <w:t xml:space="preserve">Table 3-1. Existing Dedicated Equipment Blocks — reused from WP#24 Figure 7-1 (citation unverified — see OI-31-12)</w:t>
      </w:r>
    </w:p>
    <w:p>
      <w:pPr>
        <w:pStyle w:val="Heading2"/>
        <w:spacing w:after="160" w:before="280"/>
      </w:pPr>
      <w:r>
        <w:rPr>
          <w:b/>
          <w:bCs/>
        </w:rPr>
        <w:t xml:space="preserve">3.2 Node-Level Additions (from WP#29/WP#30)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Block</w:t>
            </w:r>
          </w:p>
        </w:tc>
        <w:tc>
          <w:tcPr>
            <w:tcW w:type="dxa" w:w="4560"/>
            <w:shd w:fill="D9D9D9" w:val="clear"/>
          </w:tcPr>
          <w:p>
            <w:r>
              <w:rPr>
                <w:b/>
                <w:bCs/>
                <w:sz w:val="20"/>
                <w:szCs w:val="20"/>
              </w:rPr>
              <w:t xml:space="preserve">Function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Matrix Switch Fabric</w:t>
            </w:r>
          </w:p>
        </w:tc>
        <w:tc>
          <w:tcPr>
            <w:tcW w:type="dxa" w:w="4560"/>
          </w:tcPr>
          <w:p>
            <w:r>
              <w:rPr>
                <w:b w:val="false"/>
                <w:bCs w:val="false"/>
                <w:sz w:val="20"/>
                <w:szCs w:val="20"/>
              </w:rPr>
              <w:t xml:space="preserve">Receives SerDes lanes from the 800G optical interface (§7) and performs switching/routing</w:t>
            </w:r>
          </w:p>
        </w:tc>
        <w:tc>
          <w:tcPr>
            <w:tcW w:type="dxa" w:w="2600"/>
          </w:tcPr>
          <w:p>
            <w:r>
              <w:rPr>
                <w:b w:val="false"/>
                <w:bCs w:val="false"/>
                <w:sz w:val="20"/>
                <w:szCs w:val="20"/>
              </w:rPr>
              <w:t xml:space="preserve">WP#30 §3</w:t>
            </w:r>
          </w:p>
        </w:tc>
      </w:tr>
      <w:tr>
        <w:tc>
          <w:tcPr>
            <w:tcW w:type="dxa" w:w="2200"/>
          </w:tcPr>
          <w:p>
            <w:r>
              <w:rPr>
                <w:b w:val="false"/>
                <w:bCs w:val="false"/>
                <w:sz w:val="20"/>
                <w:szCs w:val="20"/>
              </w:rPr>
              <w:t xml:space="preserve">MONITOR_CH</w:t>
            </w:r>
          </w:p>
        </w:tc>
        <w:tc>
          <w:tcPr>
            <w:tcW w:type="dxa" w:w="4560"/>
          </w:tcPr>
          <w:p>
            <w:r>
              <w:rPr>
                <w:b w:val="false"/>
                <w:bCs w:val="false"/>
                <w:sz w:val="20"/>
                <w:szCs w:val="20"/>
              </w:rPr>
              <w:t xml:space="preserve">Monitors link status (LOS/BER) and reports to the NPU</w:t>
            </w:r>
          </w:p>
        </w:tc>
        <w:tc>
          <w:tcPr>
            <w:tcW w:type="dxa" w:w="2600"/>
          </w:tcPr>
          <w:p>
            <w:r>
              <w:rPr>
                <w:b w:val="false"/>
                <w:bCs w:val="false"/>
                <w:sz w:val="20"/>
                <w:szCs w:val="20"/>
              </w:rPr>
              <w:t xml:space="preserve">WP#30 §3.1</w:t>
            </w:r>
          </w:p>
        </w:tc>
      </w:tr>
      <w:tr>
        <w:tc>
          <w:tcPr>
            <w:tcW w:type="dxa" w:w="2200"/>
          </w:tcPr>
          <w:p>
            <w:r>
              <w:rPr>
                <w:b w:val="false"/>
                <w:bCs w:val="false"/>
                <w:sz w:val="20"/>
                <w:szCs w:val="20"/>
              </w:rPr>
              <w:t xml:space="preserve">NPU (Node Intelligence)</w:t>
            </w:r>
          </w:p>
        </w:tc>
        <w:tc>
          <w:tcPr>
            <w:tcW w:type="dxa" w:w="4560"/>
          </w:tcPr>
          <w:p>
            <w:r>
              <w:rPr>
                <w:b w:val="false"/>
                <w:bCs w:val="false"/>
                <w:sz w:val="20"/>
                <w:szCs w:val="20"/>
              </w:rPr>
              <w:t xml:space="preserve">Executes rule-based decisions (self-healing, resource scaling) and configures the Matrix via MONITOR_CONFIG_REG</w:t>
            </w:r>
          </w:p>
        </w:tc>
        <w:tc>
          <w:tcPr>
            <w:tcW w:type="dxa" w:w="2600"/>
          </w:tcPr>
          <w:p>
            <w:r>
              <w:rPr>
                <w:b w:val="false"/>
                <w:bCs w:val="false"/>
                <w:sz w:val="20"/>
                <w:szCs w:val="20"/>
              </w:rPr>
              <w:t xml:space="preserve">WP#29 §10.7.11 / WP#30 §6</w:t>
            </w:r>
          </w:p>
        </w:tc>
      </w:tr>
    </w:tbl>
    <w:p>
      <w:pPr>
        <w:spacing w:after="200"/>
      </w:pPr>
      <w:r>
        <w:rPr>
          <w:i/>
          <w:iCs/>
          <w:sz w:val="20"/>
          <w:szCs w:val="20"/>
        </w:rPr>
        <w:t xml:space="preserve">Table 3-2. Node-Level Additions — confirmed per 창호, sourced from WP#29/WP#30</w:t>
      </w:r>
    </w:p>
    <w:p>
      <w:pPr>
        <w:spacing w:after="200"/>
      </w:pPr>
      <w:r>
        <w:rPr>
          <w:i/>
          <w:iCs/>
          <w:color w:val="888888"/>
          <w:sz w:val="22"/>
          <w:szCs w:val="22"/>
        </w:rPr>
        <w:t xml:space="preserve">[상세 미정 — 차후 세션에서 확정] Signal flow between blocks (e.g. DEMUX → Matrix → MUX, MONITOR_CH → NPU → Matrix) and the exact connection topology are not yet drawn — depends on WP#30 OI-30-04 (RTL module breakdown).</w:t>
      </w:r>
    </w:p>
    <w:p>
      <w:pPr>
        <w:pStyle w:val="Heading2"/>
        <w:spacing w:after="160" w:before="280"/>
      </w:pPr>
      <w:r>
        <w:rPr>
          <w:b/>
          <w:bCs/>
        </w:rPr>
        <w:t xml:space="preserve">3.3 Inter-Block Connectivity Rules</w:t>
      </w:r>
    </w:p>
    <w:p>
      <w:pPr>
        <w:spacing w:after="160"/>
      </w:pPr>
      <w:r>
        <w:rPr>
          <w:b w:val="false"/>
          <w:bCs w:val="false"/>
          <w:i w:val="false"/>
          <w:iCs w:val="false"/>
          <w:sz w:val="22"/>
          <w:szCs w:val="22"/>
        </w:rPr>
        <w:t xml:space="preserve">To preserve signal integrity and maintain architectural separation between real-time data switching and node management/control functions, the node equipment schematic distinguishes two physical connection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D9D9D9" w:val="clear"/>
          </w:tcPr>
          <w:p>
            <w:r>
              <w:rPr>
                <w:b/>
                <w:bCs/>
                <w:sz w:val="20"/>
                <w:szCs w:val="20"/>
              </w:rPr>
              <w:t xml:space="preserve">Class</w:t>
            </w:r>
          </w:p>
        </w:tc>
        <w:tc>
          <w:tcPr>
            <w:tcW w:type="dxa" w:w="7560"/>
            <w:shd w:fill="D9D9D9" w:val="clear"/>
          </w:tcPr>
          <w:p>
            <w:r>
              <w:rPr>
                <w:b/>
                <w:bCs/>
                <w:sz w:val="20"/>
                <w:szCs w:val="20"/>
              </w:rPr>
              <w:t xml:space="preserve">Description</w:t>
            </w:r>
          </w:p>
        </w:tc>
      </w:tr>
      <w:tr>
        <w:tc>
          <w:tcPr>
            <w:tcW w:type="dxa" w:w="1800"/>
          </w:tcPr>
          <w:p>
            <w:r>
              <w:rPr>
                <w:b w:val="false"/>
                <w:bCs w:val="false"/>
                <w:sz w:val="20"/>
                <w:szCs w:val="20"/>
              </w:rPr>
              <w:t xml:space="preserve">Data Path</w:t>
            </w:r>
          </w:p>
        </w:tc>
        <w:tc>
          <w:tcPr>
            <w:tcW w:type="dxa" w:w="7560"/>
          </w:tcPr>
          <w:p>
            <w:r>
              <w:rPr>
                <w:b w:val="false"/>
                <w:bCs w:val="false"/>
                <w:sz w:val="20"/>
                <w:szCs w:val="20"/>
              </w:rPr>
              <w:t xml:space="preserve">High-speed differential pairs (SerDes lanes) originating from the 800G optical interface (§7) are mapped directly to the Matrix Switch Fabric inputs. These paths operate at 800G PAM4 rates and are routed according to high-speed PCB rules (controlled impedance, differential pairing, length matching). Carries user-facing PAI/EAI traffic and inter-node data.</w:t>
            </w:r>
          </w:p>
        </w:tc>
      </w:tr>
      <w:tr>
        <w:tc>
          <w:tcPr>
            <w:tcW w:type="dxa" w:w="1800"/>
          </w:tcPr>
          <w:p>
            <w:r>
              <w:rPr>
                <w:b w:val="false"/>
                <w:bCs w:val="false"/>
                <w:sz w:val="20"/>
                <w:szCs w:val="20"/>
              </w:rPr>
              <w:t xml:space="preserve">Control Path</w:t>
            </w:r>
          </w:p>
        </w:tc>
        <w:tc>
          <w:tcPr>
            <w:tcW w:type="dxa" w:w="7560"/>
          </w:tcPr>
          <w:p>
            <w:r>
              <w:rPr>
                <w:b w:val="false"/>
                <w:bCs w:val="false"/>
                <w:sz w:val="20"/>
                <w:szCs w:val="20"/>
              </w:rPr>
              <w:t xml:space="preserve">Monitoring and management interfaces — specifically MONITOR_CH (link status, LOS/BER, §3.1; realized as monitor_control_word[31:0] per WP#30 §3.3) and the NPU configuration interface (§6) — use a secondary lower-speed bus, physically and electrically separate from the high-speed data fabric. This prevents control-plane traffic from coupling onto the high-speed data paths. Typical control-path protocols (SPI, I2C, UART, or parallel register buses) run at orders of magnitude lower speed than the 800G data lanes and are routed on different PCB layers or separate connector pins where applicable.</w:t>
            </w:r>
          </w:p>
        </w:tc>
      </w:tr>
    </w:tbl>
    <w:p>
      <w:pPr>
        <w:spacing w:after="200"/>
      </w:pPr>
      <w:r>
        <w:rPr>
          <w:i/>
          <w:iCs/>
          <w:sz w:val="20"/>
          <w:szCs w:val="20"/>
        </w:rPr>
        <w:t xml:space="preserve">Table 3-3. Data Path vs. Control Path — confirmed per 창호</w:t>
      </w:r>
    </w:p>
    <w:p>
      <w:pPr>
        <w:spacing w:after="200"/>
      </w:pPr>
      <w:r>
        <w:rPr>
          <w:i/>
          <w:iCs/>
          <w:color w:val="888888"/>
          <w:sz w:val="22"/>
          <w:szCs w:val="22"/>
        </w:rPr>
        <w:t xml:space="preserve">[상세 미정 — 차후 세션에서 확정] Exact control-bus topology (star vs. daisy-chain, pin assignments, voltage levels, specific interface protocol) depends on component selection (§4) and the NPU–Matrix command interface latency details (§6, WP#30 OI-30-16), both still open.</w:t>
      </w:r>
    </w:p>
    <w:p>
      <w:pPr>
        <w:pStyle w:val="Heading1"/>
        <w:spacing w:after="160" w:before="280"/>
      </w:pPr>
      <w:r>
        <w:rPr>
          <w:b/>
          <w:bCs/>
        </w:rPr>
        <w:t xml:space="preserve">4. Component Selection</w:t>
      </w:r>
    </w:p>
    <w:p>
      <w:pPr>
        <w:spacing w:after="160"/>
      </w:pPr>
      <w:r>
        <w:rPr>
          <w:b w:val="false"/>
          <w:bCs w:val="false"/>
          <w:i w:val="false"/>
          <w:iCs w:val="false"/>
          <w:sz w:val="22"/>
          <w:szCs w:val="22"/>
        </w:rPr>
        <w:t xml:space="preserve">Selecting actual parts (manufacturer, part number, key specification) for the FPGA/ASIC implementing the Matrix switch fabric, optical transceivers for the 800G interface, memory, and power-supply ICs — following WP#23 §6's BOM pattern of naming a real component/specification/key-parameter/quantity per line, not placeholder categories.</w:t>
      </w:r>
    </w:p>
    <w:p>
      <w:pPr>
        <w:spacing w:after="160"/>
      </w:pPr>
      <w:r>
        <w:rPr>
          <w:b w:val="false"/>
          <w:bCs w:val="false"/>
          <w:i w:val="false"/>
          <w:iCs w:val="false"/>
          <w:sz w:val="22"/>
          <w:szCs w:val="22"/>
        </w:rPr>
        <w:t xml:space="preserve">Narrowed by WP#30 OI-30-05 (FPGA target narrowed to VU19P or newer, GTM-class transceiver requirement). Candidate parts below were verified against real third-party VU19P designs via web search this session, with confidence level noted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Subsystem</w:t>
            </w:r>
          </w:p>
        </w:tc>
        <w:tc>
          <w:tcPr>
            <w:tcW w:type="dxa" w:w="3000"/>
            <w:shd w:fill="D9D9D9" w:val="clear"/>
          </w:tcPr>
          <w:p>
            <w:r>
              <w:rPr>
                <w:b/>
                <w:bCs/>
                <w:sz w:val="20"/>
                <w:szCs w:val="20"/>
              </w:rPr>
              <w:t xml:space="preserve">Candidate</w:t>
            </w:r>
          </w:p>
        </w:tc>
        <w:tc>
          <w:tcPr>
            <w:tcW w:type="dxa" w:w="3200"/>
            <w:shd w:fill="D9D9D9" w:val="clear"/>
          </w:tcPr>
          <w:p>
            <w:r>
              <w:rPr>
                <w:b/>
                <w:bCs/>
                <w:sz w:val="20"/>
                <w:szCs w:val="20"/>
              </w:rPr>
              <w:t xml:space="preserve">Key Parameter</w:t>
            </w:r>
          </w:p>
        </w:tc>
        <w:tc>
          <w:tcPr>
            <w:tcW w:type="dxa" w:w="1560"/>
            <w:shd w:fill="D9D9D9" w:val="clear"/>
          </w:tcPr>
          <w:p>
            <w:r>
              <w:rPr>
                <w:b/>
                <w:bCs/>
                <w:sz w:val="20"/>
                <w:szCs w:val="20"/>
              </w:rPr>
              <w:t xml:space="preserve">Confidence</w:t>
            </w:r>
          </w:p>
        </w:tc>
      </w:tr>
      <w:tr>
        <w:tc>
          <w:tcPr>
            <w:tcW w:type="dxa" w:w="1600"/>
          </w:tcPr>
          <w:p>
            <w:r>
              <w:rPr>
                <w:b w:val="false"/>
                <w:bCs w:val="false"/>
                <w:sz w:val="20"/>
                <w:szCs w:val="20"/>
              </w:rPr>
              <w:t xml:space="preserve">Power (PMIC)</w:t>
            </w:r>
          </w:p>
        </w:tc>
        <w:tc>
          <w:tcPr>
            <w:tcW w:type="dxa" w:w="3000"/>
          </w:tcPr>
          <w:p>
            <w:r>
              <w:rPr>
                <w:b w:val="false"/>
                <w:bCs w:val="false"/>
                <w:sz w:val="20"/>
                <w:szCs w:val="20"/>
              </w:rPr>
              <w:t xml:space="preserve">MPM3695-100 / MPM3695-25 / MPM3695-10 / MPM3632C / MPM3650 (MPS)</w:t>
            </w:r>
          </w:p>
        </w:tc>
        <w:tc>
          <w:tcPr>
            <w:tcW w:type="dxa" w:w="3200"/>
          </w:tcPr>
          <w:p>
            <w:r>
              <w:rPr>
                <w:b w:val="false"/>
                <w:bCs w:val="false"/>
                <w:sz w:val="20"/>
                <w:szCs w:val="20"/>
              </w:rPr>
              <w:t xml:space="preserve">16V input, scalable DC/DC modules; exact per-rail assignment now confirmed — see §5 Table 5-1</w:t>
            </w:r>
          </w:p>
        </w:tc>
        <w:tc>
          <w:tcPr>
            <w:tcW w:type="dxa" w:w="1560"/>
          </w:tcPr>
          <w:p>
            <w:r>
              <w:rPr>
                <w:b w:val="false"/>
                <w:bCs w:val="false"/>
                <w:sz w:val="20"/>
                <w:szCs w:val="20"/>
              </w:rPr>
              <w:t xml:space="preserve">Confirmed — MPS's official VU19P reference document fetched and verified this session (§5)</w:t>
            </w:r>
          </w:p>
        </w:tc>
      </w:tr>
      <w:tr>
        <w:tc>
          <w:tcPr>
            <w:tcW w:type="dxa" w:w="1600"/>
          </w:tcPr>
          <w:p>
            <w:r>
              <w:rPr>
                <w:b w:val="false"/>
                <w:bCs w:val="false"/>
                <w:sz w:val="20"/>
                <w:szCs w:val="20"/>
              </w:rPr>
              <w:t xml:space="preserve">Memory</w:t>
            </w:r>
          </w:p>
        </w:tc>
        <w:tc>
          <w:tcPr>
            <w:tcW w:type="dxa" w:w="3000"/>
          </w:tcPr>
          <w:p>
            <w:r>
              <w:rPr>
                <w:b w:val="false"/>
                <w:bCs w:val="false"/>
                <w:sz w:val="20"/>
                <w:szCs w:val="20"/>
              </w:rPr>
              <w:t xml:space="preserve">DDR4 SO-DIMM (multi-slot, per-FPGA)</w:t>
            </w:r>
          </w:p>
        </w:tc>
        <w:tc>
          <w:tcPr>
            <w:tcW w:type="dxa" w:w="3200"/>
          </w:tcPr>
          <w:p>
            <w:r>
              <w:rPr>
                <w:b w:val="false"/>
                <w:bCs w:val="false"/>
                <w:sz w:val="20"/>
                <w:szCs w:val="20"/>
              </w:rPr>
              <w:t xml:space="preserve">Confirmed pattern: Aldec HES-VU19PD-ZU7EV (real VU19P board, 4× VU19P) uses "5x SODIMM external memory... 4x connected to VU19P devices"</w:t>
            </w:r>
          </w:p>
        </w:tc>
        <w:tc>
          <w:tcPr>
            <w:tcW w:type="dxa" w:w="1560"/>
          </w:tcPr>
          <w:p>
            <w:r>
              <w:rPr>
                <w:b w:val="false"/>
                <w:bCs w:val="false"/>
                <w:sz w:val="20"/>
                <w:szCs w:val="20"/>
              </w:rPr>
              <w:t xml:space="preserve">Confirmed — real VU19P board precedent found via web search</w:t>
            </w:r>
          </w:p>
        </w:tc>
      </w:tr>
      <w:tr>
        <w:tc>
          <w:tcPr>
            <w:tcW w:type="dxa" w:w="1600"/>
          </w:tcPr>
          <w:p>
            <w:r>
              <w:rPr>
                <w:b w:val="false"/>
                <w:bCs w:val="false"/>
                <w:sz w:val="20"/>
                <w:szCs w:val="20"/>
              </w:rPr>
              <w:t xml:space="preserve">800G Interface — Bring-up/Verification Stage Only (QSFP-DD; not the production MOCT-native interface, see OI-31-11)</w:t>
            </w:r>
          </w:p>
        </w:tc>
        <w:tc>
          <w:tcPr>
            <w:tcW w:type="dxa" w:w="3000"/>
          </w:tcPr>
          <w:p>
            <w:r>
              <w:rPr>
                <w:b w:val="false"/>
                <w:bCs w:val="false"/>
                <w:sz w:val="20"/>
                <w:szCs w:val="20"/>
              </w:rPr>
              <w:t xml:space="preserve">QSFP-DD</w:t>
            </w:r>
          </w:p>
        </w:tc>
        <w:tc>
          <w:tcPr>
            <w:tcW w:type="dxa" w:w="3200"/>
          </w:tcPr>
          <w:p>
            <w:r>
              <w:rPr>
                <w:b w:val="false"/>
                <w:bCs w:val="false"/>
                <w:sz w:val="20"/>
                <w:szCs w:val="20"/>
              </w:rPr>
              <w:t xml:space="preserve">Confirmed pattern: same Aldec HES-VU19PD-ZU7EV board description explicitly lists "QSFP-DD, FMC, DDR4, PCIe, NVMe &amp; Eth"</w:t>
            </w:r>
          </w:p>
        </w:tc>
        <w:tc>
          <w:tcPr>
            <w:tcW w:type="dxa" w:w="1560"/>
          </w:tcPr>
          <w:p>
            <w:r>
              <w:rPr>
                <w:b w:val="false"/>
                <w:bCs w:val="false"/>
                <w:sz w:val="20"/>
                <w:szCs w:val="20"/>
              </w:rPr>
              <w:t xml:space="preserve">Confirmed — same real VU19P board precedent</w:t>
            </w:r>
          </w:p>
        </w:tc>
      </w:tr>
      <w:tr>
        <w:tc>
          <w:tcPr>
            <w:tcW w:type="dxa" w:w="1600"/>
          </w:tcPr>
          <w:p>
            <w:r>
              <w:rPr>
                <w:b w:val="false"/>
                <w:bCs w:val="false"/>
                <w:sz w:val="20"/>
                <w:szCs w:val="20"/>
              </w:rPr>
              <w:t xml:space="preserve">Host/Control Interface</w:t>
            </w:r>
          </w:p>
        </w:tc>
        <w:tc>
          <w:tcPr>
            <w:tcW w:type="dxa" w:w="3000"/>
          </w:tcPr>
          <w:p>
            <w:r>
              <w:rPr>
                <w:b w:val="false"/>
                <w:bCs w:val="false"/>
                <w:sz w:val="20"/>
                <w:szCs w:val="20"/>
              </w:rPr>
              <w:t xml:space="preserve">PCIe (Gen3/Gen4, native to UltraScale+ hard blocks)</w:t>
            </w:r>
          </w:p>
        </w:tc>
        <w:tc>
          <w:tcPr>
            <w:tcW w:type="dxa" w:w="3200"/>
          </w:tcPr>
          <w:p>
            <w:r>
              <w:rPr>
                <w:b w:val="false"/>
                <w:bCs w:val="false"/>
                <w:sz w:val="20"/>
                <w:szCs w:val="20"/>
              </w:rPr>
              <w:t xml:space="preserve">Same Aldec board; also consistent with WP#26 §7.2's FPGA hard-IP transceiver pattern</w:t>
            </w:r>
          </w:p>
        </w:tc>
        <w:tc>
          <w:tcPr>
            <w:tcW w:type="dxa" w:w="1560"/>
          </w:tcPr>
          <w:p>
            <w:r>
              <w:rPr>
                <w:b w:val="false"/>
                <w:bCs w:val="false"/>
                <w:sz w:val="20"/>
                <w:szCs w:val="20"/>
              </w:rPr>
              <w:t xml:space="preserve">Confirmed — same real VU19P board precedent</w:t>
            </w:r>
          </w:p>
        </w:tc>
      </w:tr>
    </w:tbl>
    <w:p>
      <w:pPr>
        <w:spacing w:after="200"/>
      </w:pPr>
      <w:r>
        <w:rPr>
          <w:i/>
          <w:iCs/>
          <w:sz w:val="20"/>
          <w:szCs w:val="20"/>
        </w:rPr>
        <w:t xml:space="preserve">Table 4-1. Component Selection Candidates — verified against real VU19P designs (web search, this session)</w:t>
      </w:r>
    </w:p>
    <w:p>
      <w:pPr>
        <w:spacing w:after="200"/>
      </w:pPr>
      <w:r>
        <w:rPr>
          <w:b/>
          <w:bCs/>
          <w:i/>
          <w:iCs/>
          <w:sz w:val="22"/>
          <w:szCs w:val="22"/>
        </w:rPr>
        <w:t xml:space="preserve">Open — OI-31-02: </w:t>
      </w:r>
      <w:r>
        <w:rPr>
          <w:i/>
          <w:iCs/>
          <w:sz w:val="22"/>
          <w:szCs w:val="22"/>
        </w:rPr>
        <w:t xml:space="preserve">(Narrowed) Candidate parts confirmed for power, memory, and interface subsystems (Table 4-1); PMIC rail assignment now fully confirmed at §5 Table 5-1 against MPS's official VU19P document. Remaining: exact part quantities for memory (capacity/ECC configuration) and ASIC-stage parts (depends on WP#30 OI-30-17) — this is a verified candidate shortlist, not a final BOM.</w:t>
      </w:r>
    </w:p>
    <w:p>
      <w:pPr>
        <w:pStyle w:val="Heading1"/>
        <w:spacing w:after="160" w:before="280"/>
      </w:pPr>
      <w:r>
        <w:rPr>
          <w:b/>
          <w:bCs/>
        </w:rPr>
        <w:t xml:space="preserve">5. Power Distribution Network</w:t>
      </w:r>
    </w:p>
    <w:p>
      <w:pPr>
        <w:spacing w:after="160"/>
      </w:pPr>
      <w:r>
        <w:rPr>
          <w:b w:val="false"/>
          <w:bCs w:val="false"/>
          <w:i w:val="false"/>
          <w:iCs w:val="false"/>
          <w:sz w:val="22"/>
          <w:szCs w:val="22"/>
        </w:rPr>
        <w:t xml:space="preserve">Voltage rails, current capacity, and distribution topology, following WP#29 §10.2's split between always-on control/negotiation power and per-instance SEU1/SEU2 power domains (WP#26 Table 5-2's independent-power-domain pattern).</w:t>
      </w:r>
    </w:p>
    <w:p>
      <w:pPr>
        <w:pStyle w:val="Heading2"/>
        <w:spacing w:after="160" w:before="280"/>
      </w:pPr>
      <w:r>
        <w:rPr>
          <w:b/>
          <w:bCs/>
        </w:rPr>
        <w:t xml:space="preserve">5.1 Voltage Rails (VU19P, module-based solution)</w:t>
      </w:r>
    </w:p>
    <w:p>
      <w:pPr>
        <w:spacing w:after="160"/>
      </w:pPr>
      <w:r>
        <w:rPr>
          <w:b w:val="false"/>
          <w:bCs w:val="false"/>
          <w:i w:val="false"/>
          <w:iCs w:val="false"/>
          <w:sz w:val="22"/>
          <w:szCs w:val="22"/>
        </w:rPr>
        <w:t xml:space="preserve">Confirmed against MPS's official VU19P/VU27P/VU29P/VU45P/VU47P power reference document (module-based "smallest size" solution), fetched and verified this session — not the earlier draft's rail assignment, which mismapped three of the eight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Rail</w:t>
            </w:r>
          </w:p>
        </w:tc>
        <w:tc>
          <w:tcPr>
            <w:tcW w:type="dxa" w:w="2600"/>
            <w:shd w:fill="D9D9D9" w:val="clear"/>
          </w:tcPr>
          <w:p>
            <w:r>
              <w:rPr>
                <w:b/>
                <w:bCs/>
                <w:sz w:val="20"/>
                <w:szCs w:val="20"/>
              </w:rPr>
              <w:t xml:space="preserve">Voltage / Current</w:t>
            </w:r>
          </w:p>
        </w:tc>
        <w:tc>
          <w:tcPr>
            <w:tcW w:type="dxa" w:w="3560"/>
            <w:shd w:fill="D9D9D9" w:val="clear"/>
          </w:tcPr>
          <w:p>
            <w:r>
              <w:rPr>
                <w:b/>
                <w:bCs/>
                <w:sz w:val="20"/>
                <w:szCs w:val="20"/>
              </w:rPr>
              <w:t xml:space="preserve">MPS Part (verified)</w:t>
            </w:r>
          </w:p>
        </w:tc>
      </w:tr>
      <w:tr>
        <w:tc>
          <w:tcPr>
            <w:tcW w:type="dxa" w:w="3200"/>
          </w:tcPr>
          <w:p>
            <w:r>
              <w:rPr>
                <w:b w:val="false"/>
                <w:bCs w:val="false"/>
                <w:sz w:val="20"/>
                <w:szCs w:val="20"/>
              </w:rPr>
              <w:t xml:space="preserve">VCCINT</w:t>
            </w:r>
          </w:p>
        </w:tc>
        <w:tc>
          <w:tcPr>
            <w:tcW w:type="dxa" w:w="2600"/>
          </w:tcPr>
          <w:p>
            <w:r>
              <w:rPr>
                <w:b w:val="false"/>
                <w:bCs w:val="false"/>
                <w:sz w:val="20"/>
                <w:szCs w:val="20"/>
              </w:rPr>
              <w:t xml:space="preserve">0.85V, 100–200A (scalable)</w:t>
            </w:r>
          </w:p>
        </w:tc>
        <w:tc>
          <w:tcPr>
            <w:tcW w:type="dxa" w:w="3560"/>
          </w:tcPr>
          <w:p>
            <w:r>
              <w:rPr>
                <w:b w:val="false"/>
                <w:bCs w:val="false"/>
                <w:sz w:val="20"/>
                <w:szCs w:val="20"/>
              </w:rPr>
              <w:t xml:space="preserve">MPM3695-100 (2×)</w:t>
            </w:r>
          </w:p>
        </w:tc>
      </w:tr>
      <w:tr>
        <w:tc>
          <w:tcPr>
            <w:tcW w:type="dxa" w:w="3200"/>
          </w:tcPr>
          <w:p>
            <w:r>
              <w:rPr>
                <w:b w:val="false"/>
                <w:bCs w:val="false"/>
                <w:sz w:val="20"/>
                <w:szCs w:val="20"/>
              </w:rPr>
              <w:t xml:space="preserve">VCCBRAM, VCCINT_IO</w:t>
            </w:r>
          </w:p>
        </w:tc>
        <w:tc>
          <w:tcPr>
            <w:tcW w:type="dxa" w:w="2600"/>
          </w:tcPr>
          <w:p>
            <w:r>
              <w:rPr>
                <w:b w:val="false"/>
                <w:bCs w:val="false"/>
                <w:sz w:val="20"/>
                <w:szCs w:val="20"/>
              </w:rPr>
              <w:t xml:space="preserve">0.85V, 12A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VCCAUX, VCCAUX_IO, VCCADC</w:t>
            </w:r>
          </w:p>
        </w:tc>
        <w:tc>
          <w:tcPr>
            <w:tcW w:type="dxa" w:w="2600"/>
          </w:tcPr>
          <w:p>
            <w:r>
              <w:rPr>
                <w:b w:val="false"/>
                <w:bCs w:val="false"/>
                <w:sz w:val="20"/>
                <w:szCs w:val="20"/>
              </w:rPr>
              <w:t xml:space="preserve">1.8V,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MGTYAVCC (transceiver core)</w:t>
            </w:r>
          </w:p>
        </w:tc>
        <w:tc>
          <w:tcPr>
            <w:tcW w:type="dxa" w:w="2600"/>
          </w:tcPr>
          <w:p>
            <w:r>
              <w:rPr>
                <w:b w:val="false"/>
                <w:bCs w:val="false"/>
                <w:sz w:val="20"/>
                <w:szCs w:val="20"/>
              </w:rPr>
              <w:t xml:space="preserve">0.9V,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MGTYAVAUX (transceiver aux)</w:t>
            </w:r>
          </w:p>
        </w:tc>
        <w:tc>
          <w:tcPr>
            <w:tcW w:type="dxa" w:w="2600"/>
          </w:tcPr>
          <w:p>
            <w:r>
              <w:rPr>
                <w:b w:val="false"/>
                <w:bCs w:val="false"/>
                <w:sz w:val="20"/>
                <w:szCs w:val="20"/>
              </w:rPr>
              <w:t xml:space="preserve">1.8V, 0.6A</w:t>
            </w:r>
          </w:p>
        </w:tc>
        <w:tc>
          <w:tcPr>
            <w:tcW w:type="dxa" w:w="3560"/>
          </w:tcPr>
          <w:p>
            <w:r>
              <w:rPr>
                <w:b w:val="false"/>
                <w:bCs w:val="false"/>
                <w:sz w:val="20"/>
                <w:szCs w:val="20"/>
              </w:rPr>
              <w:t xml:space="preserve">MPM3632C</w:t>
            </w:r>
          </w:p>
        </w:tc>
      </w:tr>
      <w:tr>
        <w:tc>
          <w:tcPr>
            <w:tcW w:type="dxa" w:w="3200"/>
          </w:tcPr>
          <w:p>
            <w:r>
              <w:rPr>
                <w:b w:val="false"/>
                <w:bCs w:val="false"/>
                <w:sz w:val="20"/>
                <w:szCs w:val="20"/>
              </w:rPr>
              <w:t xml:space="preserve">MGTYAVTT (transceiver termination)</w:t>
            </w:r>
          </w:p>
        </w:tc>
        <w:tc>
          <w:tcPr>
            <w:tcW w:type="dxa" w:w="2600"/>
          </w:tcPr>
          <w:p>
            <w:r>
              <w:rPr>
                <w:b w:val="false"/>
                <w:bCs w:val="false"/>
                <w:sz w:val="20"/>
                <w:szCs w:val="20"/>
              </w:rPr>
              <w:t xml:space="preserve">1.2V, 16A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VCCO [1..] HDIO, HPIO (I/O)</w:t>
            </w:r>
          </w:p>
        </w:tc>
        <w:tc>
          <w:tcPr>
            <w:tcW w:type="dxa" w:w="2600"/>
          </w:tcPr>
          <w:p>
            <w:r>
              <w:rPr>
                <w:b w:val="false"/>
                <w:bCs w:val="false"/>
                <w:sz w:val="20"/>
                <w:szCs w:val="20"/>
              </w:rPr>
              <w:t xml:space="preserve">1.1–3.3V, 3A</w:t>
            </w:r>
          </w:p>
        </w:tc>
        <w:tc>
          <w:tcPr>
            <w:tcW w:type="dxa" w:w="3560"/>
          </w:tcPr>
          <w:p>
            <w:r>
              <w:rPr>
                <w:b w:val="false"/>
                <w:bCs w:val="false"/>
                <w:sz w:val="20"/>
                <w:szCs w:val="20"/>
              </w:rPr>
              <w:t xml:space="preserve">MPM3650</w:t>
            </w:r>
          </w:p>
        </w:tc>
      </w:tr>
      <w:tr>
        <w:tc>
          <w:tcPr>
            <w:tcW w:type="dxa" w:w="3200"/>
          </w:tcPr>
          <w:p>
            <w:r>
              <w:rPr>
                <w:b w:val="false"/>
                <w:bCs w:val="false"/>
                <w:sz w:val="20"/>
                <w:szCs w:val="20"/>
              </w:rPr>
              <w:t xml:space="preserve">DDR_VTT (termination)</w:t>
            </w:r>
          </w:p>
        </w:tc>
        <w:tc>
          <w:tcPr>
            <w:tcW w:type="dxa" w:w="2600"/>
          </w:tcPr>
          <w:p>
            <w:r>
              <w:rPr>
                <w:b w:val="false"/>
                <w:bCs w:val="false"/>
                <w:sz w:val="20"/>
                <w:szCs w:val="20"/>
              </w:rPr>
              <w:t xml:space="preserve">VDD/2, 3A</w:t>
            </w:r>
          </w:p>
        </w:tc>
        <w:tc>
          <w:tcPr>
            <w:tcW w:type="dxa" w:w="3560"/>
          </w:tcPr>
          <w:p>
            <w:r>
              <w:rPr>
                <w:b w:val="false"/>
                <w:bCs w:val="false"/>
                <w:sz w:val="20"/>
                <w:szCs w:val="20"/>
              </w:rPr>
              <w:t xml:space="preserve">MP20075</w:t>
            </w:r>
          </w:p>
        </w:tc>
      </w:tr>
    </w:tbl>
    <w:p>
      <w:pPr>
        <w:spacing w:after="200"/>
      </w:pPr>
      <w:r>
        <w:rPr>
          <w:i/>
          <w:iCs/>
          <w:sz w:val="20"/>
          <w:szCs w:val="20"/>
        </w:rPr>
        <w:t xml:space="preserve">Table 5-1. VU19P Power Rails — verified against MPS official reference document (web-fetched, this session), module-based solution</w:t>
      </w:r>
    </w:p>
    <w:p>
      <w:pPr>
        <w:pStyle w:val="Heading2"/>
        <w:spacing w:after="160" w:before="280"/>
      </w:pPr>
      <w:r>
        <w:rPr>
          <w:b/>
          <w:bCs/>
        </w:rPr>
        <w:t xml:space="preserve">5.1a PMIC Headroom vs. ASIC Power Estimate (New — reflects WP#30 §7.2)</w:t>
      </w:r>
    </w:p>
    <w:p>
      <w:pPr>
        <w:spacing w:after="160"/>
      </w:pPr>
      <w:r>
        <w:rPr>
          <w:b w:val="false"/>
          <w:bCs w:val="false"/>
          <w:i w:val="false"/>
          <w:iCs w:val="false"/>
          <w:sz w:val="22"/>
          <w:szCs w:val="22"/>
        </w:rPr>
        <w:t xml:space="preserve">Per 창호, following WP#30's resolution of OI-30-17 (16nm-class ASIC, Phase 1, WP#30 Table 7-1a): the VCCINT PMIC configuration above (MPM3695-100 ×2, up to 200A / 170W at 0.85V) was sized against the VU19P FPGA's full rail set (≈225W total, WP#30 §7.2). WP#30's order-of-magnitude ASIC power estimate (110–155W, not a synthesis-derived figure) falls within this existing PMIC's capacity — no PMIC upsizing is indicated by the current estimate.</w:t>
      </w:r>
    </w:p>
    <w:p>
      <w:pPr>
        <w:spacing w:after="200"/>
      </w:pPr>
      <w:r>
        <w:rPr>
          <w:b/>
          <w:bCs/>
          <w:i/>
          <w:iCs/>
          <w:sz w:val="22"/>
          <w:szCs w:val="22"/>
        </w:rPr>
        <w:t xml:space="preserve">Open — OI-31-09: </w:t>
      </w:r>
      <w:r>
        <w:rPr>
          <w:i/>
          <w:iCs/>
          <w:sz w:val="22"/>
          <w:szCs w:val="22"/>
        </w:rPr>
        <w:t xml:space="preserve">The 110–155W ASIC estimate is order-of-magnitude only (WP#30 §7.2), not derived from RTL synthesis against a selected foundry/node. PMIC sizing here should be re-confirmed once WP#30's foundry selection (OI-30-17, narrowed but not fully closed) and actual synthesis power are available — this section states headroom against an estimate, not a final power budget.</w:t>
      </w:r>
    </w:p>
    <w:p>
      <w:pPr>
        <w:pStyle w:val="Heading2"/>
        <w:spacing w:after="160" w:before="280"/>
      </w:pPr>
      <w:r>
        <w:rPr>
          <w:b/>
          <w:bCs/>
        </w:rPr>
        <w:t xml:space="preserve">5.2 PMBus Network — Data Path / Control Path Domain Split</w:t>
      </w:r>
    </w:p>
    <w:p>
      <w:pPr>
        <w:spacing w:after="160"/>
      </w:pPr>
      <w:r>
        <w:rPr>
          <w:b w:val="false"/>
          <w:bCs w:val="false"/>
          <w:i w:val="false"/>
          <w:iCs w:val="false"/>
          <w:sz w:val="22"/>
          <w:szCs w:val="22"/>
        </w:rPr>
        <w:t xml:space="preserve">Consistent with WP#31 §3.3's Data Path / Control Path separation, the PMBus-capable rails (those marked PMBus/I2C = yes in the MPS document: VCCINT, VCCBRAM/VCCINT_IO, VCCAUX family, MGTYAVCC, MGTYAVTT) split naturally along the same line as §3.3's signal classes, since the transceiver-facing and core-logic rails are exactly the ones feeding the Matrix switch fabric's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Domain</w:t>
            </w:r>
          </w:p>
        </w:tc>
        <w:tc>
          <w:tcPr>
            <w:tcW w:type="dxa" w:w="4160"/>
            <w:shd w:fill="D9D9D9" w:val="clear"/>
          </w:tcPr>
          <w:p>
            <w:r>
              <w:rPr>
                <w:b/>
                <w:bCs/>
                <w:sz w:val="20"/>
                <w:szCs w:val="20"/>
              </w:rPr>
              <w:t xml:space="preserve">Rails</w:t>
            </w:r>
          </w:p>
        </w:tc>
        <w:tc>
          <w:tcPr>
            <w:tcW w:type="dxa" w:w="2800"/>
            <w:shd w:fill="D9D9D9" w:val="clear"/>
          </w:tcPr>
          <w:p>
            <w:r>
              <w:rPr>
                <w:b/>
                <w:bCs/>
                <w:sz w:val="20"/>
                <w:szCs w:val="20"/>
              </w:rPr>
              <w:t xml:space="preserve">Rationale</w:t>
            </w:r>
          </w:p>
        </w:tc>
      </w:tr>
      <w:tr>
        <w:tc>
          <w:tcPr>
            <w:tcW w:type="dxa" w:w="2400"/>
          </w:tcPr>
          <w:p>
            <w:r>
              <w:rPr>
                <w:b w:val="false"/>
                <w:bCs w:val="false"/>
                <w:sz w:val="20"/>
                <w:szCs w:val="20"/>
              </w:rPr>
              <w:t xml:space="preserve">Domain A — Data Path Power</w:t>
            </w:r>
          </w:p>
        </w:tc>
        <w:tc>
          <w:tcPr>
            <w:tcW w:type="dxa" w:w="4160"/>
          </w:tcPr>
          <w:p>
            <w:r>
              <w:rPr>
                <w:b w:val="false"/>
                <w:bCs w:val="false"/>
                <w:sz w:val="20"/>
                <w:szCs w:val="20"/>
              </w:rPr>
              <w:t xml:space="preserve">VCCINT, MGTYAVCC, MGTYAVTT (transceiver core + termination, directly feeding 800G SerDes and Matrix switch fabric core logic)</w:t>
            </w:r>
          </w:p>
        </w:tc>
        <w:tc>
          <w:tcPr>
            <w:tcW w:type="dxa" w:w="2800"/>
          </w:tcPr>
          <w:p>
            <w:r>
              <w:rPr>
                <w:b w:val="false"/>
                <w:bCs w:val="false"/>
                <w:sz w:val="20"/>
                <w:szCs w:val="20"/>
              </w:rPr>
              <w:t xml:space="preserve">Highest-current rails (up to 200A), PMBus-monitorable; a fault here is a Data Path event by WP#31 §3.3's own definition</w:t>
            </w:r>
          </w:p>
        </w:tc>
      </w:tr>
      <w:tr>
        <w:tc>
          <w:tcPr>
            <w:tcW w:type="dxa" w:w="2400"/>
          </w:tcPr>
          <w:p>
            <w:r>
              <w:rPr>
                <w:b w:val="false"/>
                <w:bCs w:val="false"/>
                <w:sz w:val="20"/>
                <w:szCs w:val="20"/>
              </w:rPr>
              <w:t xml:space="preserve">Domain B — Control Path Power</w:t>
            </w:r>
          </w:p>
        </w:tc>
        <w:tc>
          <w:tcPr>
            <w:tcW w:type="dxa" w:w="4160"/>
          </w:tcPr>
          <w:p>
            <w:r>
              <w:rPr>
                <w:b w:val="false"/>
                <w:bCs w:val="false"/>
                <w:sz w:val="20"/>
                <w:szCs w:val="20"/>
              </w:rPr>
              <w:t xml:space="preserve">VCCBRAM/VCCINT_IO, VCCAUX family, VCCO (I/O), DDR_VTT</w:t>
            </w:r>
          </w:p>
        </w:tc>
        <w:tc>
          <w:tcPr>
            <w:tcW w:type="dxa" w:w="2800"/>
          </w:tcPr>
          <w:p>
            <w:r>
              <w:rPr>
                <w:b w:val="false"/>
                <w:bCs w:val="false"/>
                <w:sz w:val="20"/>
                <w:szCs w:val="20"/>
              </w:rPr>
              <w:t xml:space="preserve">Lower-current rails serving control/management logic, MONITOR_CH, and I/O — remains accessible even if Domain A is faulted or isolated</w:t>
            </w:r>
          </w:p>
        </w:tc>
      </w:tr>
    </w:tbl>
    <w:p>
      <w:pPr>
        <w:spacing w:after="200"/>
      </w:pPr>
      <w:r>
        <w:rPr>
          <w:i/>
          <w:iCs/>
          <w:sz w:val="20"/>
          <w:szCs w:val="20"/>
        </w:rPr>
        <w:t xml:space="preserve">Table 5-2. PMBus Domain Split — Data Path vs. Control Path power, per 창호's §3.3 extension</w:t>
      </w:r>
    </w:p>
    <w:p>
      <w:pPr>
        <w:spacing w:after="160"/>
      </w:pPr>
      <w:r>
        <w:rPr>
          <w:b w:val="false"/>
          <w:bCs w:val="false"/>
          <w:i w:val="false"/>
          <w:iCs w:val="false"/>
          <w:sz w:val="22"/>
          <w:szCs w:val="22"/>
        </w:rPr>
        <w:t xml:space="preserve">This split ensures a PMBus fault or high-current transient on the Data Path (Domain A) does not compromise the NPU's ability to monitor Control Path (Domain B) power integrity — the same fault-isolation logic already established for signal routing in §3.3, extended to the power network.</w:t>
      </w:r>
    </w:p>
    <w:p>
      <w:pPr>
        <w:spacing w:after="200"/>
      </w:pPr>
      <w:r>
        <w:rPr>
          <w:b/>
          <w:bCs/>
          <w:i/>
          <w:iCs/>
          <w:sz w:val="22"/>
          <w:szCs w:val="22"/>
        </w:rPr>
        <w:t xml:space="preserve">Open — OI-31-08: </w:t>
      </w:r>
      <w:r>
        <w:rPr>
          <w:i/>
          <w:iCs/>
          <w:sz w:val="22"/>
          <w:szCs w:val="22"/>
        </w:rPr>
        <w:t xml:space="preserve">Exact PMBus addressing, bus speed, and master controller assignment (FPGA-internal PMBus controller vs. external) are not yet fixed. Note also that MGTYAVAUX (MPM3632C) and VCCO/DDR_VTT (MPM3650/MP20075) are not PMBus-capable per the MPS document — these rails require a separate monitoring path if their status is needed by the NPU, which this document does not yet define.</w:t>
      </w:r>
    </w:p>
    <w:p>
      <w:pPr>
        <w:pStyle w:val="Heading1"/>
        <w:spacing w:after="160" w:before="280"/>
      </w:pPr>
      <w:r>
        <w:rPr>
          <w:b/>
          <w:bCs/>
        </w:rPr>
        <w:t xml:space="preserve">6. Clock Distribution</w:t>
      </w:r>
    </w:p>
    <w:p>
      <w:pPr>
        <w:spacing w:after="160"/>
      </w:pPr>
      <w:r>
        <w:rPr>
          <w:b w:val="false"/>
          <w:bCs w:val="false"/>
          <w:i w:val="false"/>
          <w:iCs w:val="false"/>
          <w:sz w:val="22"/>
          <w:szCs w:val="22"/>
        </w:rPr>
        <w:t xml:space="preserve">The node equipment clocking architecture distinguishes between the external optical clock source received from the network (OIL clock tree) and the internal electrical distribution to node blocks (PTP clock distribution).</w:t>
      </w:r>
    </w:p>
    <w:p>
      <w:pPr>
        <w:pStyle w:val="Heading2"/>
        <w:spacing w:after="160" w:before="280"/>
      </w:pPr>
      <w:r>
        <w:rPr>
          <w:b/>
          <w:bCs/>
        </w:rPr>
        <w:t xml:space="preserve">6.1 OIL Clock Tree (Node Input)</w:t>
      </w:r>
    </w:p>
    <w:p>
      <w:pPr>
        <w:spacing w:after="160"/>
      </w:pPr>
      <w:r>
        <w:rPr>
          <w:b w:val="false"/>
          <w:bCs w:val="false"/>
          <w:i w:val="false"/>
          <w:iCs w:val="false"/>
          <w:sz w:val="22"/>
          <w:szCs w:val="22"/>
        </w:rPr>
        <w:t xml:space="preserve">The OIL clock tree, sourced from the I20-rooted passive optical clock tree (WP#23), provides the master reference clock to the node equipment over the MOCT ribbon. This clock is a fixed input to the node — not designed or modified at the node level, but received and conditioned for internal use. The node's PLL/clock conditioner accepts this input and generates the local clocks for the PTP distribution network.</w:t>
      </w:r>
    </w:p>
    <w:p>
      <w:pPr>
        <w:spacing w:after="200"/>
      </w:pPr>
      <w:r>
        <w:rPr>
          <w:i/>
          <w:iCs/>
          <w:color w:val="888888"/>
          <w:sz w:val="22"/>
          <w:szCs w:val="22"/>
        </w:rPr>
        <w:t xml:space="preserve">[상세 미정 — 차후 세션에서 확정] OIL-to-PTP interface parameters (frequency, amplitude, termination) depend on the specific optical transceiver and PLL selection (OI-31-02/OI-31-04).</w:t>
      </w:r>
    </w:p>
    <w:p>
      <w:pPr>
        <w:pStyle w:val="Heading2"/>
        <w:spacing w:after="160" w:before="280"/>
      </w:pPr>
      <w:r>
        <w:rPr>
          <w:b/>
          <w:bCs/>
        </w:rPr>
        <w:t xml:space="preserve">6.2 PTP Clock Distribution (Node Internal)</w:t>
      </w:r>
    </w:p>
    <w:p>
      <w:pPr>
        <w:spacing w:after="160"/>
      </w:pPr>
      <w:r>
        <w:rPr>
          <w:b w:val="false"/>
          <w:bCs w:val="false"/>
          <w:i w:val="false"/>
          <w:iCs w:val="false"/>
          <w:sz w:val="22"/>
          <w:szCs w:val="22"/>
        </w:rPr>
        <w:t xml:space="preserve">The node forwards a PTP master reference to instance-facing traffic, consistent with WP#29 §10.2 and WP#25 Table A-4/B-4's per-SEU1/SEU2 PTP domains (Domain 4 for SEU1, Domain 5 for SEU2). This distribution is electrical and occurs within the node equipment: the PLL/clock buffer outputs drive the instance-facing slots (Slot 3/4 per WP#29 §10.7.3) and the Matrix switch fabric (§3.2).</w:t>
      </w:r>
    </w:p>
    <w:p>
      <w:pPr>
        <w:spacing w:after="200"/>
      </w:pPr>
      <w:r>
        <w:rPr>
          <w:i/>
          <w:iCs/>
          <w:color w:val="888888"/>
          <w:sz w:val="22"/>
          <w:szCs w:val="22"/>
        </w:rPr>
        <w:t xml:space="preserve">[상세 미정 — 차후 세션에서 확정] Clock buffer selection, fan-out topology, and skew budgets depend on component selection (§4) and OI-31-04.</w:t>
      </w:r>
    </w:p>
    <w:p>
      <w:pPr>
        <w:pStyle w:val="Heading2"/>
        <w:spacing w:after="160" w:before="280"/>
      </w:pPr>
      <w:r>
        <w:rPr>
          <w:b/>
          <w:bCs/>
        </w:rPr>
        <w:t xml:space="preserve">6.3 MONITOR_CH Clock Domain</w:t>
      </w:r>
    </w:p>
    <w:p>
      <w:pPr>
        <w:spacing w:after="160"/>
      </w:pPr>
      <w:r>
        <w:rPr>
          <w:b w:val="false"/>
          <w:bCs w:val="false"/>
          <w:i w:val="false"/>
          <w:iCs w:val="false"/>
          <w:sz w:val="22"/>
          <w:szCs w:val="22"/>
        </w:rPr>
        <w:t xml:space="preserve">The clock-domain relationship between MONITOR_CH and the Matrix switch control logic is not yet fixed — see WP#30 OI-30-12 (shared clock vs. CDC). This item is explicitly deferred to WP#30's resolution; WP#31 will reflect the outcome once OI-30-12 is closed.</w:t>
      </w:r>
    </w:p>
    <w:p>
      <w:pPr>
        <w:spacing w:after="200"/>
      </w:pPr>
      <w:r>
        <w:rPr>
          <w:i/>
          <w:iCs/>
          <w:color w:val="888888"/>
          <w:sz w:val="22"/>
          <w:szCs w:val="22"/>
        </w:rPr>
        <w:t xml:space="preserve">[상세 미정 — 차후 세션에서 확정] PLL/oscillator selection, clock-tree topology, and specific buffer/divider part numbers for the PTP distribution network depend on OI-31-04 (still open).</w:t>
      </w:r>
    </w:p>
    <w:p>
      <w:pPr>
        <w:pStyle w:val="Heading1"/>
        <w:spacing w:after="160" w:before="280"/>
      </w:pPr>
      <w:r>
        <w:rPr>
          <w:b/>
          <w:bCs/>
        </w:rPr>
        <w:t xml:space="preserve">7. 800G Optical Interface Schematic</w:t>
      </w:r>
    </w:p>
    <w:p>
      <w:pPr>
        <w:spacing w:after="160"/>
      </w:pPr>
      <w:r>
        <w:rPr>
          <w:b w:val="false"/>
          <w:bCs w:val="false"/>
          <w:i w:val="false"/>
          <w:iCs w:val="false"/>
          <w:sz w:val="22"/>
          <w:szCs w:val="22"/>
        </w:rPr>
        <w:t xml:space="preserve">The MOCT fixed ribbon (WP#03) connects to the node equipment through optical transceivers, which present electrical SerDes lanes to the FPGA/ASIC implementing the Matrix switch fabric (WP#30 §3).</w:t>
      </w:r>
    </w:p>
    <w:p>
      <w:pPr>
        <w:pStyle w:val="Heading2"/>
        <w:spacing w:after="160" w:before="280"/>
      </w:pPr>
      <w:r>
        <w:rPr>
          <w:b/>
          <w:bCs/>
        </w:rPr>
        <w:t xml:space="preserve">7.1 Lane Grouping (from WP#26 §7.3)</w:t>
      </w:r>
    </w:p>
    <w:p>
      <w:pPr>
        <w:spacing w:after="160"/>
      </w:pPr>
      <w:r>
        <w:rPr>
          <w:b w:val="false"/>
          <w:bCs w:val="false"/>
          <w:i w:val="false"/>
          <w:iCs w:val="false"/>
          <w:sz w:val="22"/>
          <w:szCs w:val="22"/>
        </w:rPr>
        <w:t xml:space="preserve">Reused directly from WP#26 §7.3, which treats this grouping as an immutable input fixed at WP#24 §5.2 — not an RTL or schematic design choice at any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Configuration</w:t>
            </w:r>
          </w:p>
        </w:tc>
        <w:tc>
          <w:tcPr>
            <w:tcW w:type="dxa" w:w="6360"/>
            <w:shd w:fill="D9D9D9" w:val="clear"/>
          </w:tcPr>
          <w:p>
            <w:r>
              <w:rPr>
                <w:b/>
                <w:bCs/>
                <w:sz w:val="20"/>
                <w:szCs w:val="20"/>
              </w:rPr>
              <w:t xml:space="preserve">Lane Grouping</w:t>
            </w:r>
          </w:p>
        </w:tc>
      </w:tr>
      <w:tr>
        <w:tc>
          <w:tcPr>
            <w:tcW w:type="dxa" w:w="3000"/>
          </w:tcPr>
          <w:p>
            <w:r>
              <w:rPr>
                <w:b w:val="false"/>
                <w:bCs w:val="false"/>
                <w:sz w:val="20"/>
                <w:szCs w:val="20"/>
              </w:rPr>
              <w:t xml:space="preserve">PAI/SEU1</w:t>
            </w:r>
          </w:p>
        </w:tc>
        <w:tc>
          <w:tcPr>
            <w:tcW w:type="dxa" w:w="6360"/>
          </w:tcPr>
          <w:p>
            <w:r>
              <w:rPr>
                <w:b w:val="false"/>
                <w:bCs w:val="false"/>
                <w:sz w:val="20"/>
                <w:szCs w:val="20"/>
              </w:rPr>
              <w:t xml:space="preserve">48 lanes/channel × 8 groups</w:t>
            </w:r>
          </w:p>
        </w:tc>
      </w:tr>
      <w:tr>
        <w:tc>
          <w:tcPr>
            <w:tcW w:type="dxa" w:w="3000"/>
          </w:tcPr>
          <w:p>
            <w:r>
              <w:rPr>
                <w:b w:val="false"/>
                <w:bCs w:val="false"/>
                <w:sz w:val="20"/>
                <w:szCs w:val="20"/>
              </w:rPr>
              <w:t xml:space="preserve">EAI</w:t>
            </w:r>
          </w:p>
        </w:tc>
        <w:tc>
          <w:tcPr>
            <w:tcW w:type="dxa" w:w="6360"/>
          </w:tcPr>
          <w:p>
            <w:r>
              <w:rPr>
                <w:b w:val="false"/>
                <w:bCs w:val="false"/>
                <w:sz w:val="20"/>
                <w:szCs w:val="20"/>
              </w:rPr>
              <w:t xml:space="preserve">24 lanes/channel × 16 groups (spanning SEU1/E2E #1 and SEU2/E2E #2)</w:t>
            </w:r>
          </w:p>
        </w:tc>
      </w:tr>
    </w:tbl>
    <w:p>
      <w:pPr>
        <w:spacing w:after="200"/>
      </w:pPr>
      <w:r>
        <w:rPr>
          <w:i/>
          <w:iCs/>
          <w:sz w:val="20"/>
          <w:szCs w:val="20"/>
        </w:rPr>
        <w:t xml:space="preserve">Table 7-1. Lane Grouping — reused from WP#26 §7.3 / WP#24 §5.2, confirmed per 창호</w:t>
      </w:r>
    </w:p>
    <w:p>
      <w:pPr>
        <w:pStyle w:val="Heading2"/>
        <w:spacing w:after="160" w:before="280"/>
      </w:pPr>
      <w:r>
        <w:rPr>
          <w:b/>
          <w:bCs/>
        </w:rPr>
        <w:t xml:space="preserve">7.2 Transceiver-to-FPGA Connection</w:t>
      </w:r>
    </w:p>
    <w:p>
      <w:pPr>
        <w:spacing w:after="160"/>
      </w:pPr>
      <w:r>
        <w:rPr>
          <w:b w:val="false"/>
          <w:bCs w:val="false"/>
          <w:i w:val="false"/>
          <w:iCs w:val="false"/>
          <w:sz w:val="22"/>
          <w:szCs w:val="22"/>
        </w:rPr>
        <w:t xml:space="preserve">The optical transceiver converts the MOCT ribbon's optical signals to electrical SerDes lanes. The FPGA/ASIC's SerDes blocks receive these lanes and feed them to the Matrix switch fabric (WP#30 §3).</w:t>
      </w:r>
    </w:p>
    <w:p>
      <w:pPr>
        <w:spacing w:after="200"/>
      </w:pPr>
      <w:r>
        <w:rPr>
          <w:i/>
          <w:iCs/>
          <w:color w:val="888888"/>
          <w:sz w:val="22"/>
          <w:szCs w:val="22"/>
        </w:rPr>
        <w:t xml:space="preserve">[상세 미정 — 차후 세션에서 확정] Transceiver part selection and PCS/FEC placement (FPGA-side vs. ASIC-side) depend on WP#26 OI-07 (line-coding/FEC/skew-alignment strategy), still open — this document does not resolve OI-07, only notes the dependency.</w:t>
      </w:r>
    </w:p>
    <w:p>
      <w:pPr>
        <w:pStyle w:val="Heading1"/>
        <w:spacing w:after="160" w:before="280"/>
      </w:pPr>
      <w:r>
        <w:rPr>
          <w:b/>
          <w:bCs/>
        </w:rPr>
        <w:t xml:space="preserve">8. Bill of Materials</w:t>
      </w:r>
    </w:p>
    <w:p>
      <w:pPr>
        <w:spacing w:after="160"/>
      </w:pPr>
      <w:r>
        <w:rPr>
          <w:b w:val="false"/>
          <w:bCs w:val="false"/>
          <w:i w:val="false"/>
          <w:iCs w:val="false"/>
          <w:sz w:val="22"/>
          <w:szCs w:val="22"/>
        </w:rPr>
        <w:t xml:space="preserve">Node-equipment-level parts list, following WP#23 Table 6-1's pattern (#, Assembly/Block, Component/Specification, Key Parameter, Qty) — adapted from WP#23's RU context to O8/D12/I20 node context. Populated from §4/§5's confirmed candidates; passive components (resistors, capacitors, crystals) are not itemized, since no schematic netlist exists yet to derive real values or counts from — listing them would mean inventing figures, which this document series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Pr>
          <w:p>
            <w:r>
              <w:rPr>
                <w:b/>
                <w:bCs/>
                <w:sz w:val="20"/>
                <w:szCs w:val="20"/>
              </w:rPr>
              <w:t xml:space="preserve">#</w:t>
            </w:r>
          </w:p>
        </w:tc>
        <w:tc>
          <w:tcPr>
            <w:tcW w:type="dxa" w:w="2200"/>
            <w:shd w:fill="D9D9D9" w:val="clear"/>
          </w:tcPr>
          <w:p>
            <w:r>
              <w:rPr>
                <w:b/>
                <w:bCs/>
                <w:sz w:val="20"/>
                <w:szCs w:val="20"/>
              </w:rPr>
              <w:t xml:space="preserve">Assembly/Block</w:t>
            </w:r>
          </w:p>
        </w:tc>
        <w:tc>
          <w:tcPr>
            <w:tcW w:type="dxa" w:w="2600"/>
            <w:shd w:fill="D9D9D9" w:val="clear"/>
          </w:tcPr>
          <w:p>
            <w:r>
              <w:rPr>
                <w:b/>
                <w:bCs/>
                <w:sz w:val="20"/>
                <w:szCs w:val="20"/>
              </w:rPr>
              <w:t xml:space="preserve">Component/Specification</w:t>
            </w:r>
          </w:p>
        </w:tc>
        <w:tc>
          <w:tcPr>
            <w:tcW w:type="dxa" w:w="2760"/>
            <w:shd w:fill="D9D9D9" w:val="clear"/>
          </w:tcPr>
          <w:p>
            <w:r>
              <w:rPr>
                <w:b/>
                <w:bCs/>
                <w:sz w:val="20"/>
                <w:szCs w:val="20"/>
              </w:rPr>
              <w:t xml:space="preserve">Key Parameter</w:t>
            </w:r>
          </w:p>
        </w:tc>
        <w:tc>
          <w:tcPr>
            <w:tcW w:type="dxa" w:w="1300"/>
            <w:shd w:fill="D9D9D9" w:val="clear"/>
          </w:tcPr>
          <w:p>
            <w:r>
              <w:rPr>
                <w:b/>
                <w:bCs/>
                <w:sz w:val="20"/>
                <w:szCs w:val="20"/>
              </w:rPr>
              <w:t xml:space="preserve">Qty</w:t>
            </w:r>
          </w:p>
        </w:tc>
      </w:tr>
      <w:tr>
        <w:tc>
          <w:tcPr>
            <w:tcW w:type="dxa" w:w="500"/>
          </w:tcPr>
          <w:p>
            <w:r>
              <w:rPr>
                <w:b w:val="false"/>
                <w:bCs w:val="false"/>
                <w:sz w:val="20"/>
                <w:szCs w:val="20"/>
              </w:rPr>
              <w:t xml:space="preserve">1</w:t>
            </w:r>
          </w:p>
        </w:tc>
        <w:tc>
          <w:tcPr>
            <w:tcW w:type="dxa" w:w="2200"/>
          </w:tcPr>
          <w:p>
            <w:r>
              <w:rPr>
                <w:b w:val="false"/>
                <w:bCs w:val="false"/>
                <w:sz w:val="20"/>
                <w:szCs w:val="20"/>
              </w:rPr>
              <w:t xml:space="preserve">FPGA (Matrix switch fabric)</w:t>
            </w:r>
          </w:p>
        </w:tc>
        <w:tc>
          <w:tcPr>
            <w:tcW w:type="dxa" w:w="2600"/>
          </w:tcPr>
          <w:p>
            <w:r>
              <w:rPr>
                <w:b w:val="false"/>
                <w:bCs w:val="false"/>
                <w:sz w:val="20"/>
                <w:szCs w:val="20"/>
              </w:rPr>
              <w:t xml:space="preserve">Xilinx/AMD UltraScale+ VU19P or newer GTM-class family (WP#30 OI-30-05)</w:t>
            </w:r>
          </w:p>
        </w:tc>
        <w:tc>
          <w:tcPr>
            <w:tcW w:type="dxa" w:w="2760"/>
          </w:tcPr>
          <w:p>
            <w:r>
              <w:rPr>
                <w:b w:val="false"/>
                <w:bCs w:val="false"/>
                <w:sz w:val="20"/>
                <w:szCs w:val="20"/>
              </w:rPr>
              <w:t xml:space="preserve">GTM-class 58Gbps SerDes required for 800G PAM4</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2</w:t>
            </w:r>
          </w:p>
        </w:tc>
        <w:tc>
          <w:tcPr>
            <w:tcW w:type="dxa" w:w="2200"/>
          </w:tcPr>
          <w:p>
            <w:r>
              <w:rPr>
                <w:b w:val="false"/>
                <w:bCs w:val="false"/>
                <w:sz w:val="20"/>
                <w:szCs w:val="20"/>
              </w:rPr>
              <w:t xml:space="preserve">PMIC — VCCINT</w:t>
            </w:r>
          </w:p>
        </w:tc>
        <w:tc>
          <w:tcPr>
            <w:tcW w:type="dxa" w:w="2600"/>
          </w:tcPr>
          <w:p>
            <w:r>
              <w:rPr>
                <w:b w:val="false"/>
                <w:bCs w:val="false"/>
                <w:sz w:val="20"/>
                <w:szCs w:val="20"/>
              </w:rPr>
              <w:t xml:space="preserve">MPM3695-100 (MPS)</w:t>
            </w:r>
          </w:p>
        </w:tc>
        <w:tc>
          <w:tcPr>
            <w:tcW w:type="dxa" w:w="2760"/>
          </w:tcPr>
          <w:p>
            <w:r>
              <w:rPr>
                <w:b w:val="false"/>
                <w:bCs w:val="false"/>
                <w:sz w:val="20"/>
                <w:szCs w:val="20"/>
              </w:rPr>
              <w:t xml:space="preserve">0.85V, 100–200A scalable, PMBus</w:t>
            </w:r>
          </w:p>
        </w:tc>
        <w:tc>
          <w:tcPr>
            <w:tcW w:type="dxa" w:w="1300"/>
          </w:tcPr>
          <w:p>
            <w:r>
              <w:rPr>
                <w:b w:val="false"/>
                <w:bCs w:val="false"/>
                <w:sz w:val="20"/>
                <w:szCs w:val="20"/>
              </w:rPr>
              <w:t xml:space="preserve">2 (paralleled)</w:t>
            </w:r>
          </w:p>
        </w:tc>
      </w:tr>
      <w:tr>
        <w:tc>
          <w:tcPr>
            <w:tcW w:type="dxa" w:w="500"/>
          </w:tcPr>
          <w:p>
            <w:r>
              <w:rPr>
                <w:b w:val="false"/>
                <w:bCs w:val="false"/>
                <w:sz w:val="20"/>
                <w:szCs w:val="20"/>
              </w:rPr>
              <w:t xml:space="preserve">3</w:t>
            </w:r>
          </w:p>
        </w:tc>
        <w:tc>
          <w:tcPr>
            <w:tcW w:type="dxa" w:w="2200"/>
          </w:tcPr>
          <w:p>
            <w:r>
              <w:rPr>
                <w:b w:val="false"/>
                <w:bCs w:val="false"/>
                <w:sz w:val="20"/>
                <w:szCs w:val="20"/>
              </w:rPr>
              <w:t xml:space="preserve">PMIC — VCCBRAM/VCCINT_IO</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0.85V, 12A,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4</w:t>
            </w:r>
          </w:p>
        </w:tc>
        <w:tc>
          <w:tcPr>
            <w:tcW w:type="dxa" w:w="2200"/>
          </w:tcPr>
          <w:p>
            <w:r>
              <w:rPr>
                <w:b w:val="false"/>
                <w:bCs w:val="false"/>
                <w:sz w:val="20"/>
                <w:szCs w:val="20"/>
              </w:rPr>
              <w:t xml:space="preserve">PMIC — VCCAUX family / MGTYAVCC</w:t>
            </w:r>
          </w:p>
        </w:tc>
        <w:tc>
          <w:tcPr>
            <w:tcW w:type="dxa" w:w="2600"/>
          </w:tcPr>
          <w:p>
            <w:r>
              <w:rPr>
                <w:b w:val="false"/>
                <w:bCs w:val="false"/>
                <w:sz w:val="20"/>
                <w:szCs w:val="20"/>
              </w:rPr>
              <w:t xml:space="preserve">MPM3695-10 (MPS)</w:t>
            </w:r>
          </w:p>
        </w:tc>
        <w:tc>
          <w:tcPr>
            <w:tcW w:type="dxa" w:w="2760"/>
          </w:tcPr>
          <w:p>
            <w:r>
              <w:rPr>
                <w:b w:val="false"/>
                <w:bCs w:val="false"/>
                <w:sz w:val="20"/>
                <w:szCs w:val="20"/>
              </w:rPr>
              <w:t xml:space="preserve">1.8V/0.9V, 7A, PMBus</w:t>
            </w:r>
          </w:p>
        </w:tc>
        <w:tc>
          <w:tcPr>
            <w:tcW w:type="dxa" w:w="1300"/>
          </w:tcPr>
          <w:p>
            <w:r>
              <w:rPr>
                <w:b w:val="false"/>
                <w:bCs w:val="false"/>
                <w:sz w:val="20"/>
                <w:szCs w:val="20"/>
              </w:rPr>
              <w:t xml:space="preserve">2</w:t>
            </w:r>
          </w:p>
        </w:tc>
      </w:tr>
      <w:tr>
        <w:tc>
          <w:tcPr>
            <w:tcW w:type="dxa" w:w="500"/>
          </w:tcPr>
          <w:p>
            <w:r>
              <w:rPr>
                <w:b w:val="false"/>
                <w:bCs w:val="false"/>
                <w:sz w:val="20"/>
                <w:szCs w:val="20"/>
              </w:rPr>
              <w:t xml:space="preserve">5</w:t>
            </w:r>
          </w:p>
        </w:tc>
        <w:tc>
          <w:tcPr>
            <w:tcW w:type="dxa" w:w="2200"/>
          </w:tcPr>
          <w:p>
            <w:r>
              <w:rPr>
                <w:b w:val="false"/>
                <w:bCs w:val="false"/>
                <w:sz w:val="20"/>
                <w:szCs w:val="20"/>
              </w:rPr>
              <w:t xml:space="preserve">PMIC — MGTYAVAUX</w:t>
            </w:r>
          </w:p>
        </w:tc>
        <w:tc>
          <w:tcPr>
            <w:tcW w:type="dxa" w:w="2600"/>
          </w:tcPr>
          <w:p>
            <w:r>
              <w:rPr>
                <w:b w:val="false"/>
                <w:bCs w:val="false"/>
                <w:sz w:val="20"/>
                <w:szCs w:val="20"/>
              </w:rPr>
              <w:t xml:space="preserve">MPM3632C (MPS)</w:t>
            </w:r>
          </w:p>
        </w:tc>
        <w:tc>
          <w:tcPr>
            <w:tcW w:type="dxa" w:w="2760"/>
          </w:tcPr>
          <w:p>
            <w:r>
              <w:rPr>
                <w:b w:val="false"/>
                <w:bCs w:val="false"/>
                <w:sz w:val="20"/>
                <w:szCs w:val="20"/>
              </w:rPr>
              <w:t xml:space="preserve">1.8V, 0.6A,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6</w:t>
            </w:r>
          </w:p>
        </w:tc>
        <w:tc>
          <w:tcPr>
            <w:tcW w:type="dxa" w:w="2200"/>
          </w:tcPr>
          <w:p>
            <w:r>
              <w:rPr>
                <w:b w:val="false"/>
                <w:bCs w:val="false"/>
                <w:sz w:val="20"/>
                <w:szCs w:val="20"/>
              </w:rPr>
              <w:t xml:space="preserve">PMIC — MGTYAVTT</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1.2V, 16A,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7</w:t>
            </w:r>
          </w:p>
        </w:tc>
        <w:tc>
          <w:tcPr>
            <w:tcW w:type="dxa" w:w="2200"/>
          </w:tcPr>
          <w:p>
            <w:r>
              <w:rPr>
                <w:b w:val="false"/>
                <w:bCs w:val="false"/>
                <w:sz w:val="20"/>
                <w:szCs w:val="20"/>
              </w:rPr>
              <w:t xml:space="preserve">PMIC — VCCO (I/O)</w:t>
            </w:r>
          </w:p>
        </w:tc>
        <w:tc>
          <w:tcPr>
            <w:tcW w:type="dxa" w:w="2600"/>
          </w:tcPr>
          <w:p>
            <w:r>
              <w:rPr>
                <w:b w:val="false"/>
                <w:bCs w:val="false"/>
                <w:sz w:val="20"/>
                <w:szCs w:val="20"/>
              </w:rPr>
              <w:t xml:space="preserve">MPM3650 (MPS)</w:t>
            </w:r>
          </w:p>
        </w:tc>
        <w:tc>
          <w:tcPr>
            <w:tcW w:type="dxa" w:w="2760"/>
          </w:tcPr>
          <w:p>
            <w:r>
              <w:rPr>
                <w:b w:val="false"/>
                <w:bCs w:val="false"/>
                <w:sz w:val="20"/>
                <w:szCs w:val="20"/>
              </w:rPr>
              <w:t xml:space="preserve">1.1–3.3V,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8</w:t>
            </w:r>
          </w:p>
        </w:tc>
        <w:tc>
          <w:tcPr>
            <w:tcW w:type="dxa" w:w="2200"/>
          </w:tcPr>
          <w:p>
            <w:r>
              <w:rPr>
                <w:b w:val="false"/>
                <w:bCs w:val="false"/>
                <w:sz w:val="20"/>
                <w:szCs w:val="20"/>
              </w:rPr>
              <w:t xml:space="preserve">DDR termination regulator</w:t>
            </w:r>
          </w:p>
        </w:tc>
        <w:tc>
          <w:tcPr>
            <w:tcW w:type="dxa" w:w="2600"/>
          </w:tcPr>
          <w:p>
            <w:r>
              <w:rPr>
                <w:b w:val="false"/>
                <w:bCs w:val="false"/>
                <w:sz w:val="20"/>
                <w:szCs w:val="20"/>
              </w:rPr>
              <w:t xml:space="preserve">MP20075 (MPS)</w:t>
            </w:r>
          </w:p>
        </w:tc>
        <w:tc>
          <w:tcPr>
            <w:tcW w:type="dxa" w:w="2760"/>
          </w:tcPr>
          <w:p>
            <w:r>
              <w:rPr>
                <w:b w:val="false"/>
                <w:bCs w:val="false"/>
                <w:sz w:val="20"/>
                <w:szCs w:val="20"/>
              </w:rPr>
              <w:t xml:space="preserve">VDD/2,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9</w:t>
            </w:r>
          </w:p>
        </w:tc>
        <w:tc>
          <w:tcPr>
            <w:tcW w:type="dxa" w:w="2200"/>
          </w:tcPr>
          <w:p>
            <w:r>
              <w:rPr>
                <w:b w:val="false"/>
                <w:bCs w:val="false"/>
                <w:sz w:val="20"/>
                <w:szCs w:val="20"/>
              </w:rPr>
              <w:t xml:space="preserve">Memory</w:t>
            </w:r>
          </w:p>
        </w:tc>
        <w:tc>
          <w:tcPr>
            <w:tcW w:type="dxa" w:w="2600"/>
          </w:tcPr>
          <w:p>
            <w:r>
              <w:rPr>
                <w:b w:val="false"/>
                <w:bCs w:val="false"/>
                <w:sz w:val="20"/>
                <w:szCs w:val="20"/>
              </w:rPr>
              <w:t xml:space="preserve">DDR4 SO-DIMM</w:t>
            </w:r>
          </w:p>
        </w:tc>
        <w:tc>
          <w:tcPr>
            <w:tcW w:type="dxa" w:w="2760"/>
          </w:tcPr>
          <w:p>
            <w:r>
              <w:rPr>
                <w:b w:val="false"/>
                <w:bCs w:val="false"/>
                <w:sz w:val="20"/>
                <w:szCs w:val="20"/>
              </w:rPr>
              <w:t xml:space="preserve">Capacity/ECC configuration not yet fixed — see Open Items</w:t>
            </w:r>
          </w:p>
        </w:tc>
        <w:tc>
          <w:tcPr>
            <w:tcW w:type="dxa" w:w="1300"/>
          </w:tcPr>
          <w:p>
            <w:r>
              <w:rPr>
                <w:b w:val="false"/>
                <w:bCs w:val="false"/>
                <w:sz w:val="20"/>
                <w:szCs w:val="20"/>
              </w:rPr>
              <w:t xml:space="preserve">TBD</w:t>
            </w:r>
          </w:p>
        </w:tc>
      </w:tr>
      <w:tr>
        <w:tc>
          <w:tcPr>
            <w:tcW w:type="dxa" w:w="500"/>
          </w:tcPr>
          <w:p>
            <w:r>
              <w:rPr>
                <w:b w:val="false"/>
                <w:bCs w:val="false"/>
                <w:sz w:val="20"/>
                <w:szCs w:val="20"/>
              </w:rPr>
              <w:t xml:space="preserve">10</w:t>
            </w:r>
          </w:p>
        </w:tc>
        <w:tc>
          <w:tcPr>
            <w:tcW w:type="dxa" w:w="2200"/>
          </w:tcPr>
          <w:p>
            <w:r>
              <w:rPr>
                <w:b w:val="false"/>
                <w:bCs w:val="false"/>
                <w:sz w:val="20"/>
                <w:szCs w:val="20"/>
              </w:rPr>
              <w:t xml:space="preserve">800G optical interface — bring-up/verification stage only (QSFP-DD; production interface is MOCT-native, see OI-31-11)</w:t>
            </w:r>
          </w:p>
        </w:tc>
        <w:tc>
          <w:tcPr>
            <w:tcW w:type="dxa" w:w="2600"/>
          </w:tcPr>
          <w:p>
            <w:r>
              <w:rPr>
                <w:b w:val="false"/>
                <w:bCs w:val="false"/>
                <w:sz w:val="20"/>
                <w:szCs w:val="20"/>
              </w:rPr>
              <w:t xml:space="preserve">QSFP-DD</w:t>
            </w:r>
          </w:p>
        </w:tc>
        <w:tc>
          <w:tcPr>
            <w:tcW w:type="dxa" w:w="2760"/>
          </w:tcPr>
          <w:p>
            <w:r>
              <w:rPr>
                <w:b w:val="false"/>
                <w:bCs w:val="false"/>
                <w:sz w:val="20"/>
                <w:szCs w:val="20"/>
              </w:rPr>
              <w:t xml:space="preserve">Confirmed against real VU19P board precedent (§4)</w:t>
            </w:r>
          </w:p>
        </w:tc>
        <w:tc>
          <w:tcPr>
            <w:tcW w:type="dxa" w:w="1300"/>
          </w:tcPr>
          <w:p>
            <w:r>
              <w:rPr>
                <w:b w:val="false"/>
                <w:bCs w:val="false"/>
                <w:sz w:val="20"/>
                <w:szCs w:val="20"/>
              </w:rPr>
              <w:t xml:space="preserve">Per §7 lane grouping — count TBD pending §3 block diagram</w:t>
            </w:r>
          </w:p>
        </w:tc>
      </w:tr>
      <w:tr>
        <w:tc>
          <w:tcPr>
            <w:tcW w:type="dxa" w:w="500"/>
          </w:tcPr>
          <w:p>
            <w:r>
              <w:rPr>
                <w:b w:val="false"/>
                <w:bCs w:val="false"/>
                <w:sz w:val="20"/>
                <w:szCs w:val="20"/>
              </w:rPr>
              <w:t xml:space="preserve">11</w:t>
            </w:r>
          </w:p>
        </w:tc>
        <w:tc>
          <w:tcPr>
            <w:tcW w:type="dxa" w:w="2200"/>
          </w:tcPr>
          <w:p>
            <w:r>
              <w:rPr>
                <w:b w:val="false"/>
                <w:bCs w:val="false"/>
                <w:sz w:val="20"/>
                <w:szCs w:val="20"/>
              </w:rPr>
              <w:t xml:space="preserve">Host/control interface</w:t>
            </w:r>
          </w:p>
        </w:tc>
        <w:tc>
          <w:tcPr>
            <w:tcW w:type="dxa" w:w="2600"/>
          </w:tcPr>
          <w:p>
            <w:r>
              <w:rPr>
                <w:b w:val="false"/>
                <w:bCs w:val="false"/>
                <w:sz w:val="20"/>
                <w:szCs w:val="20"/>
              </w:rPr>
              <w:t xml:space="preserve">PCIe (Gen3/Gen4, UltraScale+ hard IP)</w:t>
            </w:r>
          </w:p>
        </w:tc>
        <w:tc>
          <w:tcPr>
            <w:tcW w:type="dxa" w:w="2760"/>
          </w:tcPr>
          <w:p>
            <w:r>
              <w:rPr>
                <w:b w:val="false"/>
                <w:bCs w:val="false"/>
                <w:sz w:val="20"/>
                <w:szCs w:val="20"/>
              </w:rPr>
              <w:t xml:space="preserve">Native to FPGA — no separate part</w:t>
            </w:r>
          </w:p>
        </w:tc>
        <w:tc>
          <w:tcPr>
            <w:tcW w:type="dxa" w:w="1300"/>
          </w:tcPr>
          <w:p>
            <w:r>
              <w:rPr>
                <w:b w:val="false"/>
                <w:bCs w:val="false"/>
                <w:sz w:val="20"/>
                <w:szCs w:val="20"/>
              </w:rPr>
              <w:t xml:space="preserve">—</w:t>
            </w:r>
          </w:p>
        </w:tc>
      </w:tr>
      <w:tr>
        <w:tc>
          <w:tcPr>
            <w:tcW w:type="dxa" w:w="500"/>
          </w:tcPr>
          <w:p>
            <w:r>
              <w:rPr>
                <w:b w:val="false"/>
                <w:bCs w:val="false"/>
                <w:sz w:val="20"/>
                <w:szCs w:val="20"/>
              </w:rPr>
              <w:t xml:space="preserve">12</w:t>
            </w:r>
          </w:p>
        </w:tc>
        <w:tc>
          <w:tcPr>
            <w:tcW w:type="dxa" w:w="2200"/>
          </w:tcPr>
          <w:p>
            <w:r>
              <w:rPr>
                <w:b w:val="false"/>
                <w:bCs w:val="false"/>
                <w:sz w:val="20"/>
                <w:szCs w:val="20"/>
              </w:rPr>
              <w:t xml:space="preserve">Matrix switch fabric ASIC (production stage)</w:t>
            </w:r>
          </w:p>
        </w:tc>
        <w:tc>
          <w:tcPr>
            <w:tcW w:type="dxa" w:w="2600"/>
          </w:tcPr>
          <w:p>
            <w:r>
              <w:rPr>
                <w:b w:val="false"/>
                <w:bCs w:val="false"/>
                <w:sz w:val="20"/>
                <w:szCs w:val="20"/>
              </w:rPr>
              <w:t xml:space="preserve">16nm-class node, Phase 1 (WP#30 Table 7-1a); specific foundry/part not yet selected</w:t>
            </w:r>
          </w:p>
        </w:tc>
        <w:tc>
          <w:tcPr>
            <w:tcW w:type="dxa" w:w="2760"/>
          </w:tcPr>
          <w:p>
            <w:r>
              <w:rPr>
                <w:b w:val="false"/>
                <w:bCs w:val="false"/>
                <w:sz w:val="20"/>
                <w:szCs w:val="20"/>
              </w:rPr>
              <w:t xml:space="preserve">Node class decided; foundry selection still open (OI-30-17 narrowed)</w:t>
            </w:r>
          </w:p>
        </w:tc>
        <w:tc>
          <w:tcPr>
            <w:tcW w:type="dxa" w:w="1300"/>
          </w:tcPr>
          <w:p>
            <w:r>
              <w:rPr>
                <w:b w:val="false"/>
                <w:bCs w:val="false"/>
                <w:sz w:val="20"/>
                <w:szCs w:val="20"/>
              </w:rPr>
              <w:t xml:space="preserve">TBD</w:t>
            </w:r>
          </w:p>
        </w:tc>
      </w:tr>
    </w:tbl>
    <w:p>
      <w:pPr>
        <w:spacing w:after="200"/>
      </w:pPr>
      <w:r>
        <w:rPr>
          <w:i/>
          <w:iCs/>
          <w:sz w:val="20"/>
          <w:szCs w:val="20"/>
        </w:rPr>
        <w:t xml:space="preserve">Table 8-1. Node Equipment Internal BOM — populated from §4/§5 confirmed candidates; items 9, 10 (count), and 12 remain open</w:t>
      </w:r>
    </w:p>
    <w:p>
      <w:pPr>
        <w:spacing w:after="200"/>
      </w:pPr>
      <w:r>
        <w:rPr>
          <w:b/>
          <w:bCs/>
          <w:i/>
          <w:iCs/>
          <w:sz w:val="22"/>
          <w:szCs w:val="22"/>
        </w:rPr>
        <w:t xml:space="preserve">Open — OI-31-06: </w:t>
      </w:r>
      <w:r>
        <w:rPr>
          <w:i/>
          <w:iCs/>
          <w:sz w:val="22"/>
          <w:szCs w:val="22"/>
        </w:rPr>
        <w:t xml:space="preserve">(Narrowed) BOM structure and 11 of 12 line items are populated from confirmed candidates. Remaining gaps: memory capacity/ECC configuration (item 9); exact QSFP-DD lane count for the bring-up interface (item 10, see OI-31-11), which depends on WP#31 §3's block diagram signal-flow (OI-31-01, itself depending on WP#30 OI-30-04); and the ASIC-stage Matrix fabric part (item 12, depends on WP#30 OI-30-17). Passive components are explicitly out of scope until a schematic netlist exists. Rack/site-level assembly BOM (WP#23 Table 6-2's second sub-level) is not attempted here — node equipment does not yet have a confirmed rack/chassis design to enumerate (WP#29 OI-29-05, OI-29-07 still open).</w:t>
      </w:r>
    </w:p>
    <w:p>
      <w:pPr>
        <w:pStyle w:val="Heading1"/>
        <w:spacing w:after="160" w:before="280"/>
      </w:pPr>
      <w:r>
        <w:rPr>
          <w:b/>
          <w:bCs/>
        </w:rPr>
        <w:t xml:space="preserve">9.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OI-31-01</w:t>
            </w:r>
          </w:p>
        </w:tc>
        <w:tc>
          <w:tcPr>
            <w:tcW w:type="dxa" w:w="900"/>
          </w:tcPr>
          <w:p>
            <w:r>
              <w:rPr>
                <w:b w:val="false"/>
                <w:bCs w:val="false"/>
                <w:sz w:val="20"/>
                <w:szCs w:val="20"/>
              </w:rPr>
              <w:t xml:space="preserve">3</w:t>
            </w:r>
          </w:p>
        </w:tc>
        <w:tc>
          <w:tcPr>
            <w:tcW w:type="dxa" w:w="5860"/>
          </w:tcPr>
          <w:p>
            <w:r>
              <w:rPr>
                <w:b w:val="false"/>
                <w:bCs w:val="false"/>
                <w:sz w:val="20"/>
                <w:szCs w:val="20"/>
              </w:rPr>
              <w:t xml:space="preserve">Block list confirmed (Tables 3-1/3-2: existing + 3 node-level additions); signal-flow/connection topology not yet drawn — depends on WP#30 OI-30-04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OI-31-02</w:t>
            </w:r>
          </w:p>
        </w:tc>
        <w:tc>
          <w:tcPr>
            <w:tcW w:type="dxa" w:w="900"/>
          </w:tcPr>
          <w:p>
            <w:r>
              <w:rPr>
                <w:b w:val="false"/>
                <w:bCs w:val="false"/>
                <w:sz w:val="20"/>
                <w:szCs w:val="20"/>
              </w:rPr>
              <w:t xml:space="preserve">4</w:t>
            </w:r>
          </w:p>
        </w:tc>
        <w:tc>
          <w:tcPr>
            <w:tcW w:type="dxa" w:w="5860"/>
          </w:tcPr>
          <w:p>
            <w:r>
              <w:rPr>
                <w:b w:val="false"/>
                <w:bCs w:val="false"/>
                <w:sz w:val="20"/>
                <w:szCs w:val="20"/>
              </w:rPr>
              <w:t xml:space="preserve">Candidate shortlist confirmed (Table 4-1: MPM3695 series PMIC, DDR4 SO-DIMM, QSFP-DD for bring-up only, PCIe, verified against real VU19P boards); final BOM quantities/rail mapping and ASIC-stage parts (OI-30-17) still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OI-31-03</w:t>
            </w:r>
          </w:p>
        </w:tc>
        <w:tc>
          <w:tcPr>
            <w:tcW w:type="dxa" w:w="900"/>
          </w:tcPr>
          <w:p>
            <w:r>
              <w:rPr>
                <w:b w:val="false"/>
                <w:bCs w:val="false"/>
                <w:sz w:val="20"/>
                <w:szCs w:val="20"/>
              </w:rPr>
              <w:t xml:space="preserve">5</w:t>
            </w:r>
          </w:p>
        </w:tc>
        <w:tc>
          <w:tcPr>
            <w:tcW w:type="dxa" w:w="5860"/>
          </w:tcPr>
          <w:p>
            <w:r>
              <w:rPr>
                <w:b w:val="false"/>
                <w:bCs w:val="false"/>
                <w:sz w:val="20"/>
                <w:szCs w:val="20"/>
              </w:rPr>
              <w:t xml:space="preserve">Voltage rails and regulator parts confirmed against real MPS VU19P document (Table 5-1, 8 rails); board-level PSU topology (single vs. redundant feed) still depends on WP#29 OI-29-05</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OI-31-08</w:t>
            </w:r>
          </w:p>
        </w:tc>
        <w:tc>
          <w:tcPr>
            <w:tcW w:type="dxa" w:w="900"/>
          </w:tcPr>
          <w:p>
            <w:r>
              <w:rPr>
                <w:b w:val="false"/>
                <w:bCs w:val="false"/>
                <w:sz w:val="20"/>
                <w:szCs w:val="20"/>
              </w:rPr>
              <w:t xml:space="preserve">5.2</w:t>
            </w:r>
          </w:p>
        </w:tc>
        <w:tc>
          <w:tcPr>
            <w:tcW w:type="dxa" w:w="5860"/>
          </w:tcPr>
          <w:p>
            <w:r>
              <w:rPr>
                <w:b w:val="false"/>
                <w:bCs w:val="false"/>
                <w:sz w:val="20"/>
                <w:szCs w:val="20"/>
              </w:rPr>
              <w:t xml:space="preserve">PMBus addressing, bus speed, master controller assignment not fixed; non-PMBus rails (MGTYAVAUX/VCCO/DDR_VTT) need a separate monitoring path if NPU visibility is required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OI-31-09</w:t>
            </w:r>
          </w:p>
        </w:tc>
        <w:tc>
          <w:tcPr>
            <w:tcW w:type="dxa" w:w="900"/>
          </w:tcPr>
          <w:p>
            <w:r>
              <w:rPr>
                <w:b w:val="false"/>
                <w:bCs w:val="false"/>
                <w:sz w:val="20"/>
                <w:szCs w:val="20"/>
              </w:rPr>
              <w:t xml:space="preserve">5.1a</w:t>
            </w:r>
          </w:p>
        </w:tc>
        <w:tc>
          <w:tcPr>
            <w:tcW w:type="dxa" w:w="5860"/>
          </w:tcPr>
          <w:p>
            <w:r>
              <w:rPr>
                <w:b w:val="false"/>
                <w:bCs w:val="false"/>
                <w:sz w:val="20"/>
                <w:szCs w:val="20"/>
              </w:rPr>
              <w:t xml:space="preserve">PMIC headroom confirmed against an order-of-magnitude ASIC estimate (110-155W), not synthesis-derived; re-confirm once WP#30 foundry selection and real synthesis power are available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OI-31-10</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BOM variant mechanism (separate BOM vs. populate/no-populate option) not decided — reflects WP#29 R10's Mode B requirement for Master/Standby nodes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OI-31-04</w:t>
            </w:r>
          </w:p>
        </w:tc>
        <w:tc>
          <w:tcPr>
            <w:tcW w:type="dxa" w:w="900"/>
          </w:tcPr>
          <w:p>
            <w:r>
              <w:rPr>
                <w:b w:val="false"/>
                <w:bCs w:val="false"/>
                <w:sz w:val="20"/>
                <w:szCs w:val="20"/>
              </w:rPr>
              <w:t xml:space="preserve">6.1/6.2</w:t>
            </w:r>
          </w:p>
        </w:tc>
        <w:tc>
          <w:tcPr>
            <w:tcW w:type="dxa" w:w="5860"/>
          </w:tcPr>
          <w:p>
            <w:r>
              <w:rPr>
                <w:b w:val="false"/>
                <w:bCs w:val="false"/>
                <w:sz w:val="20"/>
                <w:szCs w:val="20"/>
              </w:rPr>
              <w:t xml:space="preserve">Clock architecture confirmed (OIL input → PTP internal distribution, Table structure per §6.1–6.2); PLL/buffer part selection, fan-out topology, skew budgets not drafted — depends on §4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OI-31-05</w:t>
            </w:r>
          </w:p>
        </w:tc>
        <w:tc>
          <w:tcPr>
            <w:tcW w:type="dxa" w:w="900"/>
          </w:tcPr>
          <w:p>
            <w:r>
              <w:rPr>
                <w:b w:val="false"/>
                <w:bCs w:val="false"/>
                <w:sz w:val="20"/>
                <w:szCs w:val="20"/>
              </w:rPr>
              <w:t xml:space="preserve">7.2</w:t>
            </w:r>
          </w:p>
        </w:tc>
        <w:tc>
          <w:tcPr>
            <w:tcW w:type="dxa" w:w="5860"/>
          </w:tcPr>
          <w:p>
            <w:r>
              <w:rPr>
                <w:b w:val="false"/>
                <w:bCs w:val="false"/>
                <w:sz w:val="20"/>
                <w:szCs w:val="20"/>
              </w:rPr>
              <w:t xml:space="preserve">Lane grouping confirmed (Table 7-1); transceiver part selection and PCS/FEC placement remain open, blocked on WP#26 OI-07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OI-31-06</w:t>
            </w:r>
          </w:p>
        </w:tc>
        <w:tc>
          <w:tcPr>
            <w:tcW w:type="dxa" w:w="900"/>
          </w:tcPr>
          <w:p>
            <w:r>
              <w:rPr>
                <w:b w:val="false"/>
                <w:bCs w:val="false"/>
                <w:sz w:val="20"/>
                <w:szCs w:val="20"/>
              </w:rPr>
              <w:t xml:space="preserve">8</w:t>
            </w:r>
          </w:p>
        </w:tc>
        <w:tc>
          <w:tcPr>
            <w:tcW w:type="dxa" w:w="5860"/>
          </w:tcPr>
          <w:p>
            <w:r>
              <w:rPr>
                <w:b w:val="false"/>
                <w:bCs w:val="false"/>
                <w:sz w:val="20"/>
                <w:szCs w:val="20"/>
              </w:rPr>
              <w:t xml:space="preserve">BOM populated (Table 8-1, 12 items); memory config, QSFP-DD bring-up lane count, and ASIC-stage part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OI-31-07</w:t>
            </w:r>
          </w:p>
        </w:tc>
        <w:tc>
          <w:tcPr>
            <w:tcW w:type="dxa" w:w="900"/>
          </w:tcPr>
          <w:p>
            <w:r>
              <w:rPr>
                <w:b w:val="false"/>
                <w:bCs w:val="false"/>
                <w:sz w:val="20"/>
                <w:szCs w:val="20"/>
              </w:rPr>
              <w:t xml:space="preserve">3.3</w:t>
            </w:r>
          </w:p>
        </w:tc>
        <w:tc>
          <w:tcPr>
            <w:tcW w:type="dxa" w:w="5860"/>
          </w:tcPr>
          <w:p>
            <w:r>
              <w:rPr>
                <w:b w:val="false"/>
                <w:bCs w:val="false"/>
                <w:sz w:val="20"/>
                <w:szCs w:val="20"/>
              </w:rPr>
              <w:t xml:space="preserve">Control-bus topology, pin assignments, voltage levels, and specific protocol not fixed — depends on §4 (component selection) and WP#30 OI-30-16</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OI-31-11</w:t>
            </w:r>
          </w:p>
        </w:tc>
        <w:tc>
          <w:tcPr>
            <w:tcW w:type="dxa" w:w="900"/>
          </w:tcPr>
          <w:p>
            <w:r>
              <w:rPr>
                <w:b w:val="false"/>
                <w:bCs w:val="false"/>
                <w:sz w:val="20"/>
                <w:szCs w:val="20"/>
              </w:rPr>
              <w:t xml:space="preserve">4, 8</w:t>
            </w:r>
          </w:p>
        </w:tc>
        <w:tc>
          <w:tcPr>
            <w:tcW w:type="dxa" w:w="5860"/>
          </w:tcPr>
          <w:p>
            <w:r>
              <w:rPr>
                <w:b w:val="false"/>
                <w:bCs w:val="false"/>
                <w:sz w:val="20"/>
                <w:szCs w:val="20"/>
              </w:rPr>
              <w:t xml:space="preserve">QSFP-DD (Table 4-1, Table 8-1 item 10) is a bring-up/verification-stage interface borrowed from the real VU19P reference board — it is not MOCT-native and cannot be, since MOCT is factory-fused with no field connectors (WP#03 §4.1–4.2, WP#24 §1.4). The production-stage MOCT-native PCB-level electrical/mechanical interface (pin/pad definition, ribbon termination at the board edge) is not specified anywhere in the series. Until it is, QSFP-DD stands in only for bring-up testing.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OI-31-12</w:t>
            </w:r>
          </w:p>
        </w:tc>
        <w:tc>
          <w:tcPr>
            <w:tcW w:type="dxa" w:w="900"/>
          </w:tcPr>
          <w:p>
            <w:r>
              <w:rPr>
                <w:b w:val="false"/>
                <w:bCs w:val="false"/>
                <w:sz w:val="20"/>
                <w:szCs w:val="20"/>
              </w:rPr>
              <w:t xml:space="preserve">3</w:t>
            </w:r>
          </w:p>
        </w:tc>
        <w:tc>
          <w:tcPr>
            <w:tcW w:type="dxa" w:w="5860"/>
          </w:tcPr>
          <w:p>
            <w:r>
              <w:rPr>
                <w:b w:val="false"/>
                <w:bCs w:val="false"/>
                <w:sz w:val="20"/>
                <w:szCs w:val="20"/>
              </w:rPr>
              <w:t xml:space="preserve">Table 3-1 (10 blocks, incl. “Edge Header, CH1–CH16 pin block”) and the §1 Master/Standby paragraph cite “WP#24 Figure 7-1” as their source. Verified against the current WP#24 (Cognition Cube Physical Spec) on file: no Figure 7-1, no §7 PCB component block list, and no “Edge Header” term exist in that document — WP#24’s actual §7 is “Hardware Verification Strategy Cross-Reference,” and its §4.2 pin-level interface map (CH1–CH16 electrical sensor/actuator pins, not MOCT optical) already states those pins are internal PCB headers/pads, not user-facing connectors, consistent with MOCT’s connector-less philosophy. The citation is dangling — either WP#24 was restructured after WP#31 was drafted and the figure moved/was removed, or WP#31 invented the citation. Table 3-1’s block list itself is not necessarily wrong, but its stated source does not exist in the current document set.</w:t>
            </w:r>
          </w:p>
        </w:tc>
        <w:tc>
          <w:tcPr>
            <w:tcW w:type="dxa" w:w="1600"/>
          </w:tcPr>
          <w:p>
            <w:r>
              <w:rPr>
                <w:b w:val="false"/>
                <w:bCs w:val="false"/>
                <w:sz w:val="20"/>
                <w:szCs w:val="20"/>
              </w:rPr>
              <w:t xml:space="preserve">Open — new</w:t>
            </w:r>
          </w:p>
        </w:tc>
      </w:tr>
    </w:tbl>
    <w:p>
      <w:pPr>
        <w:spacing w:after="200"/>
      </w:pPr>
      <w:r>
        <w:rPr>
          <w:i/>
          <w:iCs/>
          <w:sz w:val="20"/>
          <w:szCs w:val="20"/>
        </w:rPr>
        <w:t xml:space="preserve">Table 9-1. WP#31 Open Items — v1.2 (12 open items; OI-31-11 registers the QSFP-DD bring-up-vs-MOCT-native gap, OI-31-12 flags Table 3-1's dangling WP#24 Figure 7-1 citation)</w:t>
      </w:r>
    </w:p>
    <w:p>
      <w:pPr>
        <w:pStyle w:val="Heading1"/>
        <w:spacing w:after="160" w:before="280"/>
      </w:pPr>
      <w:r>
        <w:rPr>
          <w:b/>
          <w:bCs/>
        </w:rPr>
        <w:t xml:space="preserve">10. Conclusion and Next Steps</w:t>
      </w:r>
    </w:p>
    <w:p>
      <w:pPr>
        <w:spacing w:after="160"/>
      </w:pPr>
      <w:r>
        <w:rPr>
          <w:b w:val="false"/>
          <w:bCs w:val="false"/>
          <w:i w:val="false"/>
          <w:iCs w:val="false"/>
          <w:sz w:val="22"/>
          <w:szCs w:val="22"/>
        </w:rPr>
        <w:t xml:space="preserve">This revision additionally reflects WP#29 R10's new Mode B requirement for Master/Standby nodes: §1 states that a Master/Standby-designated node's BOM omits the Dedicated Equipment (PAI/EAI) sub-assembly entirely, since that role requires Mode B (no PAI/EAI attached). The specific mechanism for this BOM variant is newly tracked as OI-31-10, not yet decided. This revision also corrects Table 4-1 and Table 8-1 item 10 to flag QSFP-DD explicitly as a bring-up/verification-stage interface only, not the production MOCT-native interface (OI-31-11), and flags Table 3-1's "WP#24 Figure 7-1" citation as unverifiable against the current WP#24 document (OI-31-12). Twelve open items remain in total; WP#31 remains a complete first draft, now consistent with both WP#30's latest state (16nm-class ASIC) and WP#29's latest state (Mode B Master/Standby rule).</w:t>
      </w:r>
    </w:p>
    <w:p>
      <w:pPr>
        <w:spacing w:after="160"/>
      </w:pPr>
      <w:r>
        <w:rPr>
          <w:b w:val="false"/>
          <w:bCs w:val="false"/>
          <w:i/>
          <w:iCs/>
          <w:sz w:val="22"/>
          <w:szCs w:val="22"/>
        </w:rPr>
        <w:t xml:space="preserve">Velsanet Architecture Group  —  Internal Technical Document (Skeleton Draft)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2026-07-11T08:34:16.301Z</dcterms:created>
  <dcterms:modified xsi:type="dcterms:W3CDTF">2026-07-11T08:34:16.302Z</dcterms:modified>
</cp:coreProperties>
</file>

<file path=docProps/custom.xml><?xml version="1.0" encoding="utf-8"?>
<Properties xmlns="http://schemas.openxmlformats.org/officeDocument/2006/custom-properties" xmlns:vt="http://schemas.openxmlformats.org/officeDocument/2006/docPropsVTypes"/>
</file>