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1D85">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CB7651">
            <w:r>
              <w:rPr>
                <w:b/>
                <w:bCs/>
                <w:sz w:val="14"/>
                <w:szCs w:val="14"/>
              </w:rPr>
              <w:t>INTERNATIONAL TELECOMMUNICATION UNION</w:t>
            </w:r>
            <w:r>
              <w:rPr>
                <w:sz w:val="14"/>
                <w:szCs w:val="14"/>
              </w:rPr>
              <w:br/>
              <w:t xml:space="preserve">  TELECOMMUNICATION STANDARDIZATION SECTOR  STUDY PERIOD 2025-2028</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CB7651">
            <w:r>
              <w:rPr>
                <w:b/>
                <w:bCs/>
                <w:sz w:val="18"/>
                <w:szCs w:val="18"/>
              </w:rPr>
              <w:t>FG-AI4SSC-I-XXX</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E11D85"/>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rsidR="00E11D85" w:rsidRDefault="00CB7651">
            <w:r>
              <w:rPr>
                <w:b/>
                <w:bCs/>
                <w:sz w:val="18"/>
                <w:szCs w:val="18"/>
              </w:rPr>
              <w:t>Focus Group on AI for Smart Sustainable Cities and Communities (FG-AI4SSC)</w:t>
            </w:r>
            <w:r>
              <w:rPr>
                <w:sz w:val="16"/>
                <w:szCs w:val="16"/>
              </w:rPr>
              <w:br/>
              <w:t>Original: English</w:t>
            </w:r>
          </w:p>
        </w:tc>
      </w:tr>
    </w:tbl>
    <w:p w:rsidR="00E11D85" w:rsidRDefault="00E11D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WG(s):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TBD  —  1st meeting of FG-AI4SSC, Tampere, September 2026</w:t>
            </w:r>
          </w:p>
        </w:tc>
      </w:tr>
      <w:tr w:rsidR="00E11D85">
        <w:tc>
          <w:tcPr>
            <w:tcW w:w="9360" w:type="dxa"/>
            <w:gridSpan w:val="2"/>
            <w:tcBorders>
              <w:top w:val="single" w:sz="1" w:space="0" w:color="BBBBBB"/>
              <w:left w:val="single" w:sz="1" w:space="0" w:color="BBBBBB"/>
              <w:bottom w:val="single" w:sz="1" w:space="0" w:color="BBBBBB"/>
              <w:right w:val="single" w:sz="1" w:space="0" w:color="BBBBBB"/>
            </w:tcBorders>
            <w:shd w:val="clear" w:color="auto" w:fill="2E75B6"/>
            <w:tcMar>
              <w:top w:w="60" w:type="dxa"/>
              <w:left w:w="120" w:type="dxa"/>
              <w:bottom w:w="60" w:type="dxa"/>
              <w:right w:w="120" w:type="dxa"/>
            </w:tcMar>
          </w:tcPr>
          <w:p w:rsidR="00E11D85" w:rsidRDefault="00CB7651">
            <w:r>
              <w:rPr>
                <w:b/>
                <w:bCs/>
                <w:color w:val="FFFFFF"/>
                <w:sz w:val="18"/>
                <w:szCs w:val="18"/>
              </w:rPr>
              <w:t>INPUT DOCUMENT</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Source: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Changho Song (individual)</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Title: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Cube-Based End-to-End Integration Architecture for Smart Sustainable Cities: Multimodal Sensing, Accountable Cross-System Interoperability, and a Cube Router</w:t>
            </w:r>
          </w:p>
        </w:tc>
      </w:tr>
      <w:tr w:rsidR="00E11D85">
        <w:tc>
          <w:tcPr>
            <w:tcW w:w="2200" w:type="dxa"/>
            <w:tcBorders>
              <w:top w:val="single" w:sz="1" w:space="0" w:color="BBBBBB"/>
              <w:left w:val="single" w:sz="1" w:space="0" w:color="BBBBBB"/>
              <w:bottom w:val="single" w:sz="1" w:space="0" w:color="BBBBBB"/>
              <w:right w:val="single" w:sz="1" w:space="0" w:color="BBBBBB"/>
            </w:tcBorders>
            <w:shd w:val="clear" w:color="auto" w:fill="EFEFEF"/>
            <w:tcMar>
              <w:top w:w="80" w:type="dxa"/>
              <w:left w:w="120" w:type="dxa"/>
              <w:bottom w:w="80" w:type="dxa"/>
              <w:right w:w="120" w:type="dxa"/>
            </w:tcMar>
            <w:vAlign w:val="center"/>
          </w:tcPr>
          <w:p w:rsidR="00E11D85" w:rsidRDefault="00CB7651">
            <w:r>
              <w:rPr>
                <w:b/>
                <w:bCs/>
                <w:sz w:val="18"/>
                <w:szCs w:val="18"/>
              </w:rPr>
              <w:t>Contact:</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Changho Song    Tel: +82-10-5614-8965    E-mail: joa337@gmail.com</w:t>
            </w:r>
          </w:p>
        </w:tc>
      </w:tr>
    </w:tbl>
    <w:p w:rsidR="003555C7" w:rsidRDefault="003555C7">
      <w:pPr>
        <w:spacing w:before="180" w:after="60"/>
        <w:rPr>
          <w:b/>
          <w:bCs/>
          <w:color w:val="1F3864"/>
          <w:sz w:val="22"/>
          <w:szCs w:val="22"/>
        </w:rPr>
      </w:pPr>
    </w:p>
    <w:p w:rsidR="00E11D85" w:rsidRDefault="00CB7651">
      <w:pPr>
        <w:spacing w:before="180" w:after="60"/>
      </w:pPr>
      <w:r>
        <w:rPr>
          <w:b/>
          <w:bCs/>
          <w:color w:val="1F3864"/>
          <w:sz w:val="22"/>
          <w:szCs w:val="22"/>
        </w:rPr>
        <w:t>Abstract</w:t>
      </w:r>
    </w:p>
    <w:p w:rsidR="003555C7" w:rsidRPr="003555C7" w:rsidRDefault="003555C7" w:rsidP="003555C7">
      <w:pPr>
        <w:pStyle w:val="ds-markdown-paragraph"/>
        <w:shd w:val="clear" w:color="auto" w:fill="FFFFFF"/>
        <w:spacing w:after="240" w:afterAutospacing="0"/>
        <w:rPr>
          <w:rFonts w:ascii="Arial" w:hAnsi="Arial" w:cs="Arial"/>
          <w:color w:val="0F1115"/>
          <w:sz w:val="20"/>
          <w:szCs w:val="20"/>
        </w:rPr>
      </w:pPr>
      <w:r w:rsidRPr="003555C7">
        <w:rPr>
          <w:rFonts w:ascii="Arial" w:hAnsi="Arial" w:cs="Arial"/>
          <w:color w:val="0F1115"/>
          <w:sz w:val="20"/>
          <w:szCs w:val="20"/>
        </w:rPr>
        <w:t>AI-enabled urban systems increasingly share the same physical space but remain functionally siloed. CCTV, traffic, public safety, and environmental sensing may sit in one operations centre, yet they do not interoperate. Partial automation exists within each system, but humans manually bridge the gaps. This makes city procedures slow and accountability diffuse.</w:t>
      </w:r>
    </w:p>
    <w:p w:rsidR="003555C7" w:rsidRPr="003555C7" w:rsidRDefault="003555C7" w:rsidP="003555C7">
      <w:pPr>
        <w:pStyle w:val="ds-markdown-paragraph"/>
        <w:shd w:val="clear" w:color="auto" w:fill="FFFFFF"/>
        <w:spacing w:before="240" w:beforeAutospacing="0" w:after="240" w:afterAutospacing="0"/>
        <w:rPr>
          <w:rFonts w:ascii="Arial" w:hAnsi="Arial" w:cs="Arial"/>
          <w:color w:val="0F1115"/>
          <w:sz w:val="20"/>
          <w:szCs w:val="20"/>
        </w:rPr>
      </w:pPr>
      <w:r w:rsidRPr="003555C7">
        <w:rPr>
          <w:rFonts w:ascii="Arial" w:hAnsi="Arial" w:cs="Arial"/>
          <w:color w:val="0F1115"/>
          <w:sz w:val="20"/>
          <w:szCs w:val="20"/>
        </w:rPr>
        <w:t>The barrier is not a shortage of data or technology. It is the absence of a structure through which information can flow across systems while each system's authority boundary is preserved.</w:t>
      </w:r>
    </w:p>
    <w:p w:rsidR="003555C7" w:rsidRPr="003555C7" w:rsidRDefault="003555C7" w:rsidP="003555C7">
      <w:pPr>
        <w:pStyle w:val="ds-markdown-paragraph"/>
        <w:shd w:val="clear" w:color="auto" w:fill="FFFFFF"/>
        <w:spacing w:before="240" w:beforeAutospacing="0" w:after="240" w:afterAutospacing="0"/>
        <w:rPr>
          <w:rFonts w:ascii="Arial" w:hAnsi="Arial" w:cs="Arial"/>
          <w:color w:val="0F1115"/>
          <w:sz w:val="20"/>
          <w:szCs w:val="20"/>
        </w:rPr>
      </w:pPr>
      <w:r w:rsidRPr="003555C7">
        <w:rPr>
          <w:rFonts w:ascii="Arial" w:hAnsi="Arial" w:cs="Arial"/>
          <w:color w:val="0F1115"/>
          <w:sz w:val="20"/>
          <w:szCs w:val="20"/>
        </w:rPr>
        <w:t>This contribution proposes such a structure. Its unit of exchange is the Cube — a semantically compressed, time-anchored, self-describing cognitive object ingested through multimodal multi-channel urban sensing. The city is organised around two structural axes (physical-ingestion and intent), served by an agent layer (agentic AI) and an assistant layer. A Cube Router provides authenticated cube exchange across heterogeneous city systems and is offered as a candidate Minimum Interoperability Mechanism (MIM). The same structure scales self-similarly from city to regional to national deployments.</w:t>
      </w:r>
    </w:p>
    <w:p w:rsidR="003555C7" w:rsidRPr="003555C7" w:rsidRDefault="003555C7" w:rsidP="003555C7">
      <w:pPr>
        <w:pStyle w:val="ds-markdown-paragraph"/>
        <w:shd w:val="clear" w:color="auto" w:fill="FFFFFF"/>
        <w:spacing w:before="240" w:beforeAutospacing="0" w:after="240" w:afterAutospacing="0"/>
        <w:rPr>
          <w:rFonts w:ascii="Arial" w:hAnsi="Arial" w:cs="Arial"/>
          <w:color w:val="0F1115"/>
          <w:sz w:val="20"/>
          <w:szCs w:val="20"/>
        </w:rPr>
      </w:pPr>
      <w:r w:rsidRPr="003555C7">
        <w:rPr>
          <w:rFonts w:ascii="Arial" w:hAnsi="Arial" w:cs="Arial"/>
          <w:color w:val="0F1115"/>
          <w:sz w:val="20"/>
          <w:szCs w:val="20"/>
        </w:rPr>
        <w:t>Consistent with the FG-AI4SSC Terms of Reference, this contribution defines the architectural and interoperability substrate only. Detailed AI model design, training methods, and the internal algorithms of any AI layer are out of scope.</w:t>
      </w:r>
    </w:p>
    <w:p w:rsidR="00E11D85" w:rsidRDefault="00E11D85">
      <w:pPr>
        <w:spacing w:after="130"/>
      </w:pPr>
    </w:p>
    <w:p w:rsidR="00E11D85" w:rsidRDefault="00CB7651">
      <w:pPr>
        <w:spacing w:after="120"/>
      </w:pPr>
      <w:r>
        <w:rPr>
          <w:i/>
          <w:iCs/>
          <w:color w:val="2E75B6"/>
        </w:rPr>
        <w:t>Reading guide: clauses 1–3 establish the problem and the cube; clauses 4–6 define the structure and the Cube Router; clauses 7–9 cover authorisation, a worked example, and accountability; clauses 10–12 cover scaling, hardware, and the proposal.</w:t>
      </w:r>
    </w:p>
    <w:p w:rsidR="00E11D85" w:rsidRDefault="00CB7651">
      <w:pPr>
        <w:pStyle w:val="1"/>
      </w:pPr>
      <w:r>
        <w:t>0  Scope and Alignment with the FG-AI4SSC ToR</w:t>
      </w:r>
    </w:p>
    <w:p w:rsidR="00E11D85" w:rsidRDefault="00CB7651">
      <w:pPr>
        <w:spacing w:after="130"/>
      </w:pPr>
      <w:r>
        <w:t>This contribution maps directly onto the following scope items in the FG-AI4SSC Terms of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E11D85">
        <w:tc>
          <w:tcPr>
            <w:tcW w:w="5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FG-AI4SSC ToR scope item</w:t>
            </w:r>
          </w:p>
        </w:tc>
        <w:tc>
          <w:tcPr>
            <w:tcW w:w="4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Addressed in this contribution</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Architectural frameworks and reference models for AI-enabled urban systems</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Two-axis structure; self-similar scaling (cl. 4, 10)</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Interoperability and coordination mechanisms, incl. Minimum Interoperability Mechanisms (MIMs)</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 Router as a candidate MIM (cl. 6)</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 xml:space="preserve">Supervisory and control considerations, accounting for </w:t>
            </w:r>
            <w:r>
              <w:rPr>
                <w:sz w:val="18"/>
                <w:szCs w:val="18"/>
              </w:rPr>
              <w:lastRenderedPageBreak/>
              <w:t>service criticality</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lastRenderedPageBreak/>
              <w:t xml:space="preserve">Accountability and instruction/execution separation </w:t>
            </w:r>
            <w:r>
              <w:rPr>
                <w:sz w:val="18"/>
                <w:szCs w:val="18"/>
              </w:rPr>
              <w:lastRenderedPageBreak/>
              <w:t>(cl. 9)</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lastRenderedPageBreak/>
              <w:t>Data aspects: interoperability, sharing, lifecycle</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 as transmission unit; record and evidence (cl. 2, 9)</w:t>
            </w:r>
          </w:p>
        </w:tc>
      </w:tr>
      <w:tr w:rsidR="00E11D85">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Spatial AI / digital–physical convergence</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Multimodal multi-channel ingestion (cl. 3)</w:t>
            </w:r>
          </w:p>
        </w:tc>
      </w:tr>
    </w:tbl>
    <w:p w:rsidR="00E11D85" w:rsidRDefault="00E11D85">
      <w:pPr>
        <w:spacing w:after="60"/>
      </w:pPr>
    </w:p>
    <w:p w:rsidR="00E11D85" w:rsidRDefault="00CB7651">
      <w:pPr>
        <w:spacing w:after="130"/>
      </w:pPr>
      <w:r>
        <w:rPr>
          <w:b/>
          <w:bCs/>
        </w:rPr>
        <w:t>In scope (defined here):</w:t>
      </w:r>
    </w:p>
    <w:p w:rsidR="00E11D85" w:rsidRDefault="00CB7651">
      <w:pPr>
        <w:pStyle w:val="a4"/>
        <w:numPr>
          <w:ilvl w:val="0"/>
          <w:numId w:val="2"/>
        </w:numPr>
        <w:spacing w:after="60"/>
      </w:pPr>
      <w:r>
        <w:t>The cube as a transmission unit — five-axis (T·C·I·E·M) structure, immutable T-axis, SEU time anchoring, with axis extensibility.</w:t>
      </w:r>
    </w:p>
    <w:p w:rsidR="00E11D85" w:rsidRDefault="00CB7651">
      <w:pPr>
        <w:pStyle w:val="a4"/>
        <w:numPr>
          <w:ilvl w:val="0"/>
          <w:numId w:val="2"/>
        </w:numPr>
        <w:spacing w:after="60"/>
      </w:pPr>
      <w:r>
        <w:t>Multimodal multi-channel ingestion as the urban sensing substrate.</w:t>
      </w:r>
    </w:p>
    <w:p w:rsidR="00E11D85" w:rsidRDefault="00CB7651">
      <w:pPr>
        <w:pStyle w:val="a4"/>
        <w:numPr>
          <w:ilvl w:val="0"/>
          <w:numId w:val="2"/>
        </w:numPr>
        <w:spacing w:after="60"/>
      </w:pPr>
      <w:r>
        <w:t>The two-axis structure (physical-ingestion; intent) and the agent / assistant layers.</w:t>
      </w:r>
    </w:p>
    <w:p w:rsidR="00E11D85" w:rsidRDefault="00CB7651">
      <w:pPr>
        <w:pStyle w:val="a4"/>
        <w:numPr>
          <w:ilvl w:val="0"/>
          <w:numId w:val="2"/>
        </w:numPr>
        <w:spacing w:after="60"/>
      </w:pPr>
      <w:r>
        <w:t>The Cube Router — authenticated extraction and exchange of cubes across systems (candidate MIM).</w:t>
      </w:r>
    </w:p>
    <w:p w:rsidR="00E11D85" w:rsidRDefault="00CB7651">
      <w:pPr>
        <w:pStyle w:val="a4"/>
        <w:numPr>
          <w:ilvl w:val="0"/>
          <w:numId w:val="2"/>
        </w:numPr>
        <w:spacing w:after="60"/>
      </w:pPr>
      <w:r>
        <w:t>Registration / authorisation / record mechanisms that make cross-system exchange accountable.</w:t>
      </w:r>
    </w:p>
    <w:p w:rsidR="003555C7" w:rsidRDefault="003555C7" w:rsidP="00B62E98">
      <w:pPr>
        <w:pStyle w:val="a4"/>
        <w:spacing w:after="60"/>
        <w:ind w:left="560"/>
      </w:pPr>
    </w:p>
    <w:p w:rsidR="00E11D85" w:rsidRDefault="00CB7651">
      <w:pPr>
        <w:spacing w:after="130"/>
      </w:pPr>
      <w:r>
        <w:rPr>
          <w:b/>
          <w:bCs/>
        </w:rPr>
        <w:t>Out of scope (consistent with ToR exclusions):</w:t>
      </w:r>
    </w:p>
    <w:p w:rsidR="003555C7" w:rsidRPr="003555C7" w:rsidRDefault="003555C7" w:rsidP="003555C7">
      <w:pPr>
        <w:widowControl/>
        <w:numPr>
          <w:ilvl w:val="0"/>
          <w:numId w:val="2"/>
        </w:numPr>
        <w:shd w:val="clear" w:color="auto" w:fill="FFFFFF"/>
        <w:wordWrap/>
        <w:autoSpaceDE/>
        <w:autoSpaceDN/>
        <w:spacing w:before="100" w:beforeAutospacing="1"/>
        <w:rPr>
          <w:rFonts w:eastAsia="굴림"/>
          <w:color w:val="0F1115"/>
        </w:rPr>
      </w:pPr>
      <w:r w:rsidRPr="003555C7">
        <w:rPr>
          <w:rFonts w:eastAsia="굴림"/>
          <w:color w:val="0F1115"/>
        </w:rPr>
        <w:t>Detailed AI model design, training and testing methods, and the internal algorithms of any AI layer.</w:t>
      </w:r>
    </w:p>
    <w:p w:rsidR="003555C7" w:rsidRPr="003555C7" w:rsidRDefault="003555C7" w:rsidP="003555C7">
      <w:pPr>
        <w:widowControl/>
        <w:numPr>
          <w:ilvl w:val="0"/>
          <w:numId w:val="2"/>
        </w:numPr>
        <w:shd w:val="clear" w:color="auto" w:fill="FFFFFF"/>
        <w:wordWrap/>
        <w:autoSpaceDE/>
        <w:autoSpaceDN/>
        <w:spacing w:before="100" w:beforeAutospacing="1"/>
        <w:rPr>
          <w:rFonts w:eastAsia="굴림"/>
          <w:color w:val="0F1115"/>
        </w:rPr>
      </w:pPr>
      <w:r w:rsidRPr="003555C7">
        <w:rPr>
          <w:rFonts w:eastAsia="굴림"/>
          <w:color w:val="0F1115"/>
        </w:rPr>
        <w:t>General urban policy, social policy, and ethical or regulatory frameworks for AI, except where directly tied to interoperability and system integration.</w:t>
      </w:r>
    </w:p>
    <w:p w:rsidR="00E11D85" w:rsidRDefault="00E11D85" w:rsidP="003555C7">
      <w:pPr>
        <w:pStyle w:val="a4"/>
        <w:spacing w:after="60"/>
        <w:ind w:left="560"/>
      </w:pPr>
    </w:p>
    <w:p w:rsidR="00E11D85" w:rsidRDefault="00CB7651">
      <w:pPr>
        <w:spacing w:after="120"/>
      </w:pPr>
      <w:r>
        <w:rPr>
          <w:i/>
          <w:iCs/>
          <w:color w:val="2E75B6"/>
        </w:rPr>
        <w:t>Guiding line: “what an AI decides” is out of scope; “the structure within which systems interoperate, and how cubes are exchanged” is in scope.</w:t>
      </w:r>
    </w:p>
    <w:p w:rsidR="00E11D85" w:rsidRDefault="00CB7651">
      <w:pPr>
        <w:pStyle w:val="1"/>
      </w:pPr>
      <w:r>
        <w:t>1  Motivation — The Siloed City Operational System</w:t>
      </w:r>
    </w:p>
    <w:p w:rsidR="00E11D85" w:rsidRDefault="00CB7651">
      <w:pPr>
        <w:spacing w:after="130"/>
      </w:pPr>
      <w:r>
        <w:t>Integrated city centres bring multiple operational systems into one facility, but each runs on its own data stores, screens, and procedures. The walls between them are not removed; they are merely co-located. The table below contrasts today’s situation with the structure proposed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1D85">
        <w:tc>
          <w:tcPr>
            <w:tcW w:w="4680" w:type="dxa"/>
            <w:tcBorders>
              <w:top w:val="single" w:sz="1" w:space="0" w:color="BBBBBB"/>
              <w:left w:val="single" w:sz="1" w:space="0" w:color="BBBBBB"/>
              <w:bottom w:val="single" w:sz="1" w:space="0" w:color="BBBBBB"/>
              <w:right w:val="single" w:sz="1" w:space="0" w:color="BBBBBB"/>
            </w:tcBorders>
            <w:shd w:val="clear" w:color="auto" w:fill="F4D7D7"/>
            <w:tcMar>
              <w:top w:w="80" w:type="dxa"/>
              <w:left w:w="120" w:type="dxa"/>
              <w:bottom w:w="80" w:type="dxa"/>
              <w:right w:w="120" w:type="dxa"/>
            </w:tcMar>
            <w:vAlign w:val="center"/>
          </w:tcPr>
          <w:p w:rsidR="00E11D85" w:rsidRDefault="00CB7651">
            <w:r>
              <w:rPr>
                <w:b/>
                <w:bCs/>
                <w:sz w:val="18"/>
                <w:szCs w:val="18"/>
              </w:rPr>
              <w:t>Today — co-located but siloed</w:t>
            </w:r>
          </w:p>
        </w:tc>
        <w:tc>
          <w:tcPr>
            <w:tcW w:w="4680" w:type="dxa"/>
            <w:tcBorders>
              <w:top w:val="single" w:sz="1" w:space="0" w:color="BBBBBB"/>
              <w:left w:val="single" w:sz="1" w:space="0" w:color="BBBBBB"/>
              <w:bottom w:val="single" w:sz="1" w:space="0" w:color="BBBBBB"/>
              <w:right w:val="single" w:sz="1" w:space="0" w:color="BBBBBB"/>
            </w:tcBorders>
            <w:shd w:val="clear" w:color="auto" w:fill="D7E8D7"/>
            <w:tcMar>
              <w:top w:w="80" w:type="dxa"/>
              <w:left w:w="120" w:type="dxa"/>
              <w:bottom w:w="80" w:type="dxa"/>
              <w:right w:w="120" w:type="dxa"/>
            </w:tcMar>
            <w:vAlign w:val="center"/>
          </w:tcPr>
          <w:p w:rsidR="00E11D85" w:rsidRDefault="00CB7651">
            <w:r>
              <w:rPr>
                <w:b/>
                <w:bCs/>
                <w:sz w:val="18"/>
                <w:szCs w:val="18"/>
              </w:rPr>
              <w:t>Proposed — cube-based interoperability</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Each system ingests and stores signals separately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Multimodal multi-channel ingestion binds signals from capture</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Humans manually relay information across systems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Cubes flow across systems through a Cube Router</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Authority/responsibility unclear when data crosses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Registration + authority + record make every crossing accountable</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Slow, error-prone, diffuse accountability</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Faster, evidenced, accountability apportioned by stage</w:t>
            </w:r>
          </w:p>
        </w:tc>
      </w:tr>
    </w:tbl>
    <w:p w:rsidR="00E11D85" w:rsidRDefault="00E11D85">
      <w:pPr>
        <w:spacing w:after="60"/>
      </w:pPr>
    </w:p>
    <w:p w:rsidR="00E11D85" w:rsidRDefault="00CB7651">
      <w:pPr>
        <w:spacing w:after="130"/>
      </w:pPr>
      <w:r>
        <w:t>The cause of the silo is not missing data or technology — cities have both in abundance — but the absence of a structure that lets data flow across systems while preserving each system’s authority and responsibility boundary. As the ToR observes, existing work on smart sustainable cities, digital twins, and IoT does not yet sufficiently address these integration aspects.</w:t>
      </w:r>
    </w:p>
    <w:p w:rsidR="00E11D85" w:rsidRDefault="00CB7651">
      <w:pPr>
        <w:pStyle w:val="1"/>
      </w:pPr>
      <w:r>
        <w:t>2  The Cube — the Unit of Transmission</w:t>
      </w:r>
    </w:p>
    <w:p w:rsidR="00E11D85" w:rsidRDefault="00CB7651">
      <w:pPr>
        <w:spacing w:after="130"/>
      </w:pPr>
      <w:r>
        <w:t>Conventional systems transmit raw data or tokens; the receiver must re-interpret meaning, time, and authorisation every time — which reproduces the silo at the data layer. This contribution proposes that the unit flowing across systems be the Cube: a semantically compressed, time-anchored, self-describing cognitive object.</w:t>
      </w:r>
    </w:p>
    <w:p w:rsidR="00E11D85" w:rsidRDefault="00CB7651">
      <w:pPr>
        <w:pStyle w:val="2"/>
      </w:pPr>
      <w:r>
        <w:t>2.1  The Five Axes</w:t>
      </w:r>
    </w:p>
    <w:p w:rsidR="00E11D85" w:rsidRDefault="003555C7">
      <w:pPr>
        <w:spacing w:after="130"/>
        <w:rPr>
          <w:rFonts w:ascii="Segoe UI" w:hAnsi="Segoe UI" w:cs="Segoe UI"/>
          <w:color w:val="0F1115"/>
          <w:shd w:val="clear" w:color="auto" w:fill="FFFFFF"/>
        </w:rPr>
      </w:pPr>
      <w:r>
        <w:rPr>
          <w:rFonts w:ascii="Segoe UI" w:hAnsi="Segoe UI" w:cs="Segoe UI"/>
          <w:color w:val="0F1115"/>
          <w:shd w:val="clear" w:color="auto" w:fill="FFFFFF"/>
        </w:rPr>
        <w:t xml:space="preserve">A cube is organised on five axes. The T-axis is immutable and is fixed at the moment of capture by </w:t>
      </w:r>
      <w:r>
        <w:rPr>
          <w:rFonts w:ascii="Segoe UI" w:hAnsi="Segoe UI" w:cs="Segoe UI"/>
          <w:color w:val="0F1115"/>
          <w:shd w:val="clear" w:color="auto" w:fill="FFFFFF"/>
        </w:rPr>
        <w:lastRenderedPageBreak/>
        <w:t>the </w:t>
      </w:r>
      <w:r>
        <w:rPr>
          <w:rStyle w:val="ab"/>
          <w:rFonts w:ascii="Segoe UI" w:hAnsi="Segoe UI" w:cs="Segoe UI"/>
          <w:color w:val="0F1115"/>
          <w:shd w:val="clear" w:color="auto" w:fill="FFFFFF"/>
        </w:rPr>
        <w:t>SEU (Sensory Experience Unit)</w:t>
      </w:r>
      <w:r>
        <w:rPr>
          <w:rFonts w:ascii="Segoe UI" w:hAnsi="Segoe UI" w:cs="Segoe UI"/>
          <w:color w:val="0F1115"/>
          <w:shd w:val="clear" w:color="auto" w:fill="FFFFFF"/>
        </w:rPr>
        <w:t> — the atomic sensory-temporal binding unit that anchors the cube to physical time at the moment of multimodal capture. The other axes carry the cognitive content.</w:t>
      </w:r>
    </w:p>
    <w:p w:rsidR="003555C7" w:rsidRDefault="003555C7">
      <w:pPr>
        <w:spacing w:after="1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Axis</w:t>
            </w:r>
          </w:p>
        </w:tc>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Meaning</w:t>
            </w:r>
          </w:p>
        </w:tc>
        <w:tc>
          <w:tcPr>
            <w:tcW w:w="54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Role</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T — Time</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Physical</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When. Immutable; fixed at capture via the SEU. Past and present align on one axis.</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C — Context</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Physical</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Why it is happening — the context read from the SEU.</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I — Intent</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Intent</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What is intended.</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E — Emotion</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Intent</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The affective dimension accompanying intent.</w:t>
            </w:r>
          </w:p>
        </w:tc>
      </w:tr>
      <w:tr w:rsidR="00E11D85">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M — Meta</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Meta</w:t>
            </w:r>
          </w:p>
        </w:tc>
        <w:tc>
          <w:tcPr>
            <w:tcW w:w="54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Meta-abstraction over the other axes.</w:t>
            </w:r>
          </w:p>
        </w:tc>
      </w:tr>
    </w:tbl>
    <w:p w:rsidR="00E11D85" w:rsidRDefault="00E11D85">
      <w:pPr>
        <w:spacing w:after="60"/>
      </w:pPr>
    </w:p>
    <w:p w:rsidR="00E11D85" w:rsidRDefault="00CB7651">
      <w:pPr>
        <w:spacing w:after="130"/>
      </w:pPr>
      <w:r>
        <w:t>Grouping: T and C describe the physical (when and in what context); I and E describe the intentional (what is intended and with what affect); M is the meta-abstraction over them. The five axes are the base set. Additional axes may be appended when a particular cube requires them — at the cost of extra load, but available by need. Authority, however, is not represented as a cube axis: access to a cube is already restricted to parties holding the corresponding right (see clause 7), so a dedicated authority axis carries little benefit.</w:t>
      </w:r>
    </w:p>
    <w:p w:rsidR="00E11D85" w:rsidRDefault="00CB7651">
      <w:pPr>
        <w:pStyle w:val="2"/>
      </w:pPr>
      <w:r>
        <w:t>2.2  Properties</w:t>
      </w:r>
    </w:p>
    <w:p w:rsidR="00E11D85" w:rsidRDefault="00CB7651">
      <w:pPr>
        <w:pStyle w:val="a4"/>
        <w:numPr>
          <w:ilvl w:val="0"/>
          <w:numId w:val="2"/>
        </w:numPr>
        <w:spacing w:after="60"/>
      </w:pPr>
      <w:r>
        <w:t>Self-describing — the form itself conveys what the data is, so a receiver need not re-interpret it.</w:t>
      </w:r>
    </w:p>
    <w:p w:rsidR="00E11D85" w:rsidRDefault="00CB7651">
      <w:pPr>
        <w:pStyle w:val="a4"/>
        <w:numPr>
          <w:ilvl w:val="0"/>
          <w:numId w:val="2"/>
        </w:numPr>
        <w:spacing w:after="60"/>
      </w:pPr>
      <w:r>
        <w:t>Time-coherent — the immutable T-axis lets cubes accumulate into a consistent timeline.</w:t>
      </w:r>
    </w:p>
    <w:p w:rsidR="00E11D85" w:rsidRDefault="00CB7651">
      <w:pPr>
        <w:pStyle w:val="a4"/>
        <w:numPr>
          <w:ilvl w:val="0"/>
          <w:numId w:val="2"/>
        </w:numPr>
        <w:spacing w:after="60"/>
      </w:pPr>
      <w:r>
        <w:t>Concurrently accessible — extraction and storage can occur simultaneously.</w:t>
      </w:r>
    </w:p>
    <w:p w:rsidR="00E11D85" w:rsidRDefault="00CB7651">
      <w:pPr>
        <w:pStyle w:val="a4"/>
        <w:numPr>
          <w:ilvl w:val="0"/>
          <w:numId w:val="2"/>
        </w:numPr>
        <w:spacing w:after="60"/>
      </w:pPr>
      <w:r>
        <w:t>Extensible — the five axes are a base set; further axes may be added per use.</w:t>
      </w:r>
    </w:p>
    <w:p w:rsidR="00E11D85" w:rsidRDefault="00CB7651">
      <w:pPr>
        <w:pStyle w:val="1"/>
      </w:pPr>
      <w:r>
        <w:t>3  Multimodal Multi-Channel Ingestion</w:t>
      </w:r>
    </w:p>
    <w:p w:rsidR="00E11D85" w:rsidRDefault="00CB7651">
      <w:pPr>
        <w:spacing w:after="130"/>
      </w:pPr>
      <w:r>
        <w:t>The sensing substrate ingests urban signals through a multimodal multi-channel structure rather than receiving each sensor stream in isolation.</w:t>
      </w:r>
    </w:p>
    <w:p w:rsidR="00E11D85" w:rsidRDefault="00CB7651">
      <w:pPr>
        <w:spacing w:after="130"/>
      </w:pPr>
      <w:r>
        <w:t>The design choice is deliberate. Receiving each signal separately reproduces the silo at the very point of capture. Receiving them as an integrated multimodal signal across channels — synchronised into a single SEU — can be more effective, because the streams are bound into one cognitive unit from the moment they enter the system. This integrated ingestion is the basis of cubification and directly supports cross-system interoperability and digital–physical convergence.</w:t>
      </w:r>
    </w:p>
    <w:p w:rsidR="00E11D85" w:rsidRDefault="00CB7651">
      <w:pPr>
        <w:spacing w:after="120"/>
      </w:pPr>
      <w:r>
        <w:rPr>
          <w:i/>
          <w:iCs/>
          <w:color w:val="2E75B6"/>
        </w:rPr>
        <w:t>This concerns multimodal urban sensing (sensor/signal ingestion), not multimedia content processing, which is outside the ToR scope.</w:t>
      </w:r>
    </w:p>
    <w:p w:rsidR="00E11D85" w:rsidRDefault="00CB7651">
      <w:pPr>
        <w:pStyle w:val="1"/>
      </w:pPr>
      <w:r>
        <w:t>4  The Two-Axis Structure</w:t>
      </w:r>
    </w:p>
    <w:p w:rsidR="00E11D85" w:rsidRDefault="00CB7651">
      <w:pPr>
        <w:spacing w:after="130"/>
      </w:pPr>
      <w:r>
        <w:t>The architecture separates the physical world it observes from the intent it receives. These are two distinct entry points, not one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1D85">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Physical-ingestion axis</w:t>
            </w:r>
          </w:p>
        </w:tc>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Intent axis</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Ingests physical multimodal signals at the E2E centre; forms cubes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Receives intent from a subject (citizen, public official, …)</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Covers management, authority, operation, accountability of city operational resources</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Subject selects a dedicated general-purpose agent</w:t>
            </w:r>
          </w:p>
        </w:tc>
      </w:tr>
      <w:tr w:rsidR="00E11D85">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Scales in size (city → integrated → region → nation), not in abstraction</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Served by the agent layer and the assistant layer above it</w:t>
            </w:r>
          </w:p>
        </w:tc>
      </w:tr>
    </w:tbl>
    <w:p w:rsidR="00E11D85" w:rsidRDefault="00E11D85">
      <w:pPr>
        <w:spacing w:after="60"/>
      </w:pPr>
    </w:p>
    <w:p w:rsidR="00E11D85" w:rsidRDefault="00CB7651">
      <w:pPr>
        <w:pStyle w:val="2"/>
      </w:pPr>
      <w:r>
        <w:lastRenderedPageBreak/>
        <w:t>4.1  Where the Two Axes Meet</w:t>
      </w:r>
    </w:p>
    <w:p w:rsidR="00E11D85" w:rsidRDefault="00CB7651">
      <w:pPr>
        <w:spacing w:after="130"/>
      </w:pPr>
      <w:r>
        <w:t>The two axes are normally separate. A purely administrative intent is completed within the agent layer, with no physical involvement. Only when an intent requires physical execution does it cross into the physical-ingestion axis — the E2E centre that manages and is accountable for that execution. (A robot is cited only as one example of a city operational system; general-purpose robotics is out of scope.)</w:t>
      </w:r>
    </w:p>
    <w:p w:rsidR="00E11D85" w:rsidRDefault="00CB7651">
      <w:pPr>
        <w:pStyle w:val="1"/>
      </w:pPr>
      <w:r>
        <w:t>5  The Three Layers (structural position only)</w:t>
      </w:r>
    </w:p>
    <w:p w:rsidR="00E11D85" w:rsidRDefault="00CB7651">
      <w:pPr>
        <w:spacing w:after="130"/>
      </w:pPr>
      <w:r>
        <w:t>Only the structural role of each layer in interoperability is defined here; their internal algorithms are out of scope (clause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Layer</w:t>
            </w:r>
          </w:p>
        </w:tc>
        <w:tc>
          <w:tcPr>
            <w:tcW w:w="7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Structural role in interoperability</w:t>
            </w:r>
          </w:p>
        </w:tc>
      </w:tr>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Intent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The source or holder of intent (e.g. a citizen or a public official).</w:t>
            </w:r>
          </w:p>
        </w:tc>
      </w:tr>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Agent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 (agentic AI): mediates and coordinates intent across systems. “Governance” here denotes the operational form in which this coordination takes place through the agent layer — NOT urban policy or regulatory governance. Exists in plurality by purpose.</w:t>
            </w:r>
          </w:p>
        </w:tc>
      </w:tr>
      <w:tr w:rsidR="00E11D85">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Assistant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Assistant layer: executes and records (execution = record); provides statistics, search, and extraction. Resides at the E2E centre (realised as a DB router plus a parallel engine).</w:t>
            </w:r>
          </w:p>
        </w:tc>
      </w:tr>
    </w:tbl>
    <w:p w:rsidR="00E11D85" w:rsidRDefault="00CB7651">
      <w:pPr>
        <w:pStyle w:val="1"/>
      </w:pPr>
      <w:r>
        <w:t>6  The Cube Router — a Candidate MIM</w:t>
      </w:r>
    </w:p>
    <w:p w:rsidR="00E11D85" w:rsidRDefault="00CB7651">
      <w:pPr>
        <w:spacing w:after="130"/>
      </w:pPr>
      <w:r>
        <w:t>The E2E management centre carries an assistant layer, because its domain — management, authority, operation, accountability — is an execute-and-record function. To connect that assistant layer with the outside world (intent subjects, agents, other E2E centres), a Cube Router is required.</w:t>
      </w:r>
    </w:p>
    <w:p w:rsidR="00E11D85" w:rsidRDefault="00CB7651">
      <w:pPr>
        <w:pStyle w:val="2"/>
      </w:pPr>
      <w:r>
        <w:t>6.1  Definition and Position</w:t>
      </w:r>
    </w:p>
    <w:p w:rsidR="00E11D85" w:rsidRDefault="00CB7651">
      <w:pPr>
        <w:spacing w:after="130"/>
      </w:pPr>
      <w:r>
        <w:t>The Cube Router (also: DB router) is the interface that extracts, applies, and exchanges stored cubes. It is the connective gateway that links an E2E centre’s assistant layer to external systems. Without it, the assistant layer is an isolated ledger; with it, it becomes an interoperable node. As a uniform, minimal exchange interface across heterogeneous city systems, it is offered as a candidate Minimum Interoperability Mechanism (MIM) for FG-AI4SSC consideration.</w:t>
      </w:r>
    </w:p>
    <w:p w:rsidR="00E11D85" w:rsidRDefault="00CB7651">
      <w:pPr>
        <w:pStyle w:val="2"/>
      </w:pPr>
      <w:r>
        <w:t>6.2  Operation</w:t>
      </w:r>
    </w:p>
    <w:p w:rsidR="00E11D85" w:rsidRDefault="00CB7651">
      <w:pPr>
        <w:spacing w:after="80"/>
        <w:ind w:left="360"/>
      </w:pPr>
      <w:r>
        <w:rPr>
          <w:b/>
          <w:bCs/>
          <w:color w:val="FFFFFF"/>
          <w:sz w:val="18"/>
          <w:szCs w:val="18"/>
          <w:shd w:val="clear" w:color="auto" w:fill="2E75B6"/>
        </w:rPr>
        <w:t xml:space="preserve">  1  </w:t>
      </w:r>
      <w:r>
        <w:t xml:space="preserve">  A registered agent issues a request (e.g. “cubes from time A to time B”), asserting both its mandate (“I represent party X”) and its registration (“I am a registered agent”).</w:t>
      </w:r>
    </w:p>
    <w:p w:rsidR="00E11D85" w:rsidRDefault="00CB7651">
      <w:pPr>
        <w:spacing w:after="80"/>
        <w:ind w:left="360"/>
      </w:pPr>
      <w:r>
        <w:rPr>
          <w:b/>
          <w:bCs/>
          <w:color w:val="FFFFFF"/>
          <w:sz w:val="18"/>
          <w:szCs w:val="18"/>
          <w:shd w:val="clear" w:color="auto" w:fill="2E75B6"/>
        </w:rPr>
        <w:t xml:space="preserve">  2  </w:t>
      </w:r>
      <w:r>
        <w:t xml:space="preserve">  The router verifies registration and authority.</w:t>
      </w:r>
    </w:p>
    <w:p w:rsidR="00E11D85" w:rsidRDefault="00CB7651">
      <w:pPr>
        <w:spacing w:after="80"/>
        <w:ind w:left="360"/>
      </w:pPr>
      <w:r>
        <w:rPr>
          <w:b/>
          <w:bCs/>
          <w:color w:val="FFFFFF"/>
          <w:sz w:val="18"/>
          <w:szCs w:val="18"/>
          <w:shd w:val="clear" w:color="auto" w:fill="2E75B6"/>
        </w:rPr>
        <w:t xml:space="preserve">  3  </w:t>
      </w:r>
      <w:r>
        <w:t xml:space="preserve">  On success, it extracts the whole or part of the cube by access right and by T-axis time range.</w:t>
      </w:r>
    </w:p>
    <w:p w:rsidR="00E11D85" w:rsidRDefault="00CB7651">
      <w:pPr>
        <w:spacing w:after="80"/>
        <w:ind w:left="360"/>
      </w:pPr>
      <w:r>
        <w:rPr>
          <w:b/>
          <w:bCs/>
          <w:color w:val="FFFFFF"/>
          <w:sz w:val="18"/>
          <w:szCs w:val="18"/>
          <w:shd w:val="clear" w:color="auto" w:fill="2E75B6"/>
        </w:rPr>
        <w:t xml:space="preserve">  4  </w:t>
      </w:r>
      <w:r>
        <w:t xml:space="preserve">  The cube is exchanged; every request and response is recorded.</w:t>
      </w:r>
    </w:p>
    <w:p w:rsidR="00E11D85" w:rsidRDefault="00CB7651">
      <w:pPr>
        <w:spacing w:after="80"/>
        <w:ind w:left="360"/>
      </w:pPr>
      <w:r>
        <w:rPr>
          <w:b/>
          <w:bCs/>
          <w:color w:val="FFFFFF"/>
          <w:sz w:val="18"/>
          <w:szCs w:val="18"/>
          <w:shd w:val="clear" w:color="auto" w:fill="2E75B6"/>
        </w:rPr>
        <w:t xml:space="preserve">  ✕  </w:t>
      </w:r>
      <w:r>
        <w:t xml:space="preserve">  An unregistered agent is refused — disclosure to an unregistered agent constitutes misuse of information.</w:t>
      </w:r>
    </w:p>
    <w:p w:rsidR="00E11D85" w:rsidRDefault="00CB7651">
      <w:pPr>
        <w:pStyle w:val="2"/>
      </w:pPr>
      <w:r>
        <w:t>6.3  Relation to FG-EAI Work Item I</w:t>
      </w:r>
    </w:p>
    <w:p w:rsidR="00E11D85" w:rsidRDefault="00CB7651">
      <w:pPr>
        <w:spacing w:after="130"/>
      </w:pPr>
      <w:r>
        <w:t>The Cube Router extends FG-EAI Work Item I (Human Projection-Based Cognitive Interface) [4]. Work Item I defines a one-directional cognitive projection across the boundary; the Cube Router generalises this into a registration- and authority-based bidirectional cube-exchange interface. The boundary between the original Work Item I and this contribution is stated explicitly so that the incremental contribution is clear.</w:t>
      </w:r>
    </w:p>
    <w:p w:rsidR="00E11D85" w:rsidRDefault="00CB7651">
      <w:pPr>
        <w:pStyle w:val="1"/>
      </w:pPr>
      <w:r>
        <w:t>7  Connection and Authorisation</w:t>
      </w:r>
    </w:p>
    <w:p w:rsidR="00E11D85" w:rsidRDefault="00CB7651">
      <w:pPr>
        <w:spacing w:after="130"/>
      </w:pPr>
      <w:r>
        <w:t xml:space="preserve">A natural question is: where does an agent get the right to operate on an assistant layer? The answer is that the right does not originate in the substrate. It originates in the applicable administrative framework — the relevant authority grants the qualification (a licence or registration), much as a professional’s right </w:t>
      </w:r>
      <w:r>
        <w:lastRenderedPageBreak/>
        <w:t>to act derives from a licence, not from any technical system.</w:t>
      </w:r>
    </w:p>
    <w:p w:rsidR="00E11D85" w:rsidRDefault="00CB7651">
      <w:pPr>
        <w:spacing w:after="130"/>
      </w:pPr>
      <w:r>
        <w:t>Therefore an agent must first prove its qualification to the administrative assistant layer and be approved before any connection is made. The substrate only verifies and enforces that qualification, and blocks unauthorised connection; it does not grant or revoke the right itself. Because authority boundaries differ by level (city, regional, national), the substrate verifies and preserves the appropriate boundary at each level rather than defining the policy — which keeps the mechanism within interoperability scope and outside urban-policy scope.</w:t>
      </w:r>
    </w:p>
    <w:p w:rsidR="00E11D85" w:rsidRDefault="00CB7651">
      <w:pPr>
        <w:spacing w:after="120"/>
      </w:pPr>
      <w:r>
        <w:rPr>
          <w:i/>
          <w:iCs/>
          <w:color w:val="2E75B6"/>
        </w:rPr>
        <w:t>In short: authority lives in the access decision, not inside the cube. The right is granted by administration; the substrate only checks and records it.</w:t>
      </w:r>
    </w:p>
    <w:p w:rsidR="00E11D85" w:rsidRDefault="00CB7651">
      <w:pPr>
        <w:pStyle w:val="1"/>
      </w:pPr>
      <w:r>
        <w:t>8  Worked Example — an Administrative Request</w:t>
      </w:r>
    </w:p>
    <w:p w:rsidR="00E11D85" w:rsidRDefault="00CB7651">
      <w:pPr>
        <w:spacing w:after="80"/>
        <w:ind w:left="360"/>
      </w:pPr>
      <w:r>
        <w:rPr>
          <w:b/>
          <w:bCs/>
          <w:color w:val="FFFFFF"/>
          <w:sz w:val="18"/>
          <w:szCs w:val="18"/>
          <w:shd w:val="clear" w:color="auto" w:fill="2E75B6"/>
        </w:rPr>
        <w:t xml:space="preserve">  1  </w:t>
      </w:r>
      <w:r>
        <w:t xml:space="preserve">  An intent subject (a citizen) raises a civil-administrative request — i.e. an intent.</w:t>
      </w:r>
    </w:p>
    <w:p w:rsidR="00E11D85" w:rsidRDefault="00CB7651">
      <w:pPr>
        <w:spacing w:after="80"/>
        <w:ind w:left="360"/>
      </w:pPr>
      <w:r>
        <w:rPr>
          <w:b/>
          <w:bCs/>
          <w:color w:val="FFFFFF"/>
          <w:sz w:val="18"/>
          <w:szCs w:val="18"/>
          <w:shd w:val="clear" w:color="auto" w:fill="2E75B6"/>
        </w:rPr>
        <w:t xml:space="preserve">  2  </w:t>
      </w:r>
      <w:r>
        <w:t xml:space="preserve">  An agent adapts and mediates that intent into administrative form.</w:t>
      </w:r>
    </w:p>
    <w:p w:rsidR="00E11D85" w:rsidRDefault="00CB7651">
      <w:pPr>
        <w:spacing w:after="80"/>
        <w:ind w:left="360"/>
      </w:pPr>
      <w:r>
        <w:rPr>
          <w:b/>
          <w:bCs/>
          <w:color w:val="FFFFFF"/>
          <w:sz w:val="18"/>
          <w:szCs w:val="18"/>
          <w:shd w:val="clear" w:color="auto" w:fill="2E75B6"/>
        </w:rPr>
        <w:t xml:space="preserve">  3  </w:t>
      </w:r>
      <w:r>
        <w:t xml:space="preserve">  The administrative assistant layer receives, processes, records, and assigns it — via the administrative agent — to a public-official subject.</w:t>
      </w:r>
    </w:p>
    <w:p w:rsidR="00E11D85" w:rsidRDefault="00CB7651">
      <w:pPr>
        <w:spacing w:after="130"/>
      </w:pPr>
      <w:r>
        <w:t>Both endpoints are intent subjects (citizen → official); agents mediate and assistants execute-and-record; cubes flow and are recorded throughout. Whether the intent stays administrative or crosses into physical execution determines whether the physical-ingestion axis is involved (clause 4.1).</w:t>
      </w:r>
    </w:p>
    <w:p w:rsidR="00E11D85" w:rsidRDefault="00CB7651">
      <w:pPr>
        <w:pStyle w:val="1"/>
      </w:pPr>
      <w:r>
        <w:t>9  Cross-System Interoperability and Accountability</w:t>
      </w:r>
    </w:p>
    <w:p w:rsidR="00E11D85" w:rsidRDefault="00CB7651">
      <w:pPr>
        <w:spacing w:after="130"/>
      </w:pPr>
      <w:r>
        <w:t>Cross-system barriers stem from the risk of losing control and from unclear responsibility. When every cube movement passes through a registered agent and is recorded as tamper-proof, non-repudiable evidence, that risk is mitigated and systems can interoperate. The model does not remove the boundary — it provides a controlled, evidenced interface across it.</w:t>
      </w:r>
    </w:p>
    <w:p w:rsidR="00E11D85" w:rsidRDefault="00CB7651">
      <w:pPr>
        <w:spacing w:after="130"/>
      </w:pPr>
      <w:r>
        <w:rPr>
          <w:b/>
          <w:bCs/>
        </w:rPr>
        <w:t>Three-fold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Control</w:t>
            </w:r>
          </w:p>
        </w:tc>
        <w:tc>
          <w:tcPr>
            <w:tcW w:w="69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What it guarantees</w:t>
            </w:r>
          </w:p>
        </w:tc>
      </w:tr>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Registration</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Only parties that can bear responsibility are admitted; unregistered access is refused.</w:t>
            </w:r>
          </w:p>
        </w:tc>
      </w:tr>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Authorisation</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Only cubes within the requester’s entitlement are exchanged.</w:t>
            </w:r>
          </w:p>
        </w:tc>
      </w:tr>
      <w:tr w:rsidR="00E11D85">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Record</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Every exchange is recorded, tamper-proof and non-repudiable.</w:t>
            </w:r>
          </w:p>
        </w:tc>
      </w:tr>
    </w:tbl>
    <w:p w:rsidR="00E11D85" w:rsidRDefault="00E11D85">
      <w:pPr>
        <w:spacing w:after="60"/>
      </w:pPr>
    </w:p>
    <w:p w:rsidR="00E11D85" w:rsidRDefault="00CB7651">
      <w:pPr>
        <w:spacing w:after="130"/>
      </w:pPr>
      <w:r>
        <w:t>Accountability follows the same evidence. The executing party — the E2E centre — bears execution accountability. Because instruction and execution are recorded as separate cubes, responsibility can be apportioned to the precise stage at which an error occurred. This is a supervisory and control consideration aligned with the ToR.</w:t>
      </w:r>
    </w:p>
    <w:p w:rsidR="00E11D85" w:rsidRDefault="00CB7651">
      <w:pPr>
        <w:pStyle w:val="1"/>
      </w:pPr>
      <w:r>
        <w:t>10  Self-Similar Scaling — City to Region to Nation</w:t>
      </w:r>
    </w:p>
    <w:p w:rsidR="00E11D85" w:rsidRDefault="00CB7651">
      <w:pPr>
        <w:spacing w:after="130"/>
      </w:pPr>
      <w:r>
        <w:t>The same structure repeats by changing only scale. At each level, execute-and-record is the assistant layer (the integrated centre), coordination is performed through the agent layer, and cubes move between them under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11D85">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Level</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Assistant layer</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Coordination</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rsidR="00E11D85" w:rsidRDefault="00CB7651">
            <w:r>
              <w:rPr>
                <w:b/>
                <w:bCs/>
                <w:sz w:val="18"/>
                <w:szCs w:val="18"/>
              </w:rPr>
              <w:t>Boundary preserved</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 E2E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 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City authority</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Integrated-city</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Integrated E2E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Inter-system authority</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Region</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Regional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Regional sovereignty</w:t>
            </w:r>
          </w:p>
        </w:tc>
      </w:tr>
      <w:tr w:rsidR="00E11D85">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Nation</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National centre</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Agent layer</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E11D85" w:rsidRDefault="00CB7651">
            <w:r>
              <w:rPr>
                <w:sz w:val="18"/>
                <w:szCs w:val="18"/>
              </w:rPr>
              <w:t>National sovereignty</w:t>
            </w:r>
          </w:p>
        </w:tc>
      </w:tr>
    </w:tbl>
    <w:p w:rsidR="00E11D85" w:rsidRDefault="00E11D85">
      <w:pPr>
        <w:spacing w:after="60"/>
      </w:pPr>
    </w:p>
    <w:p w:rsidR="00E11D85" w:rsidRDefault="00CB7651">
      <w:pPr>
        <w:spacing w:after="130"/>
      </w:pPr>
      <w:r>
        <w:lastRenderedPageBreak/>
        <w:t>The structural relationship is identical at every level (self-similar); only the scope of management and authority grows. The qualitative difference between levels is the sovereignty / authority boundary, preserved structurally at each layer — supporting interoperable and scalable deployment across vertical domains, as the ToR requires.</w:t>
      </w:r>
    </w:p>
    <w:p w:rsidR="00E11D85" w:rsidRDefault="00CB7651">
      <w:pPr>
        <w:pStyle w:val="1"/>
      </w:pPr>
      <w:r>
        <w:t>11  Hardware Realisation (informative)</w:t>
      </w:r>
    </w:p>
    <w:p w:rsidR="00E11D85" w:rsidRDefault="00CB7651">
      <w:pPr>
        <w:spacing w:after="130"/>
      </w:pPr>
      <w:r>
        <w:t>The architecture is implementable on the Velsanet Cognition Cube hardware [5]. The references below are illustrative, not normative — the architecture is independent of the specific execution substrate.</w:t>
      </w:r>
    </w:p>
    <w:p w:rsidR="00E11D85" w:rsidRDefault="00CB7651">
      <w:pPr>
        <w:pStyle w:val="a4"/>
        <w:numPr>
          <w:ilvl w:val="0"/>
          <w:numId w:val="2"/>
        </w:numPr>
        <w:spacing w:after="60"/>
      </w:pPr>
      <w:r>
        <w:t>Deployment: physical-ingestion axis at the E2E centre; intent processing at the data centre; MOCT fixed optical ribbon at 800 Gbps per core.</w:t>
      </w:r>
    </w:p>
    <w:p w:rsidR="00E11D85" w:rsidRDefault="00CB7651">
      <w:pPr>
        <w:pStyle w:val="a4"/>
        <w:numPr>
          <w:ilvl w:val="0"/>
          <w:numId w:val="2"/>
        </w:numPr>
        <w:spacing w:after="60"/>
      </w:pPr>
      <w:r>
        <w:t>Memory: a real-time raw buffer (write-once, discardable after cubification) and a five-axis cube fabric (immutable T-axis, long-term store).</w:t>
      </w:r>
    </w:p>
    <w:p w:rsidR="00E11D85" w:rsidRDefault="00CB7651">
      <w:pPr>
        <w:pStyle w:val="a4"/>
        <w:numPr>
          <w:ilvl w:val="0"/>
          <w:numId w:val="2"/>
        </w:numPr>
        <w:spacing w:after="60"/>
      </w:pPr>
      <w:r>
        <w:t>Channels: 16 channels at the E2E centre (perception CH1–8 + control CH9–16, physically isolated); 8-channel multimodal ingestion at the data centre; SEU synchronisation under 1 µs (PTP IEEE 1588v2).</w:t>
      </w:r>
    </w:p>
    <w:p w:rsidR="00E11D85" w:rsidRDefault="00CB7651">
      <w:pPr>
        <w:pStyle w:val="a4"/>
        <w:numPr>
          <w:ilvl w:val="0"/>
          <w:numId w:val="2"/>
        </w:numPr>
        <w:spacing w:after="60"/>
      </w:pPr>
      <w:r>
        <w:t>Cores: Node_8 face = 192 optical cores; per-core independent processing (no shared state or fault).</w:t>
      </w:r>
    </w:p>
    <w:p w:rsidR="00E11D85" w:rsidRDefault="00CB7651">
      <w:pPr>
        <w:pStyle w:val="a4"/>
        <w:numPr>
          <w:ilvl w:val="0"/>
          <w:numId w:val="2"/>
        </w:numPr>
        <w:spacing w:after="60"/>
      </w:pPr>
      <w:r>
        <w:t>Cube Router hardware: the extraction / exchange engine above the cube fabric (clause 6), realised as a DB router plus a parallel engine.</w:t>
      </w:r>
    </w:p>
    <w:p w:rsidR="00E11D85" w:rsidRDefault="00CB7651">
      <w:pPr>
        <w:pStyle w:val="a4"/>
        <w:numPr>
          <w:ilvl w:val="0"/>
          <w:numId w:val="2"/>
        </w:numPr>
        <w:spacing w:after="60"/>
      </w:pPr>
      <w:r>
        <w:t>Compression: at the O8 boundary, multi-channel signals compress to a single intent channel; load lightens toward higher tiers.</w:t>
      </w:r>
    </w:p>
    <w:p w:rsidR="00E11D85" w:rsidRDefault="00CB7651">
      <w:pPr>
        <w:pStyle w:val="a4"/>
        <w:numPr>
          <w:ilvl w:val="0"/>
          <w:numId w:val="2"/>
        </w:numPr>
        <w:spacing w:after="60"/>
      </w:pPr>
      <w:r>
        <w:t>Evidence integrity: write-once memory and the immutable T-axis physically guarantee tamper-proof, non-repudiable records — the basis of accountability.</w:t>
      </w:r>
    </w:p>
    <w:p w:rsidR="00E11D85" w:rsidRDefault="00CB7651">
      <w:pPr>
        <w:pStyle w:val="1"/>
      </w:pPr>
      <w:r>
        <w:t>12  Proposal to FG-AI4SSC</w:t>
      </w:r>
    </w:p>
    <w:p w:rsidR="00E11D85" w:rsidRDefault="00CB7651">
      <w:pPr>
        <w:spacing w:after="130"/>
      </w:pPr>
      <w:r>
        <w:t>The author respectfully offers the following for FG-AI4SSC consideration, as contributions toward its deliverables (potentially leading to future ITU-T work items under SG20):</w:t>
      </w:r>
    </w:p>
    <w:p w:rsidR="00E11D85" w:rsidRDefault="00CB7651">
      <w:pPr>
        <w:pStyle w:val="a4"/>
        <w:numPr>
          <w:ilvl w:val="0"/>
          <w:numId w:val="2"/>
        </w:numPr>
        <w:spacing w:after="60"/>
      </w:pPr>
      <w:r>
        <w:t>A reference model / architectural framework for cube-based, authority-preserving cross-system interoperability in city operational systems.</w:t>
      </w:r>
    </w:p>
    <w:p w:rsidR="00E11D85" w:rsidRDefault="00CB7651">
      <w:pPr>
        <w:pStyle w:val="a4"/>
        <w:numPr>
          <w:ilvl w:val="0"/>
          <w:numId w:val="2"/>
        </w:numPr>
        <w:spacing w:after="60"/>
      </w:pPr>
      <w:r>
        <w:t>The Cube Router as a candidate Minimum Interoperability Mechanism (MIM), studied as an interface extension of FG-EAI Work Item I, coordinated with the relevant Focus Groups (FG-EAI, FG-AINN).</w:t>
      </w:r>
    </w:p>
    <w:p w:rsidR="00E11D85" w:rsidRDefault="00CB7651">
      <w:pPr>
        <w:pStyle w:val="a4"/>
        <w:numPr>
          <w:ilvl w:val="0"/>
          <w:numId w:val="2"/>
        </w:numPr>
        <w:spacing w:after="60"/>
      </w:pPr>
      <w:r>
        <w:t>Multimodal multi-channel ingestion as a sensing-substrate consideration for digital–physical convergence.</w:t>
      </w:r>
    </w:p>
    <w:p w:rsidR="00E11D85" w:rsidRDefault="00CB7651">
      <w:pPr>
        <w:spacing w:after="130"/>
      </w:pPr>
      <w:r>
        <w:t>This contribution is connected to the author’s prior FG-AINN and FG-EAI contributions [1–4]; the city application presented here is an application layer of that same end-to-end architecture, not a standalone proposal.</w:t>
      </w:r>
    </w:p>
    <w:p w:rsidR="00E11D85" w:rsidRDefault="00CB7651">
      <w:pPr>
        <w:pStyle w:val="1"/>
      </w:pPr>
      <w:r>
        <w:t>References</w:t>
      </w:r>
    </w:p>
    <w:p w:rsidR="00E11D85" w:rsidRDefault="00CB7651">
      <w:pPr>
        <w:pStyle w:val="a4"/>
        <w:numPr>
          <w:ilvl w:val="0"/>
          <w:numId w:val="3"/>
        </w:numPr>
        <w:spacing w:after="60"/>
      </w:pPr>
      <w:r>
        <w:rPr>
          <w:sz w:val="18"/>
          <w:szCs w:val="18"/>
        </w:rPr>
        <w:t>FG-AINN-I-236R1 — Velsanet network-layer structural foundation (multi-channel E2E, AI-native topology). 7th FG-AINN meeting.</w:t>
      </w:r>
    </w:p>
    <w:p w:rsidR="00E11D85" w:rsidRDefault="00CB7651">
      <w:pPr>
        <w:pStyle w:val="a4"/>
        <w:numPr>
          <w:ilvl w:val="0"/>
          <w:numId w:val="3"/>
        </w:numPr>
        <w:spacing w:after="60"/>
      </w:pPr>
      <w:r>
        <w:rPr>
          <w:sz w:val="18"/>
          <w:szCs w:val="18"/>
        </w:rPr>
        <w:t>FG-AINN-I-237R2 — Structural governance and topology contribution. 7th FG-AINN meeting.</w:t>
      </w:r>
    </w:p>
    <w:p w:rsidR="00E11D85" w:rsidRDefault="00CB7651">
      <w:pPr>
        <w:pStyle w:val="a4"/>
        <w:numPr>
          <w:ilvl w:val="0"/>
          <w:numId w:val="3"/>
        </w:numPr>
        <w:spacing w:after="60"/>
      </w:pPr>
      <w:r>
        <w:rPr>
          <w:sz w:val="18"/>
          <w:szCs w:val="18"/>
        </w:rPr>
        <w:t>FG-AINN-I-258-R1 — 7th FG-AINN meeting report (records the above contributions).</w:t>
      </w:r>
    </w:p>
    <w:p w:rsidR="00E11D85" w:rsidRDefault="00CB7651">
      <w:pPr>
        <w:pStyle w:val="a4"/>
        <w:numPr>
          <w:ilvl w:val="0"/>
          <w:numId w:val="3"/>
        </w:numPr>
        <w:spacing w:after="60"/>
      </w:pPr>
      <w:r>
        <w:rPr>
          <w:sz w:val="18"/>
          <w:szCs w:val="18"/>
        </w:rPr>
        <w:t>FG-EAI-I-011R1 — Integrated EAI Architecture: Multimodal Cognition, Dual E2E Control, and Human Projection (Work Items F–I).</w:t>
      </w:r>
    </w:p>
    <w:p w:rsidR="00E11D85" w:rsidRDefault="00CB7651">
      <w:pPr>
        <w:pStyle w:val="a4"/>
        <w:numPr>
          <w:ilvl w:val="0"/>
          <w:numId w:val="3"/>
        </w:numPr>
        <w:spacing w:after="60"/>
      </w:pPr>
      <w:r>
        <w:rPr>
          <w:sz w:val="18"/>
          <w:szCs w:val="18"/>
        </w:rPr>
        <w:t>Velsanet Cognition Cube Hardware Design Specification — HBM·HBF memory architecture and multimodal multi-channel design (Velsanet Architecture Group).</w:t>
      </w:r>
    </w:p>
    <w:p w:rsidR="00E11D85" w:rsidRDefault="00CB7651">
      <w:pPr>
        <w:pStyle w:val="a4"/>
        <w:numPr>
          <w:ilvl w:val="0"/>
          <w:numId w:val="3"/>
        </w:numPr>
        <w:spacing w:after="60"/>
      </w:pPr>
      <w:r>
        <w:rPr>
          <w:sz w:val="18"/>
          <w:szCs w:val="18"/>
        </w:rPr>
        <w:t>ITU Plenipotentiary Resolution 214 (Bucharest, 2022).</w:t>
      </w:r>
    </w:p>
    <w:p w:rsidR="00E11D85" w:rsidRDefault="00CB7651">
      <w:pPr>
        <w:pStyle w:val="a4"/>
        <w:numPr>
          <w:ilvl w:val="0"/>
          <w:numId w:val="3"/>
        </w:numPr>
        <w:spacing w:after="60"/>
      </w:pPr>
      <w:r>
        <w:rPr>
          <w:sz w:val="18"/>
          <w:szCs w:val="18"/>
        </w:rPr>
        <w:t>Terms of Reference, ITU-T Focus Group on AI for Smart Sustainable Cities and Communities (FG-AI4SSC); parent group ITU-T SG20; Recommendation ITU-T A.7.</w:t>
      </w:r>
    </w:p>
    <w:sectPr w:rsidR="00E11D85">
      <w:headerReference w:type="even" r:id="rId7"/>
      <w:headerReference w:type="default" r:id="rId8"/>
      <w:footerReference w:type="even" r:id="rId9"/>
      <w:footerReference w:type="default" r:id="rId10"/>
      <w:headerReference w:type="first" r:id="rId11"/>
      <w:footerReference w:type="first" r:id="rId1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2FCD" w:rsidRDefault="00412FCD">
      <w:r>
        <w:separator/>
      </w:r>
    </w:p>
  </w:endnote>
  <w:endnote w:type="continuationSeparator" w:id="0">
    <w:p w:rsidR="00412FCD" w:rsidRDefault="0041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D85" w:rsidRDefault="00CB7651">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D44E6">
      <w:rPr>
        <w:noProof/>
        <w:color w:val="888888"/>
        <w:sz w:val="16"/>
        <w:szCs w:val="16"/>
      </w:rPr>
      <w:t>6</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2FCD" w:rsidRDefault="00412FCD">
      <w:r>
        <w:separator/>
      </w:r>
    </w:p>
  </w:footnote>
  <w:footnote w:type="continuationSeparator" w:id="0">
    <w:p w:rsidR="00412FCD" w:rsidRDefault="00412F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c"/>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D85" w:rsidRDefault="006D44E6">
    <w:pPr>
      <w:pBdr>
        <w:bottom w:val="single" w:sz="4" w:space="1" w:color="2E75B6"/>
      </w:pBdr>
      <w:jc w:val="right"/>
    </w:pPr>
    <w:r>
      <w:rPr>
        <w:color w:val="888888"/>
        <w:sz w:val="14"/>
        <w:szCs w:val="14"/>
      </w:rPr>
      <w:t>FG-AI4SSC-I-XXX</w:t>
    </w: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E6" w:rsidRDefault="006D44E6">
    <w:pPr>
      <w:pStyle w:val="ac"/>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074FCF"/>
    <w:multiLevelType w:val="hybridMultilevel"/>
    <w:tmpl w:val="16A61B44"/>
    <w:lvl w:ilvl="0" w:tplc="69428E34">
      <w:start w:val="1"/>
      <w:numFmt w:val="decimal"/>
      <w:lvlText w:val="[%1]"/>
      <w:lvlJc w:val="left"/>
      <w:pPr>
        <w:ind w:left="640" w:hanging="400"/>
      </w:pPr>
    </w:lvl>
    <w:lvl w:ilvl="1" w:tplc="E7BE19EA">
      <w:numFmt w:val="decimal"/>
      <w:lvlText w:val=""/>
      <w:lvlJc w:val="left"/>
    </w:lvl>
    <w:lvl w:ilvl="2" w:tplc="6D6AE10C">
      <w:numFmt w:val="decimal"/>
      <w:lvlText w:val=""/>
      <w:lvlJc w:val="left"/>
    </w:lvl>
    <w:lvl w:ilvl="3" w:tplc="2FEE172E">
      <w:numFmt w:val="decimal"/>
      <w:lvlText w:val=""/>
      <w:lvlJc w:val="left"/>
    </w:lvl>
    <w:lvl w:ilvl="4" w:tplc="800A74A6">
      <w:numFmt w:val="decimal"/>
      <w:lvlText w:val=""/>
      <w:lvlJc w:val="left"/>
    </w:lvl>
    <w:lvl w:ilvl="5" w:tplc="7388A296">
      <w:numFmt w:val="decimal"/>
      <w:lvlText w:val=""/>
      <w:lvlJc w:val="left"/>
    </w:lvl>
    <w:lvl w:ilvl="6" w:tplc="E8D8231A">
      <w:numFmt w:val="decimal"/>
      <w:lvlText w:val=""/>
      <w:lvlJc w:val="left"/>
    </w:lvl>
    <w:lvl w:ilvl="7" w:tplc="1EC61D64">
      <w:numFmt w:val="decimal"/>
      <w:lvlText w:val=""/>
      <w:lvlJc w:val="left"/>
    </w:lvl>
    <w:lvl w:ilvl="8" w:tplc="C76AE958">
      <w:numFmt w:val="decimal"/>
      <w:lvlText w:val=""/>
      <w:lvlJc w:val="left"/>
    </w:lvl>
  </w:abstractNum>
  <w:abstractNum w:abstractNumId="1" w15:restartNumberingAfterBreak="0">
    <w:nsid w:val="45FC0A9A"/>
    <w:multiLevelType w:val="multilevel"/>
    <w:tmpl w:val="E278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8749E"/>
    <w:multiLevelType w:val="hybridMultilevel"/>
    <w:tmpl w:val="4BBA757E"/>
    <w:lvl w:ilvl="0" w:tplc="D7D838E2">
      <w:start w:val="1"/>
      <w:numFmt w:val="bullet"/>
      <w:lvlText w:val="●"/>
      <w:lvlJc w:val="left"/>
      <w:pPr>
        <w:ind w:left="720" w:hanging="360"/>
      </w:pPr>
    </w:lvl>
    <w:lvl w:ilvl="1" w:tplc="C2A23642">
      <w:start w:val="1"/>
      <w:numFmt w:val="bullet"/>
      <w:lvlText w:val="○"/>
      <w:lvlJc w:val="left"/>
      <w:pPr>
        <w:ind w:left="1440" w:hanging="360"/>
      </w:pPr>
    </w:lvl>
    <w:lvl w:ilvl="2" w:tplc="CB749586">
      <w:start w:val="1"/>
      <w:numFmt w:val="bullet"/>
      <w:lvlText w:val="■"/>
      <w:lvlJc w:val="left"/>
      <w:pPr>
        <w:ind w:left="2160" w:hanging="360"/>
      </w:pPr>
    </w:lvl>
    <w:lvl w:ilvl="3" w:tplc="CB2A89CE">
      <w:start w:val="1"/>
      <w:numFmt w:val="bullet"/>
      <w:lvlText w:val="●"/>
      <w:lvlJc w:val="left"/>
      <w:pPr>
        <w:ind w:left="2880" w:hanging="360"/>
      </w:pPr>
    </w:lvl>
    <w:lvl w:ilvl="4" w:tplc="4F9A3744">
      <w:start w:val="1"/>
      <w:numFmt w:val="bullet"/>
      <w:lvlText w:val="○"/>
      <w:lvlJc w:val="left"/>
      <w:pPr>
        <w:ind w:left="3600" w:hanging="360"/>
      </w:pPr>
    </w:lvl>
    <w:lvl w:ilvl="5" w:tplc="B53EA108">
      <w:start w:val="1"/>
      <w:numFmt w:val="bullet"/>
      <w:lvlText w:val="■"/>
      <w:lvlJc w:val="left"/>
      <w:pPr>
        <w:ind w:left="4320" w:hanging="360"/>
      </w:pPr>
    </w:lvl>
    <w:lvl w:ilvl="6" w:tplc="5FBAB6F6">
      <w:start w:val="1"/>
      <w:numFmt w:val="bullet"/>
      <w:lvlText w:val="●"/>
      <w:lvlJc w:val="left"/>
      <w:pPr>
        <w:ind w:left="5040" w:hanging="360"/>
      </w:pPr>
    </w:lvl>
    <w:lvl w:ilvl="7" w:tplc="9EBC42D6">
      <w:start w:val="1"/>
      <w:numFmt w:val="bullet"/>
      <w:lvlText w:val="●"/>
      <w:lvlJc w:val="left"/>
      <w:pPr>
        <w:ind w:left="5760" w:hanging="360"/>
      </w:pPr>
    </w:lvl>
    <w:lvl w:ilvl="8" w:tplc="5BC645DE">
      <w:start w:val="1"/>
      <w:numFmt w:val="bullet"/>
      <w:lvlText w:val="●"/>
      <w:lvlJc w:val="left"/>
      <w:pPr>
        <w:ind w:left="6480" w:hanging="360"/>
      </w:pPr>
    </w:lvl>
  </w:abstractNum>
  <w:abstractNum w:abstractNumId="3" w15:restartNumberingAfterBreak="0">
    <w:nsid w:val="710F2929"/>
    <w:multiLevelType w:val="hybridMultilevel"/>
    <w:tmpl w:val="72965946"/>
    <w:lvl w:ilvl="0" w:tplc="54BAB58A">
      <w:start w:val="1"/>
      <w:numFmt w:val="bullet"/>
      <w:lvlText w:val="•"/>
      <w:lvlJc w:val="left"/>
      <w:pPr>
        <w:ind w:left="560" w:hanging="280"/>
      </w:pPr>
    </w:lvl>
    <w:lvl w:ilvl="1" w:tplc="2040C15E">
      <w:numFmt w:val="decimal"/>
      <w:lvlText w:val=""/>
      <w:lvlJc w:val="left"/>
    </w:lvl>
    <w:lvl w:ilvl="2" w:tplc="C55A821C">
      <w:numFmt w:val="decimal"/>
      <w:lvlText w:val=""/>
      <w:lvlJc w:val="left"/>
    </w:lvl>
    <w:lvl w:ilvl="3" w:tplc="FE80140C">
      <w:numFmt w:val="decimal"/>
      <w:lvlText w:val=""/>
      <w:lvlJc w:val="left"/>
    </w:lvl>
    <w:lvl w:ilvl="4" w:tplc="628AE5A4">
      <w:numFmt w:val="decimal"/>
      <w:lvlText w:val=""/>
      <w:lvlJc w:val="left"/>
    </w:lvl>
    <w:lvl w:ilvl="5" w:tplc="4BF45CDA">
      <w:numFmt w:val="decimal"/>
      <w:lvlText w:val=""/>
      <w:lvlJc w:val="left"/>
    </w:lvl>
    <w:lvl w:ilvl="6" w:tplc="905CC316">
      <w:numFmt w:val="decimal"/>
      <w:lvlText w:val=""/>
      <w:lvlJc w:val="left"/>
    </w:lvl>
    <w:lvl w:ilvl="7" w:tplc="A18AB294">
      <w:numFmt w:val="decimal"/>
      <w:lvlText w:val=""/>
      <w:lvlJc w:val="left"/>
    </w:lvl>
    <w:lvl w:ilvl="8" w:tplc="6E041CC2">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D85"/>
    <w:rsid w:val="003555C7"/>
    <w:rsid w:val="00412FCD"/>
    <w:rsid w:val="006D44E6"/>
    <w:rsid w:val="0098395D"/>
    <w:rsid w:val="00B62E98"/>
    <w:rsid w:val="00CB7651"/>
    <w:rsid w:val="00E11D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00B0"/>
  <w15:docId w15:val="{51F4BDE4-B441-4382-B131-0DA96BAEE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spacing w:before="280" w:after="140"/>
      <w:outlineLvl w:val="0"/>
    </w:pPr>
    <w:rPr>
      <w:rFonts w:eastAsia="Arial"/>
      <w:b/>
      <w:bCs/>
      <w:color w:val="1F3864"/>
      <w:sz w:val="28"/>
      <w:szCs w:val="28"/>
    </w:rPr>
  </w:style>
  <w:style w:type="paragraph" w:styleId="2">
    <w:name w:val="heading 2"/>
    <w:qFormat/>
    <w:pPr>
      <w:spacing w:before="180" w:after="90"/>
      <w:outlineLvl w:val="1"/>
    </w:pPr>
    <w:rPr>
      <w:rFonts w:eastAsia="Arial"/>
      <w:b/>
      <w:bCs/>
      <w:color w:val="2E75B6"/>
      <w:sz w:val="22"/>
      <w:szCs w:val="22"/>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customStyle="1" w:styleId="ds-markdown-paragraph">
    <w:name w:val="ds-markdown-paragraph"/>
    <w:basedOn w:val="a"/>
    <w:rsid w:val="003555C7"/>
    <w:pPr>
      <w:widowControl/>
      <w:wordWrap/>
      <w:autoSpaceDE/>
      <w:autoSpaceDN/>
      <w:spacing w:before="100" w:beforeAutospacing="1" w:after="100" w:afterAutospacing="1"/>
    </w:pPr>
    <w:rPr>
      <w:rFonts w:ascii="굴림" w:eastAsia="굴림" w:hAnsi="굴림" w:cs="굴림"/>
      <w:sz w:val="24"/>
      <w:szCs w:val="24"/>
    </w:rPr>
  </w:style>
  <w:style w:type="character" w:styleId="aa">
    <w:name w:val="Emphasis"/>
    <w:basedOn w:val="a0"/>
    <w:uiPriority w:val="20"/>
    <w:qFormat/>
    <w:rsid w:val="003555C7"/>
    <w:rPr>
      <w:i/>
      <w:iCs/>
    </w:rPr>
  </w:style>
  <w:style w:type="character" w:styleId="ab">
    <w:name w:val="Strong"/>
    <w:basedOn w:val="a0"/>
    <w:uiPriority w:val="22"/>
    <w:qFormat/>
    <w:rsid w:val="003555C7"/>
    <w:rPr>
      <w:b/>
      <w:bCs/>
    </w:rPr>
  </w:style>
  <w:style w:type="paragraph" w:styleId="ac">
    <w:name w:val="header"/>
    <w:basedOn w:val="a"/>
    <w:link w:val="Char1"/>
    <w:uiPriority w:val="99"/>
    <w:unhideWhenUsed/>
    <w:rsid w:val="006D44E6"/>
    <w:pPr>
      <w:tabs>
        <w:tab w:val="center" w:pos="4513"/>
        <w:tab w:val="right" w:pos="9026"/>
      </w:tabs>
      <w:snapToGrid w:val="0"/>
    </w:pPr>
  </w:style>
  <w:style w:type="character" w:customStyle="1" w:styleId="Char1">
    <w:name w:val="머리글 Char"/>
    <w:basedOn w:val="a0"/>
    <w:link w:val="ac"/>
    <w:uiPriority w:val="99"/>
    <w:rsid w:val="006D44E6"/>
  </w:style>
  <w:style w:type="paragraph" w:styleId="ad">
    <w:name w:val="footer"/>
    <w:basedOn w:val="a"/>
    <w:link w:val="Char2"/>
    <w:uiPriority w:val="99"/>
    <w:unhideWhenUsed/>
    <w:rsid w:val="006D44E6"/>
    <w:pPr>
      <w:tabs>
        <w:tab w:val="center" w:pos="4513"/>
        <w:tab w:val="right" w:pos="9026"/>
      </w:tabs>
      <w:snapToGrid w:val="0"/>
    </w:pPr>
  </w:style>
  <w:style w:type="character" w:customStyle="1" w:styleId="Char2">
    <w:name w:val="바닥글 Char"/>
    <w:basedOn w:val="a0"/>
    <w:link w:val="ad"/>
    <w:uiPriority w:val="99"/>
    <w:rsid w:val="006D4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780940">
      <w:bodyDiv w:val="1"/>
      <w:marLeft w:val="0"/>
      <w:marRight w:val="0"/>
      <w:marTop w:val="0"/>
      <w:marBottom w:val="0"/>
      <w:divBdr>
        <w:top w:val="none" w:sz="0" w:space="0" w:color="auto"/>
        <w:left w:val="none" w:sz="0" w:space="0" w:color="auto"/>
        <w:bottom w:val="none" w:sz="0" w:space="0" w:color="auto"/>
        <w:right w:val="none" w:sz="0" w:space="0" w:color="auto"/>
      </w:divBdr>
    </w:div>
    <w:div w:id="1449399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2707</Words>
  <Characters>15435</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cp:lastModifiedBy>
  <cp:revision>4</cp:revision>
  <dcterms:created xsi:type="dcterms:W3CDTF">2026-05-31T01:59:00Z</dcterms:created>
  <dcterms:modified xsi:type="dcterms:W3CDTF">2026-05-31T02:24:00Z</dcterms:modified>
</cp:coreProperties>
</file>