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i w:val="false"/>
          <w:iCs w:val="false"/>
          <w:sz w:val="22"/>
          <w:szCs w:val="22"/>
        </w:rPr>
        <w:t xml:space="preserve">VELSANET ARCHITECTURE GROUP  |  TECHNICAL DESIGN DOCUMENT</w:t>
      </w:r>
    </w:p>
    <w:p>
      <w:pPr>
        <w:spacing w:after="160"/>
      </w:pPr>
      <w:r>
        <w:rPr>
          <w:b/>
          <w:bCs/>
          <w:i w:val="false"/>
          <w:iCs w:val="false"/>
          <w:sz w:val="28"/>
          <w:szCs w:val="28"/>
        </w:rPr>
        <w:t xml:space="preserve">WP#29 — Network Equipment System Architecture Design (SAD)</w:t>
      </w:r>
    </w:p>
    <w:p>
      <w:pPr>
        <w:spacing w:after="160"/>
      </w:pPr>
      <w:r>
        <w:rPr>
          <w:b w:val="false"/>
          <w:bCs w:val="false"/>
          <w:i/>
          <w:iCs/>
          <w:sz w:val="22"/>
          <w:szCs w:val="22"/>
        </w:rPr>
        <w:t xml:space="preserve">O8 Connectivity &amp; Placement Spec · Multi-Layer Multi-Plane Matrix Applied to Node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shd w:fill="D9D9D9" w:val="clear"/>
          </w:tcPr>
          <w:p>
            <w:r>
              <w:rPr>
                <w:b/>
                <w:bCs/>
                <w:sz w:val="20"/>
                <w:szCs w:val="20"/>
              </w:rPr>
              <w:t xml:space="preserve">Classification</w:t>
            </w:r>
          </w:p>
        </w:tc>
        <w:tc>
          <w:tcPr>
            <w:tcW w:type="dxa" w:w="1600"/>
            <w:shd w:fill="D9D9D9" w:val="clear"/>
          </w:tcPr>
          <w:p>
            <w:r>
              <w:rPr>
                <w:b/>
                <w:bCs/>
                <w:sz w:val="20"/>
                <w:szCs w:val="20"/>
              </w:rPr>
              <w:t xml:space="preserve">Version</w:t>
            </w:r>
          </w:p>
        </w:tc>
        <w:tc>
          <w:tcPr>
            <w:tcW w:type="dxa" w:w="3400"/>
            <w:shd w:fill="D9D9D9" w:val="clear"/>
          </w:tcPr>
          <w:p>
            <w:r>
              <w:rPr>
                <w:b/>
                <w:bCs/>
                <w:sz w:val="20"/>
                <w:szCs w:val="20"/>
              </w:rPr>
              <w:t xml:space="preserve">Scope</w:t>
            </w:r>
          </w:p>
        </w:tc>
        <w:tc>
          <w:tcPr>
            <w:tcW w:type="dxa" w:w="2160"/>
            <w:shd w:fill="D9D9D9" w:val="clear"/>
          </w:tcPr>
          <w:p>
            <w:r>
              <w:rPr>
                <w:b/>
                <w:bCs/>
                <w:sz w:val="20"/>
                <w:szCs w:val="20"/>
              </w:rPr>
              <w:t xml:space="preserve">Basis</w:t>
            </w:r>
          </w:p>
        </w:tc>
      </w:tr>
      <w:tr>
        <w:tc>
          <w:tcPr>
            <w:tcW w:type="dxa" w:w="2200"/>
          </w:tcPr>
          <w:p>
            <w:r>
              <w:rPr>
                <w:b w:val="false"/>
                <w:bCs w:val="false"/>
                <w:sz w:val="20"/>
                <w:szCs w:val="20"/>
              </w:rPr>
              <w:t xml:space="preserve">Public — Open Specification</w:t>
            </w:r>
          </w:p>
        </w:tc>
        <w:tc>
          <w:tcPr>
            <w:tcW w:type="dxa" w:w="1600"/>
          </w:tcPr>
          <w:p>
            <w:r>
              <w:rPr>
                <w:b w:val="false"/>
                <w:bCs w:val="false"/>
                <w:sz w:val="20"/>
                <w:szCs w:val="20"/>
              </w:rPr>
              <w:t xml:space="preserve">v1.10 │ 2026</w:t>
            </w:r>
          </w:p>
        </w:tc>
        <w:tc>
          <w:tcPr>
            <w:tcW w:type="dxa" w:w="3400"/>
          </w:tcPr>
          <w:p>
            <w:r>
              <w:rPr>
                <w:b w:val="false"/>
                <w:bCs w:val="false"/>
                <w:sz w:val="20"/>
                <w:szCs w:val="20"/>
              </w:rPr>
              <w:t xml:space="preserve">O8/D12/I20 node block architecture, geographic placement, Core Stack negotiation protocol, O8 operational architecture (Pass/self-healing/Master-Standby), NPU-Matrix integration and physical-constraint feedback loop, hierarchical core scaling (O8/D12/I20 face/layer/bundle differentiation)</w:t>
            </w:r>
          </w:p>
        </w:tc>
        <w:tc>
          <w:tcPr>
            <w:tcW w:type="dxa" w:w="2160"/>
          </w:tcPr>
          <w:p>
            <w:r>
              <w:rPr>
                <w:b w:val="false"/>
                <w:bCs w:val="false"/>
                <w:sz w:val="20"/>
                <w:szCs w:val="20"/>
              </w:rPr>
              <w:t xml:space="preserve">Absorbs WP#25 R1-4/R1-5; Velsanet_Pending_Updates_Log Table 1; Compendium §8; WP#20 §5.3/§6.2; WP#24 §8.2/§8.3; R5 slot-level operational spec per 창호; R6 NPU-Matrix execution model per 창호; R7 document-sequence scope clarification per 창호; R8 hierarchical core scaling per 창호 — supersedes R5-era hardware-uniformity principle</w:t>
            </w:r>
          </w:p>
        </w:tc>
      </w:tr>
    </w:tbl>
    <w:p>
      <w:pPr>
        <w:spacing w:after="160"/>
      </w:pPr>
      <w:r>
        <w:rPr>
          <w:b w:val="false"/>
          <w:bCs w:val="false"/>
          <w:i w:val="false"/>
          <w:iCs w:val="false"/>
          <w:sz w:val="22"/>
          <w:szCs w:val="22"/>
        </w:rPr>
        <w:t xml:space="preserve"/>
      </w:r>
    </w:p>
    <w:p>
      <w:pPr>
        <w:spacing w:after="160"/>
      </w:pPr>
      <w:r>
        <w:rPr>
          <w:b w:val="false"/>
          <w:bCs w:val="false"/>
          <w:i w:val="false"/>
          <w:iCs w:val="false"/>
          <w:sz w:val="22"/>
          <w:szCs w:val="22"/>
        </w:rPr>
        <w:t xml:space="preserve">Republic of Korea | Velsanet Architecture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D9D9D9" w:val="clear"/>
          </w:tcPr>
          <w:p>
            <w:r>
              <w:rPr>
                <w:b/>
                <w:bCs/>
                <w:sz w:val="20"/>
                <w:szCs w:val="20"/>
              </w:rPr>
              <w:t xml:space="preserve">Governance note</w:t>
            </w:r>
          </w:p>
        </w:tc>
      </w:tr>
      <w:tr>
        <w:tc>
          <w:tcPr>
            <w:tcW w:type="dxa" w:w="9360"/>
          </w:tcPr>
          <w:p>
            <w:r>
              <w:rPr>
                <w:b w:val="false"/>
                <w:bCs w:val="false"/>
                <w:sz w:val="20"/>
                <w:szCs w:val="20"/>
              </w:rPr>
              <w:t xml:space="preserve">This specification is published in full under the Velsanet open-specification policy. Certification against the node block architecture and negotiation protocol in this document — not confidentiality — is the mechanism by which conformance and interoperability are controlled.</w:t>
            </w:r>
          </w:p>
        </w:tc>
      </w:tr>
    </w:tbl>
    <w:p>
      <w:pPr>
        <w:pStyle w:val="Heading1"/>
        <w:spacing w:after="160" w:before="280"/>
      </w:pPr>
      <w:r>
        <w:rPr>
          <w:b/>
          <w:bCs/>
        </w:rPr>
        <w:t xml:space="preserve">Revision Log — R2 vs v1.0 (retained)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6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000"/>
            <w:shd w:fill="D9D9D9" w:val="clear"/>
          </w:tcPr>
          <w:p>
            <w:r>
              <w:rPr>
                <w:b/>
                <w:bCs/>
                <w:sz w:val="20"/>
                <w:szCs w:val="20"/>
              </w:rPr>
              <w:t xml:space="preserve">Rationale</w:t>
            </w:r>
          </w:p>
        </w:tc>
      </w:tr>
      <w:tr>
        <w:tc>
          <w:tcPr>
            <w:tcW w:type="dxa" w:w="1600"/>
          </w:tcPr>
          <w:p>
            <w:r>
              <w:rPr>
                <w:b w:val="false"/>
                <w:bCs w:val="false"/>
                <w:sz w:val="20"/>
                <w:szCs w:val="20"/>
              </w:rPr>
              <w:t xml:space="preserve">R2-1 (superseded by R5-4)</w:t>
            </w:r>
          </w:p>
        </w:tc>
        <w:tc>
          <w:tcPr>
            <w:tcW w:type="dxa" w:w="5760"/>
          </w:tcPr>
          <w:p>
            <w:r>
              <w:rPr>
                <w:b w:val="false"/>
                <w:bCs w:val="false"/>
                <w:sz w:val="20"/>
                <w:szCs w:val="20"/>
              </w:rPr>
              <w:t xml:space="preserve">Fixed O8 MOCT ribbon physical structure: 12 cores/layer × 4 layers = 48 cores per bundle; 4 bundles = 192 cores total input. Reorganized as 8 physical connector slots × 24 cores/slot for the front interface panel.</w:t>
            </w:r>
          </w:p>
        </w:tc>
        <w:tc>
          <w:tcPr>
            <w:tcW w:type="dxa" w:w="2000"/>
          </w:tcPr>
          <w:p>
            <w:r>
              <w:rPr>
                <w:b w:val="false"/>
                <w:bCs w:val="false"/>
                <w:sz w:val="20"/>
                <w:szCs w:val="20"/>
              </w:rPr>
              <w:t xml:space="preserve">Per 창호 (original). SUPERSEDED — see R5-4: slot figure corrected to 192 cores/slot, total 1,536 cores.</w:t>
            </w:r>
          </w:p>
        </w:tc>
      </w:tr>
      <w:tr>
        <w:tc>
          <w:tcPr>
            <w:tcW w:type="dxa" w:w="1600"/>
          </w:tcPr>
          <w:p>
            <w:r>
              <w:rPr>
                <w:b w:val="false"/>
                <w:bCs w:val="false"/>
                <w:sz w:val="20"/>
                <w:szCs w:val="20"/>
              </w:rPr>
              <w:t xml:space="preserve">R2-2</w:t>
            </w:r>
          </w:p>
        </w:tc>
        <w:tc>
          <w:tcPr>
            <w:tcW w:type="dxa" w:w="5760"/>
          </w:tcPr>
          <w:p>
            <w:r>
              <w:rPr>
                <w:b w:val="false"/>
                <w:bCs w:val="false"/>
                <w:sz w:val="20"/>
                <w:szCs w:val="20"/>
              </w:rPr>
              <w:t xml:space="preserve">Fixed O8 chassis height at approximately 2U given the 8-slot layout.</w:t>
            </w:r>
          </w:p>
        </w:tc>
        <w:tc>
          <w:tcPr>
            <w:tcW w:type="dxa" w:w="2000"/>
          </w:tcPr>
          <w:p>
            <w:r>
              <w:rPr>
                <w:b w:val="false"/>
                <w:bCs w:val="false"/>
                <w:sz w:val="20"/>
                <w:szCs w:val="20"/>
              </w:rPr>
              <w:t xml:space="preserve">Per 창호 — resolves OI-29-07 for O8; D12/I20 chassis sizing remains open.</w:t>
            </w:r>
          </w:p>
        </w:tc>
      </w:tr>
      <w:tr>
        <w:tc>
          <w:tcPr>
            <w:tcW w:type="dxa" w:w="1600"/>
          </w:tcPr>
          <w:p>
            <w:r>
              <w:rPr>
                <w:b w:val="false"/>
                <w:bCs w:val="false"/>
                <w:sz w:val="20"/>
                <w:szCs w:val="20"/>
              </w:rPr>
              <w:t xml:space="preserve">R2-3</w:t>
            </w:r>
          </w:p>
        </w:tc>
        <w:tc>
          <w:tcPr>
            <w:tcW w:type="dxa" w:w="5760"/>
          </w:tcPr>
          <w:p>
            <w:r>
              <w:rPr>
                <w:b w:val="false"/>
                <w:bCs w:val="false"/>
                <w:sz w:val="20"/>
                <w:szCs w:val="20"/>
              </w:rPr>
              <w:t xml:space="preserve">Added Section 10.6, Rack Mounting Position: rack-rail mounting point sits further back than a standard-depth unit for front-facing-connector clearance.</w:t>
            </w:r>
          </w:p>
        </w:tc>
        <w:tc>
          <w:tcPr>
            <w:tcW w:type="dxa" w:w="2000"/>
          </w:tcPr>
          <w:p>
            <w:r>
              <w:rPr>
                <w:b w:val="false"/>
                <w:bCs w:val="false"/>
                <w:sz w:val="20"/>
                <w:szCs w:val="20"/>
              </w:rPr>
              <w:t xml:space="preserve">Per 창호 — physical constraint; exact offset not yet fixed (OI-29-09).</w:t>
            </w:r>
          </w:p>
        </w:tc>
      </w:tr>
      <w:tr>
        <w:tc>
          <w:tcPr>
            <w:tcW w:type="dxa" w:w="1600"/>
          </w:tcPr>
          <w:p>
            <w:r>
              <w:rPr>
                <w:b w:val="false"/>
                <w:bCs w:val="false"/>
                <w:sz w:val="20"/>
                <w:szCs w:val="20"/>
              </w:rPr>
              <w:t xml:space="preserve">R3-1</w:t>
            </w:r>
          </w:p>
        </w:tc>
        <w:tc>
          <w:tcPr>
            <w:tcW w:type="dxa" w:w="5760"/>
          </w:tcPr>
          <w:p>
            <w:r>
              <w:rPr>
                <w:b w:val="false"/>
                <w:bCs w:val="false"/>
                <w:sz w:val="20"/>
                <w:szCs w:val="20"/>
              </w:rPr>
              <w:t xml:space="preserve">Added Section 4.1, building O8 sizing bottom-up from PAI/EAI per-instance equipment configurations (WP#26-28) instead of top-down from H6-level figures. Flagged EAI's 48-core Dual E2E total as numerically coincidental with, but distinct from, WP#23's H6 mesh-link 48 and the averaging-rule 120/144.</w:t>
            </w:r>
          </w:p>
        </w:tc>
        <w:tc>
          <w:tcPr>
            <w:tcW w:type="dxa" w:w="2000"/>
          </w:tcPr>
          <w:p>
            <w:r>
              <w:rPr>
                <w:b w:val="false"/>
                <w:bCs w:val="false"/>
                <w:sz w:val="20"/>
                <w:szCs w:val="20"/>
              </w:rPr>
              <w:t xml:space="preserve">Per 창호's redirection during that session. Reframes OI-29-10 as a two-part question.</w:t>
            </w:r>
          </w:p>
        </w:tc>
      </w:tr>
      <w:tr>
        <w:tc>
          <w:tcPr>
            <w:tcW w:type="dxa" w:w="1600"/>
          </w:tcPr>
          <w:p>
            <w:r>
              <w:rPr>
                <w:b w:val="false"/>
                <w:bCs w:val="false"/>
                <w:sz w:val="20"/>
                <w:szCs w:val="20"/>
              </w:rPr>
              <w:t xml:space="preserve">R4-1</w:t>
            </w:r>
          </w:p>
        </w:tc>
        <w:tc>
          <w:tcPr>
            <w:tcW w:type="dxa" w:w="5760"/>
          </w:tcPr>
          <w:p>
            <w:r>
              <w:rPr>
                <w:b w:val="false"/>
                <w:bCs w:val="false"/>
                <w:sz w:val="20"/>
                <w:szCs w:val="20"/>
              </w:rPr>
              <w:t xml:space="preserve">Superseded Pending Updates Log §1.4's Rx/Tx face-separation framing. New Section 6.1 splits the Connectivity Plane's 24 cores by function: Face 1 (12) = hypercube peer connectivity; Face 2 (12) = PAI/EAI request cooperation. Each core is a single bidirectional path.</w:t>
            </w:r>
          </w:p>
        </w:tc>
        <w:tc>
          <w:tcPr>
            <w:tcW w:type="dxa" w:w="2000"/>
          </w:tcPr>
          <w:p>
            <w:r>
              <w:rPr>
                <w:b w:val="false"/>
                <w:bCs w:val="false"/>
                <w:sz w:val="20"/>
                <w:szCs w:val="20"/>
              </w:rPr>
              <w:t xml:space="preserve">Per 창호: verified "1 core = 1 E2E (bidirectional)" as the dominant Velsanet pattern; Face1/Face2 maps onto WP#20 §6's two node-intelligence functions.</w:t>
            </w:r>
          </w:p>
        </w:tc>
      </w:tr>
    </w:tbl>
    <w:p>
      <w:pPr>
        <w:spacing w:after="200"/>
      </w:pPr>
      <w:r>
        <w:rPr>
          <w:i/>
          <w:iCs/>
          <w:sz w:val="20"/>
          <w:szCs w:val="20"/>
        </w:rPr>
        <w:t xml:space="preserve">Table R-1. Revision Log — R2/R3/R4 (unchanged from v1.3)</w:t>
      </w:r>
    </w:p>
    <w:p>
      <w:pPr>
        <w:pStyle w:val="Heading1"/>
        <w:spacing w:after="160" w:before="280"/>
      </w:pPr>
      <w:r>
        <w:rPr>
          <w:b/>
          <w:bCs/>
        </w:rPr>
        <w:t xml:space="preserve">Revision Log — R5 (this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600"/>
            <w:shd w:fill="D9D9D9" w:val="clear"/>
          </w:tcPr>
          <w:p>
            <w:r>
              <w:rPr>
                <w:b/>
                <w:bCs/>
                <w:sz w:val="20"/>
                <w:szCs w:val="20"/>
              </w:rPr>
              <w:t xml:space="preserve">Rationale</w:t>
            </w:r>
          </w:p>
        </w:tc>
      </w:tr>
      <w:tr>
        <w:tc>
          <w:tcPr>
            <w:tcW w:type="dxa" w:w="1000"/>
          </w:tcPr>
          <w:p>
            <w:r>
              <w:rPr>
                <w:b w:val="false"/>
                <w:bCs w:val="false"/>
                <w:sz w:val="20"/>
                <w:szCs w:val="20"/>
              </w:rPr>
              <w:t xml:space="preserve">R5-1</w:t>
            </w:r>
          </w:p>
        </w:tc>
        <w:tc>
          <w:tcPr>
            <w:tcW w:type="dxa" w:w="5760"/>
          </w:tcPr>
          <w:p>
            <w:r>
              <w:rPr>
                <w:b w:val="false"/>
                <w:bCs w:val="false"/>
                <w:sz w:val="20"/>
                <w:szCs w:val="20"/>
              </w:rPr>
              <w:t xml:space="preserve">Added Sections 4.3–4.5: Hierarchical Schlegel Diagram Projection (O8→D12→I20) and National Network AI (Velsa) / Global Network State Awareness, as part of the static block architecture.</w:t>
            </w:r>
          </w:p>
        </w:tc>
        <w:tc>
          <w:tcPr>
            <w:tcW w:type="dxa" w:w="2600"/>
          </w:tcPr>
          <w:p>
            <w:r>
              <w:rPr>
                <w:b w:val="false"/>
                <w:bCs w:val="false"/>
                <w:sz w:val="20"/>
                <w:szCs w:val="20"/>
              </w:rPr>
              <w:t xml:space="preserve">Per 창호. Topology-monitoring and orchestration structure belongs alongside Section 4's block architecture; content also referenced from §10.7.6/10.7.7 rather than duplicated.</w:t>
            </w:r>
          </w:p>
        </w:tc>
      </w:tr>
      <w:tr>
        <w:tc>
          <w:tcPr>
            <w:tcW w:type="dxa" w:w="1000"/>
          </w:tcPr>
          <w:p>
            <w:r>
              <w:rPr>
                <w:b w:val="false"/>
                <w:bCs w:val="false"/>
                <w:sz w:val="20"/>
                <w:szCs w:val="20"/>
              </w:rPr>
              <w:t xml:space="preserve">R5-2</w:t>
            </w:r>
          </w:p>
        </w:tc>
        <w:tc>
          <w:tcPr>
            <w:tcW w:type="dxa" w:w="5760"/>
          </w:tcPr>
          <w:p>
            <w:r>
              <w:rPr>
                <w:b w:val="false"/>
                <w:bCs w:val="false"/>
                <w:sz w:val="20"/>
                <w:szCs w:val="20"/>
              </w:rPr>
              <w:t xml:space="preserve">Added Section 10.7, O8 Node Operational Architecture: Pass function (O/E-EO active forwarding), external-loopback self-healing, slot-level allocation, dynamic Mode A/Mode B slot reallocation based on PAI/EAI presence, hierarchical restriction of PAI/EAI attachment to O8 only, applicability to D12/I20, and Master-Standby active failover (10.7.10).</w:t>
            </w:r>
          </w:p>
        </w:tc>
        <w:tc>
          <w:tcPr>
            <w:tcW w:type="dxa" w:w="2600"/>
          </w:tcPr>
          <w:p>
            <w:r>
              <w:rPr>
                <w:b w:val="false"/>
                <w:bCs w:val="false"/>
                <w:sz w:val="20"/>
                <w:szCs w:val="20"/>
              </w:rPr>
              <w:t xml:space="preserve">Per 창호. Defines the node's runtime/operational behavior, which Sections 3–8 (logical/electrical architecture) did not cover.</w:t>
            </w:r>
          </w:p>
        </w:tc>
      </w:tr>
      <w:tr>
        <w:tc>
          <w:tcPr>
            <w:tcW w:type="dxa" w:w="1000"/>
          </w:tcPr>
          <w:p>
            <w:r>
              <w:rPr>
                <w:b w:val="false"/>
                <w:bCs w:val="false"/>
                <w:sz w:val="20"/>
                <w:szCs w:val="20"/>
              </w:rPr>
              <w:t xml:space="preserve">R5-3</w:t>
            </w:r>
          </w:p>
        </w:tc>
        <w:tc>
          <w:tcPr>
            <w:tcW w:type="dxa" w:w="5760"/>
          </w:tcPr>
          <w:p>
            <w:r>
              <w:rPr>
                <w:b w:val="false"/>
                <w:bCs w:val="false"/>
                <w:sz w:val="20"/>
                <w:szCs w:val="20"/>
              </w:rPr>
              <w:t xml:space="preserve">Corrected §10.7.3 Slot 1 allocation from an initial three-way split (12 hypercube + 12 external-loopback-diagnostic + 168 external traffic) to a two-way split: 12 cores (hypercube/NPU) + 180 cores (direct-connect Pass path to Slot 2).</w:t>
            </w:r>
          </w:p>
        </w:tc>
        <w:tc>
          <w:tcPr>
            <w:tcW w:type="dxa" w:w="2600"/>
          </w:tcPr>
          <w:p>
            <w:r>
              <w:rPr>
                <w:b w:val="false"/>
                <w:bCs w:val="false"/>
                <w:sz w:val="20"/>
                <w:szCs w:val="20"/>
              </w:rPr>
              <w:t xml:space="preserve">Per 창호's clarification this session: "external loopback" is not a separate diagnostic channel but the direct physical connection between Slot 1 (hypercube-facing) and Slot 2 (PAI/EAI-facing) — the same two-way pattern already used for Slots 2 and 5.</w:t>
            </w:r>
          </w:p>
        </w:tc>
      </w:tr>
      <w:tr>
        <w:tc>
          <w:tcPr>
            <w:tcW w:type="dxa" w:w="1000"/>
          </w:tcPr>
          <w:p>
            <w:r>
              <w:rPr>
                <w:b w:val="false"/>
                <w:bCs w:val="false"/>
                <w:sz w:val="20"/>
                <w:szCs w:val="20"/>
              </w:rPr>
              <w:t xml:space="preserve">R5-4</w:t>
            </w:r>
          </w:p>
        </w:tc>
        <w:tc>
          <w:tcPr>
            <w:tcW w:type="dxa" w:w="5760"/>
          </w:tcPr>
          <w:p>
            <w:r>
              <w:rPr>
                <w:b w:val="false"/>
                <w:bCs w:val="false"/>
                <w:sz w:val="20"/>
                <w:szCs w:val="20"/>
              </w:rPr>
              <w:t xml:space="preserve">Superseded R2-1's core-count figures. O8's front-panel structure is now 8 slots × 192 cores/slot = 1,536 cores total (not 8 × 24 = 192 total as previously fixed). Table 6-1 and Table 10-1 updated accordingly.</w:t>
            </w:r>
          </w:p>
        </w:tc>
        <w:tc>
          <w:tcPr>
            <w:tcW w:type="dxa" w:w="2600"/>
          </w:tcPr>
          <w:p>
            <w:r>
              <w:rPr>
                <w:b w:val="false"/>
                <w:bCs w:val="false"/>
                <w:sz w:val="20"/>
                <w:szCs w:val="20"/>
              </w:rPr>
              <w:t xml:space="preserve">Per 창호's explicit confirmation this session, based on the slot-level breakdown in §10.7.3. NOTE — this creates a numeric inconsistency with WP#20, WP#24, WP#25 §B.13.1, and the Velsanet Architecture Compendium, which all state "O8 = 192 optical cores." Per 창호's explicit instruction, this revision applies to WP#29 only; the cross-document inconsistency is not resolved here but is logged as a pending cross-document patch item (see note at end of Section 11).</w:t>
            </w:r>
          </w:p>
        </w:tc>
      </w:tr>
      <w:tr>
        <w:tc>
          <w:tcPr>
            <w:tcW w:type="dxa" w:w="1000"/>
          </w:tcPr>
          <w:p>
            <w:r>
              <w:rPr>
                <w:b w:val="false"/>
                <w:bCs w:val="false"/>
                <w:sz w:val="20"/>
                <w:szCs w:val="20"/>
              </w:rPr>
              <w:t xml:space="preserve">R5-5</w:t>
            </w:r>
          </w:p>
        </w:tc>
        <w:tc>
          <w:tcPr>
            <w:tcW w:type="dxa" w:w="5760"/>
          </w:tcPr>
          <w:p>
            <w:r>
              <w:rPr>
                <w:b w:val="false"/>
                <w:bCs w:val="false"/>
                <w:sz w:val="20"/>
                <w:szCs w:val="20"/>
              </w:rPr>
              <w:t xml:space="preserve">Table 6-1's "Instance Plane — 168 cores" row is retired (marked historical/superseded), not remapped onto the new 8-slot structure.</w:t>
            </w:r>
          </w:p>
        </w:tc>
        <w:tc>
          <w:tcPr>
            <w:tcW w:type="dxa" w:w="2600"/>
          </w:tcPr>
          <w:p>
            <w:r>
              <w:rPr>
                <w:b w:val="false"/>
                <w:bCs w:val="false"/>
                <w:sz w:val="20"/>
                <w:szCs w:val="20"/>
              </w:rPr>
              <w:t xml:space="preserve">Per 창호's confirmation: the Connectivity Plane / Instance Plane two-way split is fully superseded by §10.7.3's eight-slot structure; there is no forward mapping for the old 168-core figure.</w:t>
            </w:r>
          </w:p>
        </w:tc>
      </w:tr>
      <w:tr>
        <w:tc>
          <w:tcPr>
            <w:tcW w:type="dxa" w:w="1000"/>
          </w:tcPr>
          <w:p>
            <w:r>
              <w:rPr>
                <w:b w:val="false"/>
                <w:bCs w:val="false"/>
                <w:sz w:val="20"/>
                <w:szCs w:val="20"/>
              </w:rPr>
              <w:t xml:space="preserve">R5-6</w:t>
            </w:r>
          </w:p>
        </w:tc>
        <w:tc>
          <w:tcPr>
            <w:tcW w:type="dxa" w:w="5760"/>
          </w:tcPr>
          <w:p>
            <w:r>
              <w:rPr>
                <w:b w:val="false"/>
                <w:bCs w:val="false"/>
                <w:sz w:val="20"/>
                <w:szCs w:val="20"/>
              </w:rPr>
              <w:t xml:space="preserve">Added Open Items OI-29-11 through OI-29-18 (Section 11): O/E-EO conversion characterization, internal direct-connect diagnostic cycle, Mode B timeout/transition latency, and Master-Standby failover parameters (neighbor-selection rule, trigger threshold, reversibility).</w:t>
            </w:r>
          </w:p>
        </w:tc>
        <w:tc>
          <w:tcPr>
            <w:tcW w:type="dxa" w:w="2600"/>
          </w:tcPr>
          <w:p>
            <w:r>
              <w:rPr>
                <w:b w:val="false"/>
                <w:bCs w:val="false"/>
                <w:sz w:val="20"/>
                <w:szCs w:val="20"/>
              </w:rPr>
              <w:t xml:space="preserve">New gaps surfaced by §10.7's operational-layer detail, following the same practice of registering genuine gaps rather than inventing numbers.</w:t>
            </w:r>
          </w:p>
        </w:tc>
      </w:tr>
      <w:tr>
        <w:tc>
          <w:tcPr>
            <w:tcW w:type="dxa" w:w="1000"/>
          </w:tcPr>
          <w:p>
            <w:r>
              <w:rPr>
                <w:b w:val="false"/>
                <w:bCs w:val="false"/>
                <w:sz w:val="20"/>
                <w:szCs w:val="20"/>
              </w:rPr>
              <w:t xml:space="preserve">R5-7</w:t>
            </w:r>
          </w:p>
        </w:tc>
        <w:tc>
          <w:tcPr>
            <w:tcW w:type="dxa" w:w="5760"/>
          </w:tcPr>
          <w:p>
            <w:r>
              <w:rPr>
                <w:b w:val="false"/>
                <w:bCs w:val="false"/>
                <w:sz w:val="20"/>
                <w:szCs w:val="20"/>
              </w:rPr>
              <w:t xml:space="preserve">§10.8 (proposed as a separate Mode A/B detection-detail section) was not added separately; its content is folded into §10.7.4.3, which already defines the same transition/detection logic.</w:t>
            </w:r>
          </w:p>
        </w:tc>
        <w:tc>
          <w:tcPr>
            <w:tcW w:type="dxa" w:w="2600"/>
          </w:tcPr>
          <w:p>
            <w:r>
              <w:rPr>
                <w:b w:val="false"/>
                <w:bCs w:val="false"/>
                <w:sz w:val="20"/>
                <w:szCs w:val="20"/>
              </w:rPr>
              <w:t xml:space="preserve">Per Claude's recommendation, accepted by 창호, to avoid a duplicate section.</w:t>
            </w:r>
          </w:p>
        </w:tc>
      </w:tr>
      <w:tr>
        <w:tc>
          <w:tcPr>
            <w:tcW w:type="dxa" w:w="1000"/>
          </w:tcPr>
          <w:p>
            <w:r>
              <w:rPr>
                <w:b w:val="false"/>
                <w:bCs w:val="false"/>
                <w:sz w:val="20"/>
                <w:szCs w:val="20"/>
              </w:rPr>
              <w:t xml:space="preserve">R5-8</w:t>
            </w:r>
          </w:p>
        </w:tc>
        <w:tc>
          <w:tcPr>
            <w:tcW w:type="dxa" w:w="5760"/>
          </w:tcPr>
          <w:p>
            <w:r>
              <w:rPr>
                <w:b w:val="false"/>
                <w:bCs w:val="false"/>
                <w:sz w:val="20"/>
                <w:szCs w:val="20"/>
              </w:rPr>
              <w:t xml:space="preserve">Document version updated to v1.4 (R5).</w:t>
            </w:r>
          </w:p>
        </w:tc>
        <w:tc>
          <w:tcPr>
            <w:tcW w:type="dxa" w:w="2600"/>
          </w:tcPr>
          <w:p>
            <w:r>
              <w:rPr>
                <w:b w:val="false"/>
                <w:bCs w:val="false"/>
                <w:sz w:val="20"/>
                <w:szCs w:val="20"/>
              </w:rPr>
              <w:t xml:space="preserve">Reflects the scope of this revision.</w:t>
            </w:r>
          </w:p>
        </w:tc>
      </w:tr>
    </w:tbl>
    <w:p>
      <w:pPr>
        <w:spacing w:after="200"/>
      </w:pPr>
      <w:r>
        <w:rPr>
          <w:i/>
          <w:iCs/>
          <w:sz w:val="20"/>
          <w:szCs w:val="20"/>
        </w:rPr>
        <w:t xml:space="preserve">Table R-2. Revision Log — R5</w:t>
      </w:r>
    </w:p>
    <w:p>
      <w:pPr>
        <w:pStyle w:val="Heading1"/>
        <w:spacing w:after="160" w:before="280"/>
      </w:pPr>
      <w:r>
        <w:rPr>
          <w:b/>
          <w:bCs/>
        </w:rPr>
        <w:t xml:space="preserve">Revision Log — R6 (this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600"/>
            <w:shd w:fill="D9D9D9" w:val="clear"/>
          </w:tcPr>
          <w:p>
            <w:r>
              <w:rPr>
                <w:b/>
                <w:bCs/>
                <w:sz w:val="20"/>
                <w:szCs w:val="20"/>
              </w:rPr>
              <w:t xml:space="preserve">Rationale</w:t>
            </w:r>
          </w:p>
        </w:tc>
      </w:tr>
      <w:tr>
        <w:tc>
          <w:tcPr>
            <w:tcW w:type="dxa" w:w="1000"/>
          </w:tcPr>
          <w:p>
            <w:r>
              <w:rPr>
                <w:b w:val="false"/>
                <w:bCs w:val="false"/>
                <w:sz w:val="20"/>
                <w:szCs w:val="20"/>
              </w:rPr>
              <w:t xml:space="preserve">R6-1</w:t>
            </w:r>
          </w:p>
        </w:tc>
        <w:tc>
          <w:tcPr>
            <w:tcW w:type="dxa" w:w="5760"/>
          </w:tcPr>
          <w:p>
            <w:r>
              <w:rPr>
                <w:b w:val="false"/>
                <w:bCs w:val="false"/>
                <w:sz w:val="20"/>
                <w:szCs w:val="20"/>
              </w:rPr>
              <w:t xml:space="preserve">Added Section 6.2, Connectivity Plane — NPU-Executed Task Model: clarifies that the Connectivity Plane (Slot 1/2 control cores) is a request/notification channel triggering deterministic NPU execution, not a statistical or predictive control plane.</w:t>
            </w:r>
          </w:p>
        </w:tc>
        <w:tc>
          <w:tcPr>
            <w:tcW w:type="dxa" w:w="2600"/>
          </w:tcPr>
          <w:p>
            <w:r>
              <w:rPr>
                <w:b w:val="false"/>
                <w:bCs w:val="false"/>
                <w:sz w:val="20"/>
                <w:szCs w:val="20"/>
              </w:rPr>
              <w:t xml:space="preserve">Per 창호. Prevents the NPU-Matrix integration work (R6-2) from being read as introducing learned/predicted switching decisions, which would conflict with the A=f(T) principle that Velsanet's structural guarantees are physical, not statistical.</w:t>
            </w:r>
          </w:p>
        </w:tc>
      </w:tr>
      <w:tr>
        <w:tc>
          <w:tcPr>
            <w:tcW w:type="dxa" w:w="1000"/>
          </w:tcPr>
          <w:p>
            <w:r>
              <w:rPr>
                <w:b w:val="false"/>
                <w:bCs w:val="false"/>
                <w:sz w:val="20"/>
                <w:szCs w:val="20"/>
              </w:rPr>
              <w:t xml:space="preserve">R6-2</w:t>
            </w:r>
          </w:p>
        </w:tc>
        <w:tc>
          <w:tcPr>
            <w:tcW w:type="dxa" w:w="5760"/>
          </w:tcPr>
          <w:p>
            <w:r>
              <w:rPr>
                <w:b w:val="false"/>
                <w:bCs w:val="false"/>
                <w:sz w:val="20"/>
                <w:szCs w:val="20"/>
              </w:rPr>
              <w:t xml:space="preserve">Added Section 10.7.11, NPU–Matrix Integration Architecture: defines the Node Intelligence NPU (§10.7.3, Slot 1) as a dedicated execution engine distinct from the Cognition Cube's interchangeable GPU/NPU/TPU cubification substrate (WP#24 Table 9-2, out of standardization scope). Two execution paths: (a) executing accepted PAI/EAI cooperation requests as Matrix configuration commands; (b) executing hypercube failover/switchover on Matrix-reported link loss (§10.7.2, §10.7.10).</w:t>
            </w:r>
          </w:p>
        </w:tc>
        <w:tc>
          <w:tcPr>
            <w:tcW w:type="dxa" w:w="2600"/>
          </w:tcPr>
          <w:p>
            <w:r>
              <w:rPr>
                <w:b w:val="false"/>
                <w:bCs w:val="false"/>
                <w:sz w:val="20"/>
                <w:szCs w:val="20"/>
              </w:rPr>
              <w:t xml:space="preserve">Per 창호's clarification this session: the NPU 'receives AI cooperation requests and notifications, then performs the network-configuration work' and 'handles hypercube switchover on inter-equipment link loss' — an execution role, not a learning/prediction role. Confirmed as a separate, fixed hardware NPU, not the Cognition Cube's swappable substrate.</w:t>
            </w:r>
          </w:p>
        </w:tc>
      </w:tr>
      <w:tr>
        <w:tc>
          <w:tcPr>
            <w:tcW w:type="dxa" w:w="1000"/>
          </w:tcPr>
          <w:p>
            <w:r>
              <w:rPr>
                <w:b w:val="false"/>
                <w:bCs w:val="false"/>
                <w:sz w:val="20"/>
                <w:szCs w:val="20"/>
              </w:rPr>
              <w:t xml:space="preserve">R6-3</w:t>
            </w:r>
          </w:p>
        </w:tc>
        <w:tc>
          <w:tcPr>
            <w:tcW w:type="dxa" w:w="5760"/>
          </w:tcPr>
          <w:p>
            <w:r>
              <w:rPr>
                <w:b w:val="false"/>
                <w:bCs w:val="false"/>
                <w:sz w:val="20"/>
                <w:szCs w:val="20"/>
              </w:rPr>
              <w:t xml:space="preserve">Added Section 10.7.12, Physical-Constraint Feedback Loop: states the loop by which Matrix-reported physical metrics (link status/LOS/BER; latency where instrumented) trigger NPU execution of pre-defined actions (alternate-path activation, Master-Standby handover, negotiated configuration) — no step is learned or statistically predicted.</w:t>
            </w:r>
          </w:p>
        </w:tc>
        <w:tc>
          <w:tcPr>
            <w:tcW w:type="dxa" w:w="2600"/>
          </w:tcPr>
          <w:p>
            <w:r>
              <w:rPr>
                <w:b w:val="false"/>
                <w:bCs w:val="false"/>
                <w:sz w:val="20"/>
                <w:szCs w:val="20"/>
              </w:rPr>
              <w:t xml:space="preserve">Per 창호, in response to Claude's request for the feedback-loop structure; explicitly scoped to keep every step traceable to an already-defined mechanism (§7, §10.7.2, §10.7.10) rather than introducing new decision logic.</w:t>
            </w:r>
          </w:p>
        </w:tc>
      </w:tr>
      <w:tr>
        <w:tc>
          <w:tcPr>
            <w:tcW w:type="dxa" w:w="1000"/>
          </w:tcPr>
          <w:p>
            <w:r>
              <w:rPr>
                <w:b w:val="false"/>
                <w:bCs w:val="false"/>
                <w:sz w:val="20"/>
                <w:szCs w:val="20"/>
              </w:rPr>
              <w:t xml:space="preserve">R6-4</w:t>
            </w:r>
          </w:p>
        </w:tc>
        <w:tc>
          <w:tcPr>
            <w:tcW w:type="dxa" w:w="5760"/>
          </w:tcPr>
          <w:p>
            <w:r>
              <w:rPr>
                <w:b w:val="false"/>
                <w:bCs w:val="false"/>
                <w:sz w:val="20"/>
                <w:szCs w:val="20"/>
              </w:rPr>
              <w:t xml:space="preserve">Added Open Items OI-29-20 (NPU–Matrix command interface not specified) and OI-29-21 (no node-level temperature sensor/feedback interface defined anywhere in the series — distinct from OI-29-06's thermal budget/capacity gap).</w:t>
            </w:r>
          </w:p>
        </w:tc>
        <w:tc>
          <w:tcPr>
            <w:tcW w:type="dxa" w:w="2600"/>
          </w:tcPr>
          <w:p>
            <w:r>
              <w:rPr>
                <w:b w:val="false"/>
                <w:bCs w:val="false"/>
                <w:sz w:val="20"/>
                <w:szCs w:val="20"/>
              </w:rPr>
              <w:t xml:space="preserve">New gaps surfaced by the NPU-Matrix execution model.</w:t>
            </w:r>
          </w:p>
        </w:tc>
      </w:tr>
      <w:tr>
        <w:tc>
          <w:tcPr>
            <w:tcW w:type="dxa" w:w="1000"/>
          </w:tcPr>
          <w:p>
            <w:r>
              <w:rPr>
                <w:b w:val="false"/>
                <w:bCs w:val="false"/>
                <w:sz w:val="20"/>
                <w:szCs w:val="20"/>
              </w:rPr>
              <w:t xml:space="preserve">R6-5</w:t>
            </w:r>
          </w:p>
        </w:tc>
        <w:tc>
          <w:tcPr>
            <w:tcW w:type="dxa" w:w="5760"/>
          </w:tcPr>
          <w:p>
            <w:r>
              <w:rPr>
                <w:b w:val="false"/>
                <w:bCs w:val="false"/>
                <w:sz w:val="20"/>
                <w:szCs w:val="20"/>
              </w:rPr>
              <w:t xml:space="preserve">Document version updated to v1.5 (R6).</w:t>
            </w:r>
          </w:p>
        </w:tc>
        <w:tc>
          <w:tcPr>
            <w:tcW w:type="dxa" w:w="2600"/>
          </w:tcPr>
          <w:p>
            <w:r>
              <w:rPr>
                <w:b w:val="false"/>
                <w:bCs w:val="false"/>
                <w:sz w:val="20"/>
                <w:szCs w:val="20"/>
              </w:rPr>
              <w:t xml:space="preserve">Reflects the scope of this revision.</w:t>
            </w:r>
          </w:p>
        </w:tc>
      </w:tr>
    </w:tbl>
    <w:p>
      <w:pPr>
        <w:spacing w:after="200"/>
      </w:pPr>
      <w:r>
        <w:rPr>
          <w:i/>
          <w:iCs/>
          <w:sz w:val="20"/>
          <w:szCs w:val="20"/>
        </w:rPr>
        <w:t xml:space="preserve">Table R-3. Revision Log — R6</w:t>
      </w:r>
    </w:p>
    <w:p>
      <w:pPr>
        <w:pStyle w:val="Heading1"/>
        <w:spacing w:after="160" w:before="280"/>
      </w:pPr>
      <w:r>
        <w:rPr>
          <w:b/>
          <w:bCs/>
        </w:rPr>
        <w:t xml:space="preserve">Revision Log — R7 (this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600"/>
            <w:shd w:fill="D9D9D9" w:val="clear"/>
          </w:tcPr>
          <w:p>
            <w:r>
              <w:rPr>
                <w:b/>
                <w:bCs/>
                <w:sz w:val="20"/>
                <w:szCs w:val="20"/>
              </w:rPr>
              <w:t xml:space="preserve">Rationale</w:t>
            </w:r>
          </w:p>
        </w:tc>
      </w:tr>
      <w:tr>
        <w:tc>
          <w:tcPr>
            <w:tcW w:type="dxa" w:w="1000"/>
          </w:tcPr>
          <w:p>
            <w:r>
              <w:rPr>
                <w:b w:val="false"/>
                <w:bCs w:val="false"/>
                <w:sz w:val="20"/>
                <w:szCs w:val="20"/>
              </w:rPr>
              <w:t xml:space="preserve">R7-1</w:t>
            </w:r>
          </w:p>
        </w:tc>
        <w:tc>
          <w:tcPr>
            <w:tcW w:type="dxa" w:w="5760"/>
          </w:tcPr>
          <w:p>
            <w:r>
              <w:rPr>
                <w:b w:val="false"/>
                <w:bCs w:val="false"/>
                <w:sz w:val="20"/>
                <w:szCs w:val="20"/>
              </w:rPr>
              <w:t xml:space="preserve">Updated Table 2-1 and Table 12-1: WP#30's title and scope expanded from "Network Equipment RTL (Switching/Routing)" to "Network Equipment RTL &amp; Physical Design (Switching/Routing)", explicitly adding Multi-Layer Multi-Plane Matrix physical implementation — semiconductor circuit design, FPGA→ASIC process migration, die-level layout — as in-scope for WP#30.</w:t>
            </w:r>
          </w:p>
        </w:tc>
        <w:tc>
          <w:tcPr>
            <w:tcW w:type="dxa" w:w="2600"/>
          </w:tcPr>
          <w:p>
            <w:r>
              <w:rPr>
                <w:b w:val="false"/>
                <w:bCs w:val="false"/>
                <w:sz w:val="20"/>
                <w:szCs w:val="20"/>
              </w:rPr>
              <w:t xml:space="preserve">Per 창호. Consolidates the Matrix's physical-implementation work (previously undifferentiated within the WP#30 proposal) into an explicit scope statement, following the FPGA→ASIC migration pattern already used in WP#26.</w:t>
            </w:r>
          </w:p>
        </w:tc>
      </w:tr>
      <w:tr>
        <w:tc>
          <w:tcPr>
            <w:tcW w:type="dxa" w:w="1000"/>
          </w:tcPr>
          <w:p>
            <w:r>
              <w:rPr>
                <w:b w:val="false"/>
                <w:bCs w:val="false"/>
                <w:sz w:val="20"/>
                <w:szCs w:val="20"/>
              </w:rPr>
              <w:t xml:space="preserve">R7-2</w:t>
            </w:r>
          </w:p>
        </w:tc>
        <w:tc>
          <w:tcPr>
            <w:tcW w:type="dxa" w:w="5760"/>
          </w:tcPr>
          <w:p>
            <w:r>
              <w:rPr>
                <w:b w:val="false"/>
                <w:bCs w:val="false"/>
                <w:sz w:val="20"/>
                <w:szCs w:val="20"/>
              </w:rPr>
              <w:t xml:space="preserve">Explicitly distinguished WP#30's die-level (semiconductor) layout from WP#32's board-level (PCB) layout in both tables, to prevent the shared term "layout" from being read as scope overlap.</w:t>
            </w:r>
          </w:p>
        </w:tc>
        <w:tc>
          <w:tcPr>
            <w:tcW w:type="dxa" w:w="2600"/>
          </w:tcPr>
          <w:p>
            <w:r>
              <w:rPr>
                <w:b w:val="false"/>
                <w:bCs w:val="false"/>
                <w:sz w:val="20"/>
                <w:szCs w:val="20"/>
              </w:rPr>
              <w:t xml:space="preserve">Per Claude's note, confirmed by 창호: WP#30 = chip/die-level physical design; WP#32 = PCB-level placement/routing. Different engineering domains, same word.</w:t>
            </w:r>
          </w:p>
        </w:tc>
      </w:tr>
      <w:tr>
        <w:tc>
          <w:tcPr>
            <w:tcW w:type="dxa" w:w="1000"/>
          </w:tcPr>
          <w:p>
            <w:r>
              <w:rPr>
                <w:b w:val="false"/>
                <w:bCs w:val="false"/>
                <w:sz w:val="20"/>
                <w:szCs w:val="20"/>
              </w:rPr>
              <w:t xml:space="preserve">R7-3</w:t>
            </w:r>
          </w:p>
        </w:tc>
        <w:tc>
          <w:tcPr>
            <w:tcW w:type="dxa" w:w="5760"/>
          </w:tcPr>
          <w:p>
            <w:r>
              <w:rPr>
                <w:b w:val="false"/>
                <w:bCs w:val="false"/>
                <w:sz w:val="20"/>
                <w:szCs w:val="20"/>
              </w:rPr>
              <w:t xml:space="preserve">WP#29, WP#31, WP#32, WP#33 scope statements unchanged — confirmed by 창호 as "변경 없음" (no change), WP#29 remaining focused on system-level specification only.</w:t>
            </w:r>
          </w:p>
        </w:tc>
        <w:tc>
          <w:tcPr>
            <w:tcW w:type="dxa" w:w="2600"/>
          </w:tcPr>
          <w:p>
            <w:r>
              <w:rPr>
                <w:b w:val="false"/>
                <w:bCs w:val="false"/>
                <w:sz w:val="20"/>
                <w:szCs w:val="20"/>
              </w:rPr>
              <w:t xml:space="preserve">Per 창호's explicit confirmation.</w:t>
            </w:r>
          </w:p>
        </w:tc>
      </w:tr>
      <w:tr>
        <w:tc>
          <w:tcPr>
            <w:tcW w:type="dxa" w:w="1000"/>
          </w:tcPr>
          <w:p>
            <w:r>
              <w:rPr>
                <w:b w:val="false"/>
                <w:bCs w:val="false"/>
                <w:sz w:val="20"/>
                <w:szCs w:val="20"/>
              </w:rPr>
              <w:t xml:space="preserve">R7-4</w:t>
            </w:r>
          </w:p>
        </w:tc>
        <w:tc>
          <w:tcPr>
            <w:tcW w:type="dxa" w:w="5760"/>
          </w:tcPr>
          <w:p>
            <w:r>
              <w:rPr>
                <w:b w:val="false"/>
                <w:bCs w:val="false"/>
                <w:sz w:val="20"/>
                <w:szCs w:val="20"/>
              </w:rPr>
              <w:t xml:space="preserve">Document version updated to v1.6 (R7).</w:t>
            </w:r>
          </w:p>
        </w:tc>
        <w:tc>
          <w:tcPr>
            <w:tcW w:type="dxa" w:w="2600"/>
          </w:tcPr>
          <w:p>
            <w:r>
              <w:rPr>
                <w:b w:val="false"/>
                <w:bCs w:val="false"/>
                <w:sz w:val="20"/>
                <w:szCs w:val="20"/>
              </w:rPr>
              <w:t xml:space="preserve">Reflects the scope of this revision.</w:t>
            </w:r>
          </w:p>
        </w:tc>
      </w:tr>
    </w:tbl>
    <w:p>
      <w:pPr>
        <w:spacing w:after="200"/>
      </w:pPr>
      <w:r>
        <w:rPr>
          <w:i/>
          <w:iCs/>
          <w:sz w:val="20"/>
          <w:szCs w:val="20"/>
        </w:rPr>
        <w:t xml:space="preserve">Table R-4. Revision Log — R7</w:t>
      </w:r>
    </w:p>
    <w:p>
      <w:pPr>
        <w:pStyle w:val="Heading1"/>
        <w:spacing w:after="160" w:before="280"/>
      </w:pPr>
      <w:r>
        <w:rPr>
          <w:b/>
          <w:bCs/>
        </w:rPr>
        <w:t xml:space="preserve">Revision Log — R8 (this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600"/>
            <w:shd w:fill="D9D9D9" w:val="clear"/>
          </w:tcPr>
          <w:p>
            <w:r>
              <w:rPr>
                <w:b/>
                <w:bCs/>
                <w:sz w:val="20"/>
                <w:szCs w:val="20"/>
              </w:rPr>
              <w:t xml:space="preserve">Rationale</w:t>
            </w:r>
          </w:p>
        </w:tc>
      </w:tr>
      <w:tr>
        <w:tc>
          <w:tcPr>
            <w:tcW w:type="dxa" w:w="1000"/>
          </w:tcPr>
          <w:p>
            <w:r>
              <w:rPr>
                <w:b w:val="false"/>
                <w:bCs w:val="false"/>
                <w:sz w:val="20"/>
                <w:szCs w:val="20"/>
              </w:rPr>
              <w:t xml:space="preserve">R8-1</w:t>
            </w:r>
          </w:p>
        </w:tc>
        <w:tc>
          <w:tcPr>
            <w:tcW w:type="dxa" w:w="5760"/>
          </w:tcPr>
          <w:p>
            <w:r>
              <w:rPr>
                <w:b w:val="false"/>
                <w:bCs w:val="false"/>
                <w:sz w:val="20"/>
                <w:szCs w:val="20"/>
              </w:rPr>
              <w:t xml:space="preserve">SUPERSEDES §10.7.8's "hardware uniformity" principle. D12 and I20 no longer share O8's identical 8-slot/192-core-per-slot chassis. Each tier now has its own face (slot) count and its own per-face core structure: O8 = 8 faces × (12 cores × 4 layers × 4 bundles = 192 cores/face) = 1,536 total; D12 = 12 faces × (12 × 8 × 8 = 768 cores/face) = 9,216 total; I20 = 20 faces × (12 × 16 × 16 = 3,072 cores/face) = 61,440 total.</w:t>
            </w:r>
          </w:p>
        </w:tc>
        <w:tc>
          <w:tcPr>
            <w:tcW w:type="dxa" w:w="2600"/>
          </w:tcPr>
          <w:p>
            <w:r>
              <w:rPr>
                <w:b w:val="false"/>
                <w:bCs w:val="false"/>
                <w:sz w:val="20"/>
                <w:szCs w:val="20"/>
              </w:rPr>
              <w:t xml:space="preserve">Per 창호's explicit confirmation this session. Face counts (8/12/20) follow the Platonic solid face-count of each node's namesake (octahedron/dodecahedron/icosahedron), consistent with WP#20's polyhedral naming; layer and bundle counts each double per tier (4→8→16), consistent with the ×4-per-tier pattern 창호 described (2× layers × 2× bundles = 4× cores/face per tier).</w:t>
            </w:r>
          </w:p>
        </w:tc>
      </w:tr>
      <w:tr>
        <w:tc>
          <w:tcPr>
            <w:tcW w:type="dxa" w:w="1000"/>
          </w:tcPr>
          <w:p>
            <w:r>
              <w:rPr>
                <w:b w:val="false"/>
                <w:bCs w:val="false"/>
                <w:sz w:val="20"/>
                <w:szCs w:val="20"/>
              </w:rPr>
              <w:t xml:space="preserve">R8-2</w:t>
            </w:r>
          </w:p>
        </w:tc>
        <w:tc>
          <w:tcPr>
            <w:tcW w:type="dxa" w:w="5760"/>
          </w:tcPr>
          <w:p>
            <w:r>
              <w:rPr>
                <w:b w:val="false"/>
                <w:bCs w:val="false"/>
                <w:sz w:val="20"/>
                <w:szCs w:val="20"/>
              </w:rPr>
              <w:t xml:space="preserve">Added Section 4.6, Hierarchical Core Scaling: T4 → H6 → O8 → D12 → I20, stating the confirmed O8/D12/I20 figures and the face/layer/bundle scaling rule.</w:t>
            </w:r>
          </w:p>
        </w:tc>
        <w:tc>
          <w:tcPr>
            <w:tcW w:type="dxa" w:w="2600"/>
          </w:tcPr>
          <w:p>
            <w:r>
              <w:rPr>
                <w:b w:val="false"/>
                <w:bCs w:val="false"/>
                <w:sz w:val="20"/>
                <w:szCs w:val="20"/>
              </w:rPr>
              <w:t xml:space="preserve">Per 창호. T4/H6 figures are explicitly NOT fixed by this revision (OI-29-22) — only O8/D12/I20 were confirmed this session.</w:t>
            </w:r>
          </w:p>
        </w:tc>
      </w:tr>
      <w:tr>
        <w:tc>
          <w:tcPr>
            <w:tcW w:type="dxa" w:w="1000"/>
          </w:tcPr>
          <w:p>
            <w:r>
              <w:rPr>
                <w:b w:val="false"/>
                <w:bCs w:val="false"/>
                <w:sz w:val="20"/>
                <w:szCs w:val="20"/>
              </w:rPr>
              <w:t xml:space="preserve">R8-3</w:t>
            </w:r>
          </w:p>
        </w:tc>
        <w:tc>
          <w:tcPr>
            <w:tcW w:type="dxa" w:w="5760"/>
          </w:tcPr>
          <w:p>
            <w:r>
              <w:rPr>
                <w:b w:val="false"/>
                <w:bCs w:val="false"/>
                <w:sz w:val="20"/>
                <w:szCs w:val="20"/>
              </w:rPr>
              <w:t xml:space="preserve">Updated Table 10-1 (§10.4): D12/I20 chassis are no longer "reference basis only, height not yet fixed" — concrete face/core figures are now given, though chassis height itself remains open (OI-29-07 revised scope, see Section 11).</w:t>
            </w:r>
          </w:p>
        </w:tc>
        <w:tc>
          <w:tcPr>
            <w:tcW w:type="dxa" w:w="2600"/>
          </w:tcPr>
          <w:p>
            <w:r>
              <w:rPr>
                <w:b w:val="false"/>
                <w:bCs w:val="false"/>
                <w:sz w:val="20"/>
                <w:szCs w:val="20"/>
              </w:rPr>
              <w:t xml:space="preserve">Reflects R8-1.</w:t>
            </w:r>
          </w:p>
        </w:tc>
      </w:tr>
      <w:tr>
        <w:tc>
          <w:tcPr>
            <w:tcW w:type="dxa" w:w="1000"/>
          </w:tcPr>
          <w:p>
            <w:r>
              <w:rPr>
                <w:b w:val="false"/>
                <w:bCs w:val="false"/>
                <w:sz w:val="20"/>
                <w:szCs w:val="20"/>
              </w:rPr>
              <w:t xml:space="preserve">R8-4</w:t>
            </w:r>
          </w:p>
        </w:tc>
        <w:tc>
          <w:tcPr>
            <w:tcW w:type="dxa" w:w="5760"/>
          </w:tcPr>
          <w:p>
            <w:r>
              <w:rPr>
                <w:b w:val="false"/>
                <w:bCs w:val="false"/>
                <w:sz w:val="20"/>
                <w:szCs w:val="20"/>
              </w:rPr>
              <w:t xml:space="preserve">Added Open Items OI-29-22 (T4/H6 core-scaling figures not confirmed — pattern may or may not extend downward) and OI-29-23 (§10.7.3's slot-internal allocation — 12 control + 180 direct-connect — not yet scaled for D12/I20's larger per-face core counts; explicitly deferred to a future session per 창호).</w:t>
            </w:r>
          </w:p>
        </w:tc>
        <w:tc>
          <w:tcPr>
            <w:tcW w:type="dxa" w:w="2600"/>
          </w:tcPr>
          <w:p>
            <w:r>
              <w:rPr>
                <w:b w:val="false"/>
                <w:bCs w:val="false"/>
                <w:sz w:val="20"/>
                <w:szCs w:val="20"/>
              </w:rPr>
              <w:t xml:space="preserve">New gaps surfaced by R8-1/R8-2; explicitly not resolved in this revision.</w:t>
            </w:r>
          </w:p>
        </w:tc>
      </w:tr>
      <w:tr>
        <w:tc>
          <w:tcPr>
            <w:tcW w:type="dxa" w:w="1000"/>
          </w:tcPr>
          <w:p>
            <w:r>
              <w:rPr>
                <w:b w:val="false"/>
                <w:bCs w:val="false"/>
                <w:sz w:val="20"/>
                <w:szCs w:val="20"/>
              </w:rPr>
              <w:t xml:space="preserve">R8-5</w:t>
            </w:r>
          </w:p>
        </w:tc>
        <w:tc>
          <w:tcPr>
            <w:tcW w:type="dxa" w:w="5760"/>
          </w:tcPr>
          <w:p>
            <w:r>
              <w:rPr>
                <w:b w:val="false"/>
                <w:bCs w:val="false"/>
                <w:sz w:val="20"/>
                <w:szCs w:val="20"/>
              </w:rPr>
              <w:t xml:space="preserve">Document version updated to v1.7 (R8).</w:t>
            </w:r>
          </w:p>
        </w:tc>
        <w:tc>
          <w:tcPr>
            <w:tcW w:type="dxa" w:w="2600"/>
          </w:tcPr>
          <w:p>
            <w:r>
              <w:rPr>
                <w:b w:val="false"/>
                <w:bCs w:val="false"/>
                <w:sz w:val="20"/>
                <w:szCs w:val="20"/>
              </w:rPr>
              <w:t xml:space="preserve">Reflects the scope of this revision.</w:t>
            </w:r>
          </w:p>
        </w:tc>
      </w:tr>
    </w:tbl>
    <w:p>
      <w:pPr>
        <w:spacing w:after="200"/>
      </w:pPr>
      <w:r>
        <w:rPr>
          <w:i/>
          <w:iCs/>
          <w:sz w:val="20"/>
          <w:szCs w:val="20"/>
        </w:rPr>
        <w:t xml:space="preserve">Table R-5. Revision Log — R8</w:t>
      </w:r>
    </w:p>
    <w:p>
      <w:pPr>
        <w:pStyle w:val="Heading1"/>
        <w:spacing w:after="160" w:before="280"/>
      </w:pPr>
      <w:r>
        <w:rPr>
          <w:b/>
          <w:bCs/>
        </w:rPr>
        <w:t xml:space="preserve">Revision Log — R9 (this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600"/>
            <w:shd w:fill="D9D9D9" w:val="clear"/>
          </w:tcPr>
          <w:p>
            <w:r>
              <w:rPr>
                <w:b/>
                <w:bCs/>
                <w:sz w:val="20"/>
                <w:szCs w:val="20"/>
              </w:rPr>
              <w:t xml:space="preserve">Rationale</w:t>
            </w:r>
          </w:p>
        </w:tc>
      </w:tr>
      <w:tr>
        <w:tc>
          <w:tcPr>
            <w:tcW w:type="dxa" w:w="1000"/>
          </w:tcPr>
          <w:p>
            <w:r>
              <w:rPr>
                <w:b w:val="false"/>
                <w:bCs w:val="false"/>
                <w:sz w:val="20"/>
                <w:szCs w:val="20"/>
              </w:rPr>
              <w:t xml:space="preserve">R9-1</w:t>
            </w:r>
          </w:p>
        </w:tc>
        <w:tc>
          <w:tcPr>
            <w:tcW w:type="dxa" w:w="5760"/>
          </w:tcPr>
          <w:p>
            <w:r>
              <w:rPr>
                <w:b w:val="false"/>
                <w:bCs w:val="false"/>
                <w:sz w:val="20"/>
                <w:szCs w:val="20"/>
              </w:rPr>
              <w:t xml:space="preserve">Added Section 7.0a and Table 7-1a: three new Core Stack negotiation message types — Release (PAI/EAI → O8, intentional disconnection), Release_Ack (O8 → PAI/EAI, confirms release), and Force_Release (O8 → PAI/EAI, node-initiated forced disconnection). Table 7-1's message-types row updated to reference them.</w:t>
            </w:r>
          </w:p>
        </w:tc>
        <w:tc>
          <w:tcPr>
            <w:tcW w:type="dxa" w:w="2600"/>
          </w:tcPr>
          <w:p>
            <w:r>
              <w:rPr>
                <w:b w:val="false"/>
                <w:bCs w:val="false"/>
                <w:sz w:val="20"/>
                <w:szCs w:val="20"/>
              </w:rPr>
              <w:t xml:space="preserve">Per 창호. Surfaced while drafting WP#30 §5's wire-level encoding of WP#29's four original message types — an explicit-release message was missing at the architecture level, not just the encoding level, so it is fixed here first rather than added silently in WP#30.</w:t>
            </w:r>
          </w:p>
        </w:tc>
      </w:tr>
      <w:tr>
        <w:tc>
          <w:tcPr>
            <w:tcW w:type="dxa" w:w="1000"/>
          </w:tcPr>
          <w:p>
            <w:r>
              <w:rPr>
                <w:b w:val="false"/>
                <w:bCs w:val="false"/>
                <w:sz w:val="20"/>
                <w:szCs w:val="20"/>
              </w:rPr>
              <w:t xml:space="preserve">R9-2</w:t>
            </w:r>
          </w:p>
        </w:tc>
        <w:tc>
          <w:tcPr>
            <w:tcW w:type="dxa" w:w="5760"/>
          </w:tcPr>
          <w:p>
            <w:r>
              <w:rPr>
                <w:b w:val="false"/>
                <w:bCs w:val="false"/>
                <w:sz w:val="20"/>
                <w:szCs w:val="20"/>
              </w:rPr>
              <w:t xml:space="preserve">Documented Force_Release's trigger discipline: it is issued by the NPU's rule-based execution of the §10.7.2 self-healing sequence, not a discretionary judgment call.</w:t>
            </w:r>
          </w:p>
        </w:tc>
        <w:tc>
          <w:tcPr>
            <w:tcW w:type="dxa" w:w="2600"/>
          </w:tcPr>
          <w:p>
            <w:r>
              <w:rPr>
                <w:b w:val="false"/>
                <w:bCs w:val="false"/>
                <w:sz w:val="20"/>
                <w:szCs w:val="20"/>
              </w:rPr>
              <w:t xml:space="preserve">Confirms consistency with §6.2's principle that the NPU executes pre-defined deterministic responses rather than deciding outcomes itself.</w:t>
            </w:r>
          </w:p>
        </w:tc>
      </w:tr>
      <w:tr>
        <w:tc>
          <w:tcPr>
            <w:tcW w:type="dxa" w:w="1000"/>
          </w:tcPr>
          <w:p>
            <w:r>
              <w:rPr>
                <w:b w:val="false"/>
                <w:bCs w:val="false"/>
                <w:sz w:val="20"/>
                <w:szCs w:val="20"/>
              </w:rPr>
              <w:t xml:space="preserve">R9-3</w:t>
            </w:r>
          </w:p>
        </w:tc>
        <w:tc>
          <w:tcPr>
            <w:tcW w:type="dxa" w:w="5760"/>
          </w:tcPr>
          <w:p>
            <w:r>
              <w:rPr>
                <w:b w:val="false"/>
                <w:bCs w:val="false"/>
                <w:sz w:val="20"/>
                <w:szCs w:val="20"/>
              </w:rPr>
              <w:t xml:space="preserve">Document version updated to v1.8.</w:t>
            </w:r>
          </w:p>
        </w:tc>
        <w:tc>
          <w:tcPr>
            <w:tcW w:type="dxa" w:w="2600"/>
          </w:tcPr>
          <w:p>
            <w:r>
              <w:rPr>
                <w:b w:val="false"/>
                <w:bCs w:val="false"/>
                <w:sz w:val="20"/>
                <w:szCs w:val="20"/>
              </w:rPr>
              <w:t xml:space="preserve">Reflects the scope of this revision.</w:t>
            </w:r>
          </w:p>
        </w:tc>
      </w:tr>
    </w:tbl>
    <w:p>
      <w:pPr>
        <w:spacing w:after="200"/>
      </w:pPr>
      <w:r>
        <w:rPr>
          <w:i/>
          <w:iCs/>
          <w:sz w:val="20"/>
          <w:szCs w:val="20"/>
        </w:rPr>
        <w:t xml:space="preserve">Table R-6. Revision Log — R9</w:t>
      </w:r>
    </w:p>
    <w:p>
      <w:pPr>
        <w:pStyle w:val="Heading1"/>
        <w:spacing w:after="160" w:before="280"/>
      </w:pPr>
      <w:r>
        <w:rPr>
          <w:b/>
          <w:bCs/>
        </w:rPr>
        <w:t xml:space="preserve">Revision Log — R10 (this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600"/>
            <w:shd w:fill="D9D9D9" w:val="clear"/>
          </w:tcPr>
          <w:p>
            <w:r>
              <w:rPr>
                <w:b/>
                <w:bCs/>
                <w:sz w:val="20"/>
                <w:szCs w:val="20"/>
              </w:rPr>
              <w:t xml:space="preserve">Rationale</w:t>
            </w:r>
          </w:p>
        </w:tc>
      </w:tr>
      <w:tr>
        <w:tc>
          <w:tcPr>
            <w:tcW w:type="dxa" w:w="1000"/>
          </w:tcPr>
          <w:p>
            <w:r>
              <w:rPr>
                <w:b w:val="false"/>
                <w:bCs w:val="false"/>
                <w:sz w:val="20"/>
                <w:szCs w:val="20"/>
              </w:rPr>
              <w:t xml:space="preserve">R10-1</w:t>
            </w:r>
          </w:p>
        </w:tc>
        <w:tc>
          <w:tcPr>
            <w:tcW w:type="dxa" w:w="5760"/>
          </w:tcPr>
          <w:p>
            <w:r>
              <w:rPr>
                <w:b w:val="false"/>
                <w:bCs w:val="false"/>
                <w:sz w:val="20"/>
                <w:szCs w:val="20"/>
              </w:rPr>
              <w:t xml:space="preserve">Added a Mode B requirement for Master/Standby roles at §10.7.10: a node serving as Master or Standby (any tier) must be in Mode B (no PAI/EAI attached), not Mode A. A Mode A node remains valid for ordinary same-tier connectivity but is disqualified from the Master/Standby role specifically.</w:t>
            </w:r>
          </w:p>
        </w:tc>
        <w:tc>
          <w:tcPr>
            <w:tcW w:type="dxa" w:w="2600"/>
          </w:tcPr>
          <w:p>
            <w:r>
              <w:rPr>
                <w:b w:val="false"/>
                <w:bCs w:val="false"/>
                <w:sz w:val="20"/>
                <w:szCs w:val="20"/>
              </w:rPr>
              <w:t xml:space="preserve">Per 창호: a Mode A node's face capacity is shared with AI processing, leaving insufficient capacity to reliably fulfill the upward hypercube relay and failover-coordination role. Reuses the existing Mode A/B mechanism (§10.7.4) rather than introducing a new node-hardware category, per 창호's confirmed direction.</w:t>
            </w:r>
          </w:p>
        </w:tc>
      </w:tr>
      <w:tr>
        <w:tc>
          <w:tcPr>
            <w:tcW w:type="dxa" w:w="1000"/>
          </w:tcPr>
          <w:p>
            <w:r>
              <w:rPr>
                <w:b w:val="false"/>
                <w:bCs w:val="false"/>
                <w:sz w:val="20"/>
                <w:szCs w:val="20"/>
              </w:rPr>
              <w:t xml:space="preserve">R10-2</w:t>
            </w:r>
          </w:p>
        </w:tc>
        <w:tc>
          <w:tcPr>
            <w:tcW w:type="dxa" w:w="5760"/>
          </w:tcPr>
          <w:p>
            <w:r>
              <w:rPr>
                <w:b w:val="false"/>
                <w:bCs w:val="false"/>
                <w:sz w:val="20"/>
                <w:szCs w:val="20"/>
              </w:rPr>
              <w:t xml:space="preserve">Added Open Item OI-29-24: the mechanism for checking Mode A/B status before Master/Standby selection (static deployment-time constraint vs. dynamic check at failover time) is not specified.</w:t>
            </w:r>
          </w:p>
        </w:tc>
        <w:tc>
          <w:tcPr>
            <w:tcW w:type="dxa" w:w="2600"/>
          </w:tcPr>
          <w:p>
            <w:r>
              <w:rPr>
                <w:b w:val="false"/>
                <w:bCs w:val="false"/>
                <w:sz w:val="20"/>
                <w:szCs w:val="20"/>
              </w:rPr>
              <w:t xml:space="preserve">New gap surfaced by R10-1.</w:t>
            </w:r>
          </w:p>
        </w:tc>
      </w:tr>
      <w:tr>
        <w:tc>
          <w:tcPr>
            <w:tcW w:type="dxa" w:w="1000"/>
          </w:tcPr>
          <w:p>
            <w:r>
              <w:rPr>
                <w:b w:val="false"/>
                <w:bCs w:val="false"/>
                <w:sz w:val="20"/>
                <w:szCs w:val="20"/>
              </w:rPr>
              <w:t xml:space="preserve">R10-3</w:t>
            </w:r>
          </w:p>
        </w:tc>
        <w:tc>
          <w:tcPr>
            <w:tcW w:type="dxa" w:w="5760"/>
          </w:tcPr>
          <w:p>
            <w:r>
              <w:rPr>
                <w:b w:val="false"/>
                <w:bCs w:val="false"/>
                <w:sz w:val="20"/>
                <w:szCs w:val="20"/>
              </w:rPr>
              <w:t xml:space="preserve">Document version updated to v1.9.</w:t>
            </w:r>
          </w:p>
        </w:tc>
        <w:tc>
          <w:tcPr>
            <w:tcW w:type="dxa" w:w="2600"/>
          </w:tcPr>
          <w:p>
            <w:r>
              <w:rPr>
                <w:b w:val="false"/>
                <w:bCs w:val="false"/>
                <w:sz w:val="20"/>
                <w:szCs w:val="20"/>
              </w:rPr>
              <w:t xml:space="preserve">Reflects the scope of this revision.</w:t>
            </w:r>
          </w:p>
        </w:tc>
      </w:tr>
    </w:tbl>
    <w:p>
      <w:pPr>
        <w:spacing w:after="200"/>
      </w:pPr>
      <w:r>
        <w:rPr>
          <w:i/>
          <w:iCs/>
          <w:sz w:val="20"/>
          <w:szCs w:val="20"/>
        </w:rPr>
        <w:t xml:space="preserve">Table R-7. Revision Log — R10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600"/>
            <w:shd w:fill="D9D9D9" w:val="clear"/>
          </w:tcPr>
          <w:p>
            <w:r>
              <w:rPr>
                <w:b/>
                <w:bCs/>
                <w:sz w:val="20"/>
                <w:szCs w:val="20"/>
              </w:rPr>
              <w:t xml:space="preserve">Rationale</w:t>
            </w:r>
          </w:p>
        </w:tc>
      </w:tr>
      <w:tr>
        <w:tc>
          <w:tcPr>
            <w:tcW w:type="dxa" w:w="1000"/>
          </w:tcPr>
          <w:p>
            <w:r>
              <w:rPr>
                <w:b w:val="false"/>
                <w:bCs w:val="false"/>
                <w:sz w:val="20"/>
                <w:szCs w:val="20"/>
              </w:rPr>
              <w:t xml:space="preserve">R11-1</w:t>
            </w:r>
          </w:p>
        </w:tc>
        <w:tc>
          <w:tcPr>
            <w:tcW w:type="dxa" w:w="5760"/>
          </w:tcPr>
          <w:p>
            <w:r>
              <w:rPr>
                <w:b w:val="false"/>
                <w:bCs w:val="false"/>
                <w:sz w:val="20"/>
                <w:szCs w:val="20"/>
              </w:rPr>
              <w:t xml:space="preserve">Terminology correction: “connector”/“Connector Type” wording in §10.4 Table 10-1, §10.5 Table 10-2 header, and OI-29-09 replaced with “ribbon slot”/“Interface Type”/“MOCT ribbon” — MOCT is factory-fused with no field connectors (WP#03 §4.1–4.2, WP#24 §1.4), so labeling the fixed ribbon slots as “connectors” contradicted that invariant. No physical or numeric spec changed.</w:t>
            </w:r>
          </w:p>
        </w:tc>
        <w:tc>
          <w:tcPr>
            <w:tcW w:type="dxa" w:w="2600"/>
          </w:tcPr>
          <w:p>
            <w:r>
              <w:rPr>
                <w:b w:val="false"/>
                <w:bCs w:val="false"/>
                <w:sz w:val="20"/>
                <w:szCs w:val="20"/>
              </w:rPr>
              <w:t xml:space="preserve">Per 창호 review — terminology audit.</w:t>
            </w:r>
          </w:p>
        </w:tc>
      </w:tr>
      <w:tr>
        <w:tc>
          <w:tcPr>
            <w:tcW w:type="dxa" w:w="1000"/>
          </w:tcPr>
          <w:p>
            <w:r>
              <w:rPr>
                <w:b w:val="false"/>
                <w:bCs w:val="false"/>
                <w:sz w:val="20"/>
                <w:szCs w:val="20"/>
              </w:rPr>
              <w:t xml:space="preserve">R11-2</w:t>
            </w:r>
          </w:p>
        </w:tc>
        <w:tc>
          <w:tcPr>
            <w:tcW w:type="dxa" w:w="5760"/>
          </w:tcPr>
          <w:p>
            <w:r>
              <w:rPr>
                <w:b w:val="false"/>
                <w:bCs w:val="false"/>
                <w:sz w:val="20"/>
                <w:szCs w:val="20"/>
              </w:rPr>
              <w:t xml:space="preserve">Document version updated to v1.10.</w:t>
            </w:r>
          </w:p>
        </w:tc>
        <w:tc>
          <w:tcPr>
            <w:tcW w:type="dxa" w:w="2600"/>
          </w:tcPr>
          <w:p>
            <w:r>
              <w:rPr>
                <w:b w:val="false"/>
                <w:bCs w:val="false"/>
                <w:sz w:val="20"/>
                <w:szCs w:val="20"/>
              </w:rPr>
              <w:t xml:space="preserve">Reflects the scope of this revision.</w:t>
            </w:r>
          </w:p>
        </w:tc>
      </w:tr>
    </w:tbl>
    <w:p>
      <w:pPr>
        <w:spacing w:after="200"/>
      </w:pPr>
      <w:r>
        <w:rPr>
          <w:i/>
          <w:iCs/>
          <w:sz w:val="20"/>
          <w:szCs w:val="20"/>
        </w:rPr>
        <w:t xml:space="preserve">Table R-8. Revision Log — R11</w:t>
      </w:r>
    </w:p>
    <w:p>
      <w:pPr>
        <w:pStyle w:val="Heading1"/>
        <w:spacing w:after="160" w:before="280"/>
      </w:pPr>
      <w:r>
        <w:rPr>
          <w:b/>
          <w:bCs/>
        </w:rPr>
        <w:t xml:space="preserve">1. Purpose and Scope</w:t>
      </w:r>
    </w:p>
    <w:p>
      <w:pPr>
        <w:spacing w:after="160"/>
      </w:pPr>
      <w:r>
        <w:rPr>
          <w:b w:val="false"/>
          <w:bCs w:val="false"/>
          <w:i w:val="false"/>
          <w:iCs w:val="false"/>
          <w:sz w:val="22"/>
          <w:szCs w:val="22"/>
        </w:rPr>
        <w:t xml:space="preserve">WP#29 is the System Architecture Design (SAD) document for Velsanet network equipment at the O8/D12/I20 node level. It fulfills two deferrals recorded in WP#25's own revision log — R1-4 ("Geographic/topological placement of O8/D12/I20... will be addressed in a separate forthcoming document, not in WP#25") and R1-5 ("Core Stack Activation Condition is determined by negotiation... The negotiation protocol itself... [deferred]") — and absorbs the corresponding backlog already confirmed in Velsanet_Pending_Updates_Log §1 (Table 1).</w:t>
      </w:r>
    </w:p>
    <w:p>
      <w:pPr>
        <w:spacing w:after="160"/>
      </w:pPr>
      <w:r>
        <w:rPr>
          <w:b w:val="false"/>
          <w:bCs w:val="false"/>
          <w:i w:val="false"/>
          <w:iCs w:val="false"/>
          <w:sz w:val="22"/>
          <w:szCs w:val="22"/>
        </w:rPr>
        <w:t xml:space="preserve">This document also applies the Multi-Layer Multi-Plane Matrix principle — defined at the physical/photonic layer in the Velsanet Architecture Compendium §8 and fixed in patent claims 3–4 of the prior-art search report (1020220070628) — to the O8/D12/I20 node equipment layer specifically.</w:t>
      </w:r>
    </w:p>
    <w:p>
      <w:pPr>
        <w:spacing w:after="160"/>
      </w:pPr>
      <w:r>
        <w:rPr>
          <w:b w:val="false"/>
          <w:bCs w:val="false"/>
          <w:i w:val="false"/>
          <w:iCs w:val="false"/>
          <w:sz w:val="22"/>
          <w:szCs w:val="22"/>
        </w:rPr>
        <w:t xml:space="preserve">Scope includes: the Multi-Layer Multi-Plane Matrix principle restated for node equipment (Section 3); O8/D12/I20 block architecture including hierarchical topology projection and national orchestration (Section 4); density-driven geographic placement (Section 5); O8 core allocation (Section 6); the Core Stack negotiation protocol (Section 7); the node equipment interface to the Cognition Cube documents (Section 8); node physical architecture (Section 10); and, new in R5, O8 node operational architecture — Pass function, self-healing, dynamic mode allocation, and Master-Standby failover (Section 10.7).</w:t>
      </w:r>
    </w:p>
    <w:p>
      <w:pPr>
        <w:spacing w:after="160"/>
      </w:pPr>
      <w:r>
        <w:rPr>
          <w:b w:val="false"/>
          <w:bCs w:val="false"/>
          <w:i w:val="false"/>
          <w:iCs w:val="false"/>
          <w:sz w:val="22"/>
          <w:szCs w:val="22"/>
        </w:rPr>
        <w:t xml:space="preserve">Out of scope: the Cognition Cube RTL/register-level design itself (WP#24–26, unchanged here); node-to-node switching/routing RTL (proposed WP#30); schematic, BOM, PCB layout, and integration test planning (proposed WP#31–33).</w:t>
      </w:r>
    </w:p>
    <w:p>
      <w:pPr>
        <w:pStyle w:val="Heading1"/>
        <w:spacing w:after="160" w:before="280"/>
      </w:pPr>
      <w:r>
        <w:rPr>
          <w:b/>
          <w:bCs/>
        </w:rPr>
        <w:t xml:space="preserve">2. Positioning in the Document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shd w:fill="D9D9D9" w:val="clear"/>
          </w:tcPr>
          <w:p>
            <w:r>
              <w:rPr>
                <w:b/>
                <w:bCs/>
                <w:sz w:val="20"/>
                <w:szCs w:val="20"/>
              </w:rPr>
              <w:t xml:space="preserve">Doc No.</w:t>
            </w:r>
          </w:p>
        </w:tc>
        <w:tc>
          <w:tcPr>
            <w:tcW w:type="dxa" w:w="2600"/>
            <w:shd w:fill="D9D9D9" w:val="clear"/>
          </w:tcPr>
          <w:p>
            <w:r>
              <w:rPr>
                <w:b/>
                <w:bCs/>
                <w:sz w:val="20"/>
                <w:szCs w:val="20"/>
              </w:rPr>
              <w:t xml:space="preserve">Title</w:t>
            </w:r>
          </w:p>
        </w:tc>
        <w:tc>
          <w:tcPr>
            <w:tcW w:type="dxa" w:w="3660"/>
            <w:shd w:fill="D9D9D9" w:val="clear"/>
          </w:tcPr>
          <w:p>
            <w:r>
              <w:rPr>
                <w:b/>
                <w:bCs/>
                <w:sz w:val="20"/>
                <w:szCs w:val="20"/>
              </w:rPr>
              <w:t xml:space="preserve">Core Content</w:t>
            </w:r>
          </w:p>
        </w:tc>
        <w:tc>
          <w:tcPr>
            <w:tcW w:type="dxa" w:w="1500"/>
            <w:shd w:fill="D9D9D9" w:val="clear"/>
          </w:tcPr>
          <w:p>
            <w:r>
              <w:rPr>
                <w:b/>
                <w:bCs/>
                <w:sz w:val="20"/>
                <w:szCs w:val="20"/>
              </w:rPr>
              <w:t xml:space="preserve">Status</w:t>
            </w:r>
          </w:p>
        </w:tc>
      </w:tr>
      <w:tr>
        <w:tc>
          <w:tcPr>
            <w:tcW w:type="dxa" w:w="1600"/>
          </w:tcPr>
          <w:p>
            <w:r>
              <w:rPr>
                <w:b w:val="false"/>
                <w:bCs w:val="false"/>
                <w:sz w:val="20"/>
                <w:szCs w:val="20"/>
              </w:rPr>
              <w:t xml:space="preserve">WP #24</w:t>
            </w:r>
          </w:p>
        </w:tc>
        <w:tc>
          <w:tcPr>
            <w:tcW w:type="dxa" w:w="2600"/>
          </w:tcPr>
          <w:p>
            <w:r>
              <w:rPr>
                <w:b w:val="false"/>
                <w:bCs w:val="false"/>
                <w:sz w:val="20"/>
                <w:szCs w:val="20"/>
              </w:rPr>
              <w:t xml:space="preserve">Cognition Cube Physical Spec (HBM/HBF)</w:t>
            </w:r>
          </w:p>
        </w:tc>
        <w:tc>
          <w:tcPr>
            <w:tcW w:type="dxa" w:w="3660"/>
          </w:tcPr>
          <w:p>
            <w:r>
              <w:rPr>
                <w:b w:val="false"/>
                <w:bCs w:val="false"/>
                <w:sz w:val="20"/>
                <w:szCs w:val="20"/>
              </w:rPr>
              <w:t xml:space="preserve">WORM register map, HBF ACL bit fields, electrical interfaces</w:t>
            </w:r>
          </w:p>
        </w:tc>
        <w:tc>
          <w:tcPr>
            <w:tcW w:type="dxa" w:w="1500"/>
          </w:tcPr>
          <w:p>
            <w:r>
              <w:rPr>
                <w:b w:val="false"/>
                <w:bCs w:val="false"/>
                <w:sz w:val="20"/>
                <w:szCs w:val="20"/>
              </w:rPr>
              <w:t xml:space="preserve">Complete</w:t>
            </w:r>
          </w:p>
        </w:tc>
      </w:tr>
      <w:tr>
        <w:tc>
          <w:tcPr>
            <w:tcW w:type="dxa" w:w="1600"/>
          </w:tcPr>
          <w:p>
            <w:r>
              <w:rPr>
                <w:b w:val="false"/>
                <w:bCs w:val="false"/>
                <w:sz w:val="20"/>
                <w:szCs w:val="20"/>
              </w:rPr>
              <w:t xml:space="preserve">WP #25</w:t>
            </w:r>
          </w:p>
        </w:tc>
        <w:tc>
          <w:tcPr>
            <w:tcW w:type="dxa" w:w="2600"/>
          </w:tcPr>
          <w:p>
            <w:r>
              <w:rPr>
                <w:b w:val="false"/>
                <w:bCs w:val="false"/>
                <w:sz w:val="20"/>
                <w:szCs w:val="20"/>
              </w:rPr>
              <w:t xml:space="preserve">SEU1/SEU2 Synchronization Specification</w:t>
            </w:r>
          </w:p>
        </w:tc>
        <w:tc>
          <w:tcPr>
            <w:tcW w:type="dxa" w:w="3660"/>
          </w:tcPr>
          <w:p>
            <w:r>
              <w:rPr>
                <w:b w:val="false"/>
                <w:bCs w:val="false"/>
                <w:sz w:val="20"/>
                <w:szCs w:val="20"/>
              </w:rPr>
              <w:t xml:space="preserve">SEU1/SEU2 record format, PTP profiles, completeness algorithms</w:t>
            </w:r>
          </w:p>
        </w:tc>
        <w:tc>
          <w:tcPr>
            <w:tcW w:type="dxa" w:w="1500"/>
          </w:tcPr>
          <w:p>
            <w:r>
              <w:rPr>
                <w:b w:val="false"/>
                <w:bCs w:val="false"/>
                <w:sz w:val="20"/>
                <w:szCs w:val="20"/>
              </w:rPr>
              <w:t xml:space="preserve">Complete</w:t>
            </w:r>
          </w:p>
        </w:tc>
      </w:tr>
      <w:tr>
        <w:tc>
          <w:tcPr>
            <w:tcW w:type="dxa" w:w="1600"/>
          </w:tcPr>
          <w:p>
            <w:r>
              <w:rPr>
                <w:b w:val="false"/>
                <w:bCs w:val="false"/>
                <w:sz w:val="20"/>
                <w:szCs w:val="20"/>
              </w:rPr>
              <w:t xml:space="preserve">WP #26</w:t>
            </w:r>
          </w:p>
        </w:tc>
        <w:tc>
          <w:tcPr>
            <w:tcW w:type="dxa" w:w="2600"/>
          </w:tcPr>
          <w:p>
            <w:r>
              <w:rPr>
                <w:b w:val="false"/>
                <w:bCs w:val="false"/>
                <w:sz w:val="20"/>
                <w:szCs w:val="20"/>
              </w:rPr>
              <w:t xml:space="preserve">Dedicated Equipment FPGA/ASIC Design Guide</w:t>
            </w:r>
          </w:p>
        </w:tc>
        <w:tc>
          <w:tcPr>
            <w:tcW w:type="dxa" w:w="3660"/>
          </w:tcPr>
          <w:p>
            <w:r>
              <w:rPr>
                <w:b w:val="false"/>
                <w:bCs w:val="false"/>
                <w:sz w:val="20"/>
                <w:szCs w:val="20"/>
              </w:rPr>
              <w:t xml:space="preserve">SEU1/SEU2 RTL engine templates, FPGA→ASIC migration</w:t>
            </w:r>
          </w:p>
        </w:tc>
        <w:tc>
          <w:tcPr>
            <w:tcW w:type="dxa" w:w="1500"/>
          </w:tcPr>
          <w:p>
            <w:r>
              <w:rPr>
                <w:b w:val="false"/>
                <w:bCs w:val="false"/>
                <w:sz w:val="20"/>
                <w:szCs w:val="20"/>
              </w:rPr>
              <w:t xml:space="preserve">Complete — 12 open items</w:t>
            </w:r>
          </w:p>
        </w:tc>
      </w:tr>
      <w:tr>
        <w:tc>
          <w:tcPr>
            <w:tcW w:type="dxa" w:w="1600"/>
          </w:tcPr>
          <w:p>
            <w:r>
              <w:rPr>
                <w:b w:val="false"/>
                <w:bCs w:val="false"/>
                <w:sz w:val="20"/>
                <w:szCs w:val="20"/>
              </w:rPr>
              <w:t xml:space="preserve">WP #27</w:t>
            </w:r>
          </w:p>
        </w:tc>
        <w:tc>
          <w:tcPr>
            <w:tcW w:type="dxa" w:w="2600"/>
          </w:tcPr>
          <w:p>
            <w:r>
              <w:rPr>
                <w:b w:val="false"/>
                <w:bCs w:val="false"/>
                <w:sz w:val="20"/>
                <w:szCs w:val="20"/>
              </w:rPr>
              <w:t xml:space="preserve">PAI AI DC Deployment Guide</w:t>
            </w:r>
          </w:p>
        </w:tc>
        <w:tc>
          <w:tcPr>
            <w:tcW w:type="dxa" w:w="3660"/>
          </w:tcPr>
          <w:p>
            <w:r>
              <w:rPr>
                <w:b w:val="false"/>
                <w:bCs w:val="false"/>
                <w:sz w:val="20"/>
                <w:szCs w:val="20"/>
              </w:rPr>
              <w:t xml:space="preserve">Multi-instance parallel operation, rack wiring, DC power spec</w:t>
            </w:r>
          </w:p>
        </w:tc>
        <w:tc>
          <w:tcPr>
            <w:tcW w:type="dxa" w:w="1500"/>
          </w:tcPr>
          <w:p>
            <w:r>
              <w:rPr>
                <w:b w:val="false"/>
                <w:bCs w:val="false"/>
                <w:sz w:val="20"/>
                <w:szCs w:val="20"/>
              </w:rPr>
              <w:t xml:space="preserve">Complete</w:t>
            </w:r>
          </w:p>
        </w:tc>
      </w:tr>
      <w:tr>
        <w:tc>
          <w:tcPr>
            <w:tcW w:type="dxa" w:w="1600"/>
          </w:tcPr>
          <w:p>
            <w:r>
              <w:rPr>
                <w:b w:val="false"/>
                <w:bCs w:val="false"/>
                <w:sz w:val="20"/>
                <w:szCs w:val="20"/>
              </w:rPr>
              <w:t xml:space="preserve">WP #28</w:t>
            </w:r>
          </w:p>
        </w:tc>
        <w:tc>
          <w:tcPr>
            <w:tcW w:type="dxa" w:w="2600"/>
          </w:tcPr>
          <w:p>
            <w:r>
              <w:rPr>
                <w:b w:val="false"/>
                <w:bCs w:val="false"/>
                <w:sz w:val="20"/>
                <w:szCs w:val="20"/>
              </w:rPr>
              <w:t xml:space="preserve">EAI E2E Center Deployment Guide</w:t>
            </w:r>
          </w:p>
        </w:tc>
        <w:tc>
          <w:tcPr>
            <w:tcW w:type="dxa" w:w="3660"/>
          </w:tcPr>
          <w:p>
            <w:r>
              <w:rPr>
                <w:b w:val="false"/>
                <w:bCs w:val="false"/>
                <w:sz w:val="20"/>
                <w:szCs w:val="20"/>
              </w:rPr>
              <w:t xml:space="preserve">Outdoor install, CH11 independent power, Dual E2E field validation</w:t>
            </w:r>
          </w:p>
        </w:tc>
        <w:tc>
          <w:tcPr>
            <w:tcW w:type="dxa" w:w="1500"/>
          </w:tcPr>
          <w:p>
            <w:r>
              <w:rPr>
                <w:b w:val="false"/>
                <w:bCs w:val="false"/>
                <w:sz w:val="20"/>
                <w:szCs w:val="20"/>
              </w:rPr>
              <w:t xml:space="preserve">Complete</w:t>
            </w:r>
          </w:p>
        </w:tc>
      </w:tr>
      <w:tr>
        <w:tc>
          <w:tcPr>
            <w:tcW w:type="dxa" w:w="1600"/>
          </w:tcPr>
          <w:p>
            <w:r>
              <w:rPr>
                <w:b w:val="false"/>
                <w:bCs w:val="false"/>
                <w:sz w:val="20"/>
                <w:szCs w:val="20"/>
              </w:rPr>
              <w:t xml:space="preserve">WP #29</w:t>
            </w:r>
          </w:p>
        </w:tc>
        <w:tc>
          <w:tcPr>
            <w:tcW w:type="dxa" w:w="2600"/>
          </w:tcPr>
          <w:p>
            <w:r>
              <w:rPr>
                <w:b w:val="false"/>
                <w:bCs w:val="false"/>
                <w:sz w:val="20"/>
                <w:szCs w:val="20"/>
              </w:rPr>
              <w:t xml:space="preserve">Network Equipment SAD (this document)</w:t>
            </w:r>
          </w:p>
        </w:tc>
        <w:tc>
          <w:tcPr>
            <w:tcW w:type="dxa" w:w="3660"/>
          </w:tcPr>
          <w:p>
            <w:r>
              <w:rPr>
                <w:b w:val="false"/>
                <w:bCs w:val="false"/>
                <w:sz w:val="20"/>
                <w:szCs w:val="20"/>
              </w:rPr>
              <w:t xml:space="preserve">O8/D12/I20 block architecture, placement, Core Stack negotiation, O8 operational architecture, NPU-Matrix execution model</w:t>
            </w:r>
          </w:p>
        </w:tc>
        <w:tc>
          <w:tcPr>
            <w:tcW w:type="dxa" w:w="1500"/>
          </w:tcPr>
          <w:p>
            <w:r>
              <w:rPr>
                <w:b w:val="false"/>
                <w:bCs w:val="false"/>
                <w:sz w:val="20"/>
                <w:szCs w:val="20"/>
              </w:rPr>
              <w:t xml:space="preserve">Complete — v1.10</w:t>
            </w:r>
          </w:p>
        </w:tc>
      </w:tr>
      <w:tr>
        <w:tc>
          <w:tcPr>
            <w:tcW w:type="dxa" w:w="1600"/>
          </w:tcPr>
          <w:p>
            <w:r>
              <w:rPr>
                <w:b w:val="false"/>
                <w:bCs w:val="false"/>
                <w:sz w:val="20"/>
                <w:szCs w:val="20"/>
              </w:rPr>
              <w:t xml:space="preserve">WP #30 (proposed)</w:t>
            </w:r>
          </w:p>
        </w:tc>
        <w:tc>
          <w:tcPr>
            <w:tcW w:type="dxa" w:w="2600"/>
          </w:tcPr>
          <w:p>
            <w:r>
              <w:rPr>
                <w:b w:val="false"/>
                <w:bCs w:val="false"/>
                <w:sz w:val="20"/>
                <w:szCs w:val="20"/>
              </w:rPr>
              <w:t xml:space="preserve">Network Equipment RTL &amp; Physical Design (Switching/Routing)</w:t>
            </w:r>
          </w:p>
        </w:tc>
        <w:tc>
          <w:tcPr>
            <w:tcW w:type="dxa" w:w="3660"/>
          </w:tcPr>
          <w:p>
            <w:r>
              <w:rPr>
                <w:b w:val="false"/>
                <w:bCs w:val="false"/>
                <w:sz w:val="20"/>
                <w:szCs w:val="20"/>
              </w:rPr>
              <w:t xml:space="preserve">Node-to-node switching/routing logic (RTL) + Matrix physical implementation: semiconductor circuit design, FPGA→ASIC process migration, die-level layout — distinct from WP#32's PCB-level layout</w:t>
            </w:r>
          </w:p>
        </w:tc>
        <w:tc>
          <w:tcPr>
            <w:tcW w:type="dxa" w:w="1500"/>
          </w:tcPr>
          <w:p>
            <w:r>
              <w:rPr>
                <w:b w:val="false"/>
                <w:bCs w:val="false"/>
                <w:sz w:val="20"/>
                <w:szCs w:val="20"/>
              </w:rPr>
              <w:t xml:space="preserve">Proposed — next</w:t>
            </w:r>
          </w:p>
        </w:tc>
      </w:tr>
      <w:tr>
        <w:tc>
          <w:tcPr>
            <w:tcW w:type="dxa" w:w="1600"/>
          </w:tcPr>
          <w:p>
            <w:r>
              <w:rPr>
                <w:b w:val="false"/>
                <w:bCs w:val="false"/>
                <w:sz w:val="20"/>
                <w:szCs w:val="20"/>
              </w:rPr>
              <w:t xml:space="preserve">WP #31 (proposed)</w:t>
            </w:r>
          </w:p>
        </w:tc>
        <w:tc>
          <w:tcPr>
            <w:tcW w:type="dxa" w:w="2600"/>
          </w:tcPr>
          <w:p>
            <w:r>
              <w:rPr>
                <w:b w:val="false"/>
                <w:bCs w:val="false"/>
                <w:sz w:val="20"/>
                <w:szCs w:val="20"/>
              </w:rPr>
              <w:t xml:space="preserve">Schematic &amp; BOM</w:t>
            </w:r>
          </w:p>
        </w:tc>
        <w:tc>
          <w:tcPr>
            <w:tcW w:type="dxa" w:w="3660"/>
          </w:tcPr>
          <w:p>
            <w:r>
              <w:rPr>
                <w:b w:val="false"/>
                <w:bCs w:val="false"/>
                <w:sz w:val="20"/>
                <w:szCs w:val="20"/>
              </w:rPr>
              <w:t xml:space="preserve">800G transceiver, FPGA/ASIC, power circuit connections</w:t>
            </w:r>
          </w:p>
        </w:tc>
        <w:tc>
          <w:tcPr>
            <w:tcW w:type="dxa" w:w="1500"/>
          </w:tcPr>
          <w:p>
            <w:r>
              <w:rPr>
                <w:b w:val="false"/>
                <w:bCs w:val="false"/>
                <w:sz w:val="20"/>
                <w:szCs w:val="20"/>
              </w:rPr>
              <w:t xml:space="preserve">Proposed</w:t>
            </w:r>
          </w:p>
        </w:tc>
      </w:tr>
      <w:tr>
        <w:tc>
          <w:tcPr>
            <w:tcW w:type="dxa" w:w="1600"/>
          </w:tcPr>
          <w:p>
            <w:r>
              <w:rPr>
                <w:b w:val="false"/>
                <w:bCs w:val="false"/>
                <w:sz w:val="20"/>
                <w:szCs w:val="20"/>
              </w:rPr>
              <w:t xml:space="preserve">WP #32 (proposed)</w:t>
            </w:r>
          </w:p>
        </w:tc>
        <w:tc>
          <w:tcPr>
            <w:tcW w:type="dxa" w:w="2600"/>
          </w:tcPr>
          <w:p>
            <w:r>
              <w:rPr>
                <w:b w:val="false"/>
                <w:bCs w:val="false"/>
                <w:sz w:val="20"/>
                <w:szCs w:val="20"/>
              </w:rPr>
              <w:t xml:space="preserve">PCB Layout Design</w:t>
            </w:r>
          </w:p>
        </w:tc>
        <w:tc>
          <w:tcPr>
            <w:tcW w:type="dxa" w:w="3660"/>
          </w:tcPr>
          <w:p>
            <w:r>
              <w:rPr>
                <w:b w:val="false"/>
                <w:bCs w:val="false"/>
                <w:sz w:val="20"/>
                <w:szCs w:val="20"/>
              </w:rPr>
              <w:t xml:space="preserve">800G PAM4 board-level placement/routing, thermal design</w:t>
            </w:r>
          </w:p>
        </w:tc>
        <w:tc>
          <w:tcPr>
            <w:tcW w:type="dxa" w:w="1500"/>
          </w:tcPr>
          <w:p>
            <w:r>
              <w:rPr>
                <w:b w:val="false"/>
                <w:bCs w:val="false"/>
                <w:sz w:val="20"/>
                <w:szCs w:val="20"/>
              </w:rPr>
              <w:t xml:space="preserve">Proposed</w:t>
            </w:r>
          </w:p>
        </w:tc>
      </w:tr>
      <w:tr>
        <w:tc>
          <w:tcPr>
            <w:tcW w:type="dxa" w:w="1600"/>
          </w:tcPr>
          <w:p>
            <w:r>
              <w:rPr>
                <w:b w:val="false"/>
                <w:bCs w:val="false"/>
                <w:sz w:val="20"/>
                <w:szCs w:val="20"/>
              </w:rPr>
              <w:t xml:space="preserve">WP #33 (proposed)</w:t>
            </w:r>
          </w:p>
        </w:tc>
        <w:tc>
          <w:tcPr>
            <w:tcW w:type="dxa" w:w="2600"/>
          </w:tcPr>
          <w:p>
            <w:r>
              <w:rPr>
                <w:b w:val="false"/>
                <w:bCs w:val="false"/>
                <w:sz w:val="20"/>
                <w:szCs w:val="20"/>
              </w:rPr>
              <w:t xml:space="preserve">Integration Test Plan</w:t>
            </w:r>
          </w:p>
        </w:tc>
        <w:tc>
          <w:tcPr>
            <w:tcW w:type="dxa" w:w="3660"/>
          </w:tcPr>
          <w:p>
            <w:r>
              <w:rPr>
                <w:b w:val="false"/>
                <w:bCs w:val="false"/>
                <w:sz w:val="20"/>
                <w:szCs w:val="20"/>
              </w:rPr>
              <w:t xml:space="preserve">Node-to-node connectivity, fault recovery, performance testing</w:t>
            </w:r>
          </w:p>
        </w:tc>
        <w:tc>
          <w:tcPr>
            <w:tcW w:type="dxa" w:w="1500"/>
          </w:tcPr>
          <w:p>
            <w:r>
              <w:rPr>
                <w:b w:val="false"/>
                <w:bCs w:val="false"/>
                <w:sz w:val="20"/>
                <w:szCs w:val="20"/>
              </w:rPr>
              <w:t xml:space="preserve">Proposed</w:t>
            </w:r>
          </w:p>
        </w:tc>
      </w:tr>
    </w:tbl>
    <w:p>
      <w:pPr>
        <w:spacing w:after="200"/>
      </w:pPr>
      <w:r>
        <w:rPr>
          <w:i/>
          <w:iCs/>
          <w:sz w:val="20"/>
          <w:szCs w:val="20"/>
        </w:rPr>
        <w:t xml:space="preserve">Table 2-1. Document Sequence — Updated at WP#29 v1.10</w:t>
      </w:r>
    </w:p>
    <w:p>
      <w:pPr>
        <w:pStyle w:val="Heading1"/>
        <w:spacing w:after="160" w:before="280"/>
      </w:pPr>
      <w:r>
        <w:rPr>
          <w:b/>
          <w:bCs/>
        </w:rPr>
        <w:t xml:space="preserve">3. Multi-Layer Multi-Plane Matrix — Principle Recap</w:t>
      </w:r>
    </w:p>
    <w:p>
      <w:pPr>
        <w:spacing w:after="160"/>
      </w:pPr>
      <w:r>
        <w:rPr>
          <w:b w:val="false"/>
          <w:bCs w:val="false"/>
          <w:i w:val="false"/>
          <w:iCs w:val="false"/>
          <w:sz w:val="22"/>
          <w:szCs w:val="22"/>
        </w:rPr>
        <w:t xml:space="preserve">The Velsanet Architecture Compendium §8 ("Layered Matrix–Transceiver Physical Structure") defines the Multi-Layer Multi-Plane Matrix as the structure formed jointly by the MOCT transceiver, the polymer-form optical core layer, and the matrix itself — coupled through the Multi-Layer Ribbon Fiber Coupling System (MLRFCS).</w:t>
      </w:r>
    </w:p>
    <w:p>
      <w:pPr>
        <w:spacing w:after="160"/>
      </w:pPr>
      <w:r>
        <w:rPr>
          <w:b w:val="false"/>
          <w:bCs w:val="false"/>
          <w:i w:val="false"/>
          <w:iCs w:val="false"/>
          <w:sz w:val="22"/>
          <w:szCs w:val="22"/>
        </w:rPr>
        <w:t xml:space="preserve">The same concept is fixed in patent claim language (prior-art search report 1020220070628): claim 3 defines the matrix as the mechanism by which a hardware connection request is routed through multiple channels to a transmission port; claim 4 extends this to multi-directional transmission toward neighboring channel exchangers, including channel-number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D9D9D9" w:val="clear"/>
          </w:tcPr>
          <w:p>
            <w:r>
              <w:rPr>
                <w:b/>
                <w:bCs/>
                <w:sz w:val="20"/>
                <w:szCs w:val="20"/>
              </w:rPr>
              <w:t xml:space="preserve">Layer</w:t>
            </w:r>
          </w:p>
        </w:tc>
        <w:tc>
          <w:tcPr>
            <w:tcW w:type="dxa" w:w="6360"/>
            <w:shd w:fill="D9D9D9" w:val="clear"/>
          </w:tcPr>
          <w:p>
            <w:r>
              <w:rPr>
                <w:b/>
                <w:bCs/>
                <w:sz w:val="20"/>
                <w:szCs w:val="20"/>
              </w:rPr>
              <w:t xml:space="preserve">What the Matrix Does at That Layer</w:t>
            </w:r>
          </w:p>
        </w:tc>
      </w:tr>
      <w:tr>
        <w:tc>
          <w:tcPr>
            <w:tcW w:type="dxa" w:w="3000"/>
          </w:tcPr>
          <w:p>
            <w:r>
              <w:rPr>
                <w:b w:val="false"/>
                <w:bCs w:val="false"/>
                <w:sz w:val="20"/>
                <w:szCs w:val="20"/>
              </w:rPr>
              <w:t xml:space="preserve">Photonic (Compendium §8)</w:t>
            </w:r>
          </w:p>
        </w:tc>
        <w:tc>
          <w:tcPr>
            <w:tcW w:type="dxa" w:w="6360"/>
          </w:tcPr>
          <w:p>
            <w:r>
              <w:rPr>
                <w:b w:val="false"/>
                <w:bCs w:val="false"/>
                <w:sz w:val="20"/>
                <w:szCs w:val="20"/>
              </w:rPr>
              <w:t xml:space="preserve">Physical channel/core coupling between MOCT transceiver and ribbon fiber assembly — deterministic, passive, no round-trip</w:t>
            </w:r>
          </w:p>
        </w:tc>
      </w:tr>
      <w:tr>
        <w:tc>
          <w:tcPr>
            <w:tcW w:type="dxa" w:w="3000"/>
          </w:tcPr>
          <w:p>
            <w:r>
              <w:rPr>
                <w:b w:val="false"/>
                <w:bCs w:val="false"/>
                <w:sz w:val="20"/>
                <w:szCs w:val="20"/>
              </w:rPr>
              <w:t xml:space="preserve">Equipment/node (this document)</w:t>
            </w:r>
          </w:p>
        </w:tc>
        <w:tc>
          <w:tcPr>
            <w:tcW w:type="dxa" w:w="6360"/>
          </w:tcPr>
          <w:p>
            <w:r>
              <w:rPr>
                <w:b w:val="false"/>
                <w:bCs w:val="false"/>
                <w:sz w:val="20"/>
                <w:szCs w:val="20"/>
              </w:rPr>
              <w:t xml:space="preserve">Channel switching and multi-directional transmission between O8/D12/I20 nodes — same claim-3/4 mechanism at the node-to-node level</w:t>
            </w:r>
          </w:p>
        </w:tc>
      </w:tr>
      <w:tr>
        <w:tc>
          <w:tcPr>
            <w:tcW w:type="dxa" w:w="3000"/>
          </w:tcPr>
          <w:p>
            <w:r>
              <w:rPr>
                <w:b w:val="false"/>
                <w:bCs w:val="false"/>
                <w:sz w:val="20"/>
                <w:szCs w:val="20"/>
              </w:rPr>
              <w:t xml:space="preserve">Intra-node (WP#26)</w:t>
            </w:r>
          </w:p>
        </w:tc>
        <w:tc>
          <w:tcPr>
            <w:tcW w:type="dxa" w:w="6360"/>
          </w:tcPr>
          <w:p>
            <w:r>
              <w:rPr>
                <w:b w:val="false"/>
                <w:bCs w:val="false"/>
                <w:sz w:val="20"/>
                <w:szCs w:val="20"/>
              </w:rPr>
              <w:t xml:space="preserve">SEU1/SEU2 RTL engines — internal to a single Dedicated Equipment instance, not the inter-node matrix</w:t>
            </w:r>
          </w:p>
        </w:tc>
      </w:tr>
    </w:tbl>
    <w:p>
      <w:pPr>
        <w:spacing w:after="200"/>
      </w:pPr>
      <w:r>
        <w:rPr>
          <w:i/>
          <w:iCs/>
          <w:sz w:val="20"/>
          <w:szCs w:val="20"/>
        </w:rPr>
        <w:t xml:space="preserve">Table 3-1. Multi-Layer Multi-Plane Matrix — Scope by Layer</w:t>
      </w:r>
    </w:p>
    <w:p>
      <w:pPr>
        <w:spacing w:after="160"/>
      </w:pPr>
      <w:r>
        <w:rPr>
          <w:b w:val="false"/>
          <w:bCs w:val="false"/>
          <w:i w:val="false"/>
          <w:iCs w:val="false"/>
          <w:sz w:val="22"/>
          <w:szCs w:val="22"/>
        </w:rPr>
        <w:t xml:space="preserve">This document is specifically about the middle row: how the matrix principle governs O8/D12/I20 node equipment.</w:t>
      </w:r>
    </w:p>
    <w:p>
      <w:pPr>
        <w:pStyle w:val="Heading1"/>
        <w:spacing w:after="160" w:before="280"/>
      </w:pPr>
      <w:r>
        <w:rPr>
          <w:b/>
          <w:bCs/>
        </w:rPr>
        <w:t xml:space="preserve">4. O8/D12/I20 Node Block Architecture</w:t>
      </w:r>
    </w:p>
    <w:p>
      <w:pPr>
        <w:spacing w:after="160"/>
      </w:pPr>
      <w:r>
        <w:rPr>
          <w:b w:val="false"/>
          <w:bCs w:val="false"/>
          <w:i w:val="false"/>
          <w:iCs w:val="false"/>
          <w:sz w:val="22"/>
          <w:szCs w:val="22"/>
        </w:rPr>
        <w:t xml:space="preserve">Node roles and Q-layer assignments are fixed at WP#20 §5.3 and restated unchanged here as the block-architecture baseline for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shd w:fill="D9D9D9" w:val="clear"/>
          </w:tcPr>
          <w:p>
            <w:r>
              <w:rPr>
                <w:b/>
                <w:bCs/>
                <w:sz w:val="20"/>
                <w:szCs w:val="20"/>
              </w:rPr>
              <w:t xml:space="preserve">Node</w:t>
            </w:r>
          </w:p>
        </w:tc>
        <w:tc>
          <w:tcPr>
            <w:tcW w:type="dxa" w:w="1800"/>
            <w:shd w:fill="D9D9D9" w:val="clear"/>
          </w:tcPr>
          <w:p>
            <w:r>
              <w:rPr>
                <w:b/>
                <w:bCs/>
                <w:sz w:val="20"/>
                <w:szCs w:val="20"/>
              </w:rPr>
              <w:t xml:space="preserve">Q Layer</w:t>
            </w:r>
          </w:p>
        </w:tc>
        <w:tc>
          <w:tcPr>
            <w:tcW w:type="dxa" w:w="1300"/>
            <w:shd w:fill="D9D9D9" w:val="clear"/>
          </w:tcPr>
          <w:p>
            <w:r>
              <w:rPr>
                <w:b/>
                <w:bCs/>
                <w:sz w:val="20"/>
                <w:szCs w:val="20"/>
              </w:rPr>
              <w:t xml:space="preserve">AI Layer</w:t>
            </w:r>
          </w:p>
        </w:tc>
        <w:tc>
          <w:tcPr>
            <w:tcW w:type="dxa" w:w="5060"/>
            <w:shd w:fill="D9D9D9" w:val="clear"/>
          </w:tcPr>
          <w:p>
            <w:r>
              <w:rPr>
                <w:b/>
                <w:bCs/>
                <w:sz w:val="20"/>
                <w:szCs w:val="20"/>
              </w:rPr>
              <w:t xml:space="preserve">Structural Role</w:t>
            </w:r>
          </w:p>
        </w:tc>
      </w:tr>
      <w:tr>
        <w:tc>
          <w:tcPr>
            <w:tcW w:type="dxa" w:w="1200"/>
          </w:tcPr>
          <w:p>
            <w:r>
              <w:rPr>
                <w:b w:val="false"/>
                <w:bCs w:val="false"/>
                <w:sz w:val="20"/>
                <w:szCs w:val="20"/>
              </w:rPr>
              <w:t xml:space="preserve">T4</w:t>
            </w:r>
          </w:p>
        </w:tc>
        <w:tc>
          <w:tcPr>
            <w:tcW w:type="dxa" w:w="1800"/>
          </w:tcPr>
          <w:p>
            <w:r>
              <w:rPr>
                <w:b w:val="false"/>
                <w:bCs w:val="false"/>
                <w:sz w:val="20"/>
                <w:szCs w:val="20"/>
              </w:rPr>
              <w:t xml:space="preserve">None (Autonomous)</w:t>
            </w:r>
          </w:p>
        </w:tc>
        <w:tc>
          <w:tcPr>
            <w:tcW w:type="dxa" w:w="1300"/>
          </w:tcPr>
          <w:p>
            <w:r>
              <w:rPr>
                <w:b w:val="false"/>
                <w:bCs w:val="false"/>
                <w:sz w:val="20"/>
                <w:szCs w:val="20"/>
              </w:rPr>
              <w:t xml:space="preserve">None</w:t>
            </w:r>
          </w:p>
        </w:tc>
        <w:tc>
          <w:tcPr>
            <w:tcW w:type="dxa" w:w="5060"/>
          </w:tcPr>
          <w:p>
            <w:r>
              <w:rPr>
                <w:b w:val="false"/>
                <w:bCs w:val="false"/>
                <w:sz w:val="20"/>
                <w:szCs w:val="20"/>
              </w:rPr>
              <w:t xml:space="preserve">Personal / minimal access — rhizome origin, free connection, no positional constraint</w:t>
            </w:r>
          </w:p>
        </w:tc>
      </w:tr>
      <w:tr>
        <w:tc>
          <w:tcPr>
            <w:tcW w:type="dxa" w:w="1200"/>
          </w:tcPr>
          <w:p>
            <w:r>
              <w:rPr>
                <w:b w:val="false"/>
                <w:bCs w:val="false"/>
                <w:sz w:val="20"/>
                <w:szCs w:val="20"/>
              </w:rPr>
              <w:t xml:space="preserve">H6</w:t>
            </w:r>
          </w:p>
        </w:tc>
        <w:tc>
          <w:tcPr>
            <w:tcW w:type="dxa" w:w="1800"/>
          </w:tcPr>
          <w:p>
            <w:r>
              <w:rPr>
                <w:b w:val="false"/>
                <w:bCs w:val="false"/>
                <w:sz w:val="20"/>
                <w:szCs w:val="20"/>
              </w:rPr>
              <w:t xml:space="preserve">None (Autonomous)</w:t>
            </w:r>
          </w:p>
        </w:tc>
        <w:tc>
          <w:tcPr>
            <w:tcW w:type="dxa" w:w="1300"/>
          </w:tcPr>
          <w:p>
            <w:r>
              <w:rPr>
                <w:b w:val="false"/>
                <w:bCs w:val="false"/>
                <w:sz w:val="20"/>
                <w:szCs w:val="20"/>
              </w:rPr>
              <w:t xml:space="preserve">None</w:t>
            </w:r>
          </w:p>
        </w:tc>
        <w:tc>
          <w:tcPr>
            <w:tcW w:type="dxa" w:w="5060"/>
          </w:tcPr>
          <w:p>
            <w:r>
              <w:rPr>
                <w:b w:val="false"/>
                <w:bCs w:val="false"/>
                <w:sz w:val="20"/>
                <w:szCs w:val="20"/>
              </w:rPr>
              <w:t xml:space="preserve">Physical / RAN mapping — anchors to physical infrastructure; core count fixed and bounded</w:t>
            </w:r>
          </w:p>
        </w:tc>
      </w:tr>
      <w:tr>
        <w:tc>
          <w:tcPr>
            <w:tcW w:type="dxa" w:w="1200"/>
          </w:tcPr>
          <w:p>
            <w:r>
              <w:rPr>
                <w:b w:val="false"/>
                <w:bCs w:val="false"/>
                <w:sz w:val="20"/>
                <w:szCs w:val="20"/>
              </w:rPr>
              <w:t xml:space="preserve">O8</w:t>
            </w:r>
          </w:p>
        </w:tc>
        <w:tc>
          <w:tcPr>
            <w:tcW w:type="dxa" w:w="1800"/>
          </w:tcPr>
          <w:p>
            <w:r>
              <w:rPr>
                <w:b w:val="false"/>
                <w:bCs w:val="false"/>
                <w:sz w:val="20"/>
                <w:szCs w:val="20"/>
              </w:rPr>
              <w:t xml:space="preserve">Q6 or above</w:t>
            </w:r>
          </w:p>
        </w:tc>
        <w:tc>
          <w:tcPr>
            <w:tcW w:type="dxa" w:w="1300"/>
          </w:tcPr>
          <w:p>
            <w:r>
              <w:rPr>
                <w:b w:val="false"/>
                <w:bCs w:val="false"/>
                <w:sz w:val="20"/>
                <w:szCs w:val="20"/>
              </w:rPr>
              <w:t xml:space="preserve">PAI</w:t>
            </w:r>
          </w:p>
        </w:tc>
        <w:tc>
          <w:tcPr>
            <w:tcW w:type="dxa" w:w="5060"/>
          </w:tcPr>
          <w:p>
            <w:r>
              <w:rPr>
                <w:b w:val="false"/>
                <w:bCs w:val="false"/>
                <w:sz w:val="20"/>
                <w:szCs w:val="20"/>
              </w:rPr>
              <w:t xml:space="preserve">Access / City Layer — first intelligence tier; PAI natively embedded for city-scale coordination</w:t>
            </w:r>
          </w:p>
        </w:tc>
      </w:tr>
      <w:tr>
        <w:tc>
          <w:tcPr>
            <w:tcW w:type="dxa" w:w="1200"/>
          </w:tcPr>
          <w:p>
            <w:r>
              <w:rPr>
                <w:b w:val="false"/>
                <w:bCs w:val="false"/>
                <w:sz w:val="20"/>
                <w:szCs w:val="20"/>
              </w:rPr>
              <w:t xml:space="preserve">D12</w:t>
            </w:r>
          </w:p>
        </w:tc>
        <w:tc>
          <w:tcPr>
            <w:tcW w:type="dxa" w:w="1800"/>
          </w:tcPr>
          <w:p>
            <w:r>
              <w:rPr>
                <w:b w:val="false"/>
                <w:bCs w:val="false"/>
                <w:sz w:val="20"/>
                <w:szCs w:val="20"/>
              </w:rPr>
              <w:t xml:space="preserve">Q4–Q6</w:t>
            </w:r>
          </w:p>
        </w:tc>
        <w:tc>
          <w:tcPr>
            <w:tcW w:type="dxa" w:w="1300"/>
          </w:tcPr>
          <w:p>
            <w:r>
              <w:rPr>
                <w:b w:val="false"/>
                <w:bCs w:val="false"/>
                <w:sz w:val="20"/>
                <w:szCs w:val="20"/>
              </w:rPr>
              <w:t xml:space="preserve">AAI</w:t>
            </w:r>
          </w:p>
        </w:tc>
        <w:tc>
          <w:tcPr>
            <w:tcW w:type="dxa" w:w="5060"/>
          </w:tcPr>
          <w:p>
            <w:r>
              <w:rPr>
                <w:b w:val="false"/>
                <w:bCs w:val="false"/>
                <w:sz w:val="20"/>
                <w:szCs w:val="20"/>
              </w:rPr>
              <w:t xml:space="preserve">Regional Coordination — multi-domain agent AI, coordinates across multiple O8 clusters within a region</w:t>
            </w:r>
          </w:p>
        </w:tc>
      </w:tr>
      <w:tr>
        <w:tc>
          <w:tcPr>
            <w:tcW w:type="dxa" w:w="1200"/>
          </w:tcPr>
          <w:p>
            <w:r>
              <w:rPr>
                <w:b w:val="false"/>
                <w:bCs w:val="false"/>
                <w:sz w:val="20"/>
                <w:szCs w:val="20"/>
              </w:rPr>
              <w:t xml:space="preserve">I20</w:t>
            </w:r>
          </w:p>
        </w:tc>
        <w:tc>
          <w:tcPr>
            <w:tcW w:type="dxa" w:w="1800"/>
          </w:tcPr>
          <w:p>
            <w:r>
              <w:rPr>
                <w:b w:val="false"/>
                <w:bCs w:val="false"/>
                <w:sz w:val="20"/>
                <w:szCs w:val="20"/>
              </w:rPr>
              <w:t xml:space="preserve">Q3–Q4</w:t>
            </w:r>
          </w:p>
        </w:tc>
        <w:tc>
          <w:tcPr>
            <w:tcW w:type="dxa" w:w="1300"/>
          </w:tcPr>
          <w:p>
            <w:r>
              <w:rPr>
                <w:b w:val="false"/>
                <w:bCs w:val="false"/>
                <w:sz w:val="20"/>
                <w:szCs w:val="20"/>
              </w:rPr>
              <w:t xml:space="preserve">AsAI</w:t>
            </w:r>
          </w:p>
        </w:tc>
        <w:tc>
          <w:tcPr>
            <w:tcW w:type="dxa" w:w="5060"/>
          </w:tcPr>
          <w:p>
            <w:r>
              <w:rPr>
                <w:b w:val="false"/>
                <w:bCs w:val="false"/>
                <w:sz w:val="20"/>
                <w:szCs w:val="20"/>
              </w:rPr>
              <w:t xml:space="preserve">Global / Sovereign Judgment — highest intelligence tier, structural authority at national/continental scale</w:t>
            </w:r>
          </w:p>
        </w:tc>
      </w:tr>
    </w:tbl>
    <w:p>
      <w:pPr>
        <w:spacing w:after="200"/>
      </w:pPr>
      <w:r>
        <w:rPr>
          <w:i/>
          <w:iCs/>
          <w:sz w:val="20"/>
          <w:szCs w:val="20"/>
        </w:rPr>
        <w:t xml:space="preserve">Table 4-1. Node Intelligence Hierarchy (restated from WP#20 Table, §5.3)</w:t>
      </w:r>
    </w:p>
    <w:p>
      <w:pPr>
        <w:spacing w:after="160"/>
      </w:pPr>
      <w:r>
        <w:rPr>
          <w:b w:val="false"/>
          <w:bCs w:val="false"/>
          <w:i w:val="false"/>
          <w:iCs w:val="false"/>
          <w:sz w:val="22"/>
          <w:szCs w:val="22"/>
        </w:rPr>
        <w:t xml:space="preserve">O8's cumulative cubification compression, fixed at WP#24 §8.2–§8.3, is restated here as the traffic-volume baseline against which this document's core-allocation decisions (Section 6) are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shd w:fill="D9D9D9" w:val="clear"/>
          </w:tcPr>
          <w:p>
            <w:r>
              <w:rPr>
                <w:b/>
                <w:bCs/>
                <w:sz w:val="20"/>
                <w:szCs w:val="20"/>
              </w:rPr>
              <w:t xml:space="preserve">Layer</w:t>
            </w:r>
          </w:p>
        </w:tc>
        <w:tc>
          <w:tcPr>
            <w:tcW w:type="dxa" w:w="3120"/>
            <w:shd w:fill="D9D9D9" w:val="clear"/>
          </w:tcPr>
          <w:p>
            <w:r>
              <w:rPr>
                <w:b/>
                <w:bCs/>
                <w:sz w:val="20"/>
                <w:szCs w:val="20"/>
              </w:rPr>
              <w:t xml:space="preserve">Input Channels</w:t>
            </w:r>
          </w:p>
        </w:tc>
        <w:tc>
          <w:tcPr>
            <w:tcW w:type="dxa" w:w="3120"/>
            <w:shd w:fill="D9D9D9" w:val="clear"/>
          </w:tcPr>
          <w:p>
            <w:r>
              <w:rPr>
                <w:b/>
                <w:bCs/>
                <w:sz w:val="20"/>
                <w:szCs w:val="20"/>
              </w:rPr>
              <w:t xml:space="preserve">Output Channels (Cumulative Reduction)</w:t>
            </w:r>
          </w:p>
        </w:tc>
      </w:tr>
      <w:tr>
        <w:tc>
          <w:tcPr>
            <w:tcW w:type="dxa" w:w="3120"/>
          </w:tcPr>
          <w:p>
            <w:r>
              <w:rPr>
                <w:b w:val="false"/>
                <w:bCs w:val="false"/>
                <w:sz w:val="20"/>
                <w:szCs w:val="20"/>
              </w:rPr>
              <w:t xml:space="preserve">O8 (boundary)</w:t>
            </w:r>
          </w:p>
        </w:tc>
        <w:tc>
          <w:tcPr>
            <w:tcW w:type="dxa" w:w="3120"/>
          </w:tcPr>
          <w:p>
            <w:r>
              <w:rPr>
                <w:b w:val="false"/>
                <w:bCs w:val="false"/>
                <w:sz w:val="20"/>
                <w:szCs w:val="20"/>
              </w:rPr>
              <w:t xml:space="preserve">8 channels</w:t>
            </w:r>
          </w:p>
        </w:tc>
        <w:tc>
          <w:tcPr>
            <w:tcW w:type="dxa" w:w="3120"/>
          </w:tcPr>
          <w:p>
            <w:r>
              <w:rPr>
                <w:b w:val="false"/>
                <w:bCs w:val="false"/>
                <w:sz w:val="20"/>
                <w:szCs w:val="20"/>
              </w:rPr>
              <w:t xml:space="preserve">1 channel (1/8)</w:t>
            </w:r>
          </w:p>
        </w:tc>
      </w:tr>
      <w:tr>
        <w:tc>
          <w:tcPr>
            <w:tcW w:type="dxa" w:w="3120"/>
          </w:tcPr>
          <w:p>
            <w:r>
              <w:rPr>
                <w:b w:val="false"/>
                <w:bCs w:val="false"/>
                <w:sz w:val="20"/>
                <w:szCs w:val="20"/>
              </w:rPr>
              <w:t xml:space="preserve">D12 (regional aggregation)</w:t>
            </w:r>
          </w:p>
        </w:tc>
        <w:tc>
          <w:tcPr>
            <w:tcW w:type="dxa" w:w="3120"/>
          </w:tcPr>
          <w:p>
            <w:r>
              <w:rPr>
                <w:b w:val="false"/>
                <w:bCs w:val="false"/>
                <w:sz w:val="20"/>
                <w:szCs w:val="20"/>
              </w:rPr>
              <w:t xml:space="preserve">N × O8 count</w:t>
            </w:r>
          </w:p>
        </w:tc>
        <w:tc>
          <w:tcPr>
            <w:tcW w:type="dxa" w:w="3120"/>
          </w:tcPr>
          <w:p>
            <w:r>
              <w:rPr>
                <w:b w:val="false"/>
                <w:bCs w:val="false"/>
                <w:sz w:val="20"/>
                <w:szCs w:val="20"/>
              </w:rPr>
              <w:t xml:space="preserve">1 channel (1/(8×N))</w:t>
            </w:r>
          </w:p>
        </w:tc>
      </w:tr>
      <w:tr>
        <w:tc>
          <w:tcPr>
            <w:tcW w:type="dxa" w:w="3120"/>
          </w:tcPr>
          <w:p>
            <w:r>
              <w:rPr>
                <w:b w:val="false"/>
                <w:bCs w:val="false"/>
                <w:sz w:val="20"/>
                <w:szCs w:val="20"/>
              </w:rPr>
              <w:t xml:space="preserve">Core (central)</w:t>
            </w:r>
          </w:p>
        </w:tc>
        <w:tc>
          <w:tcPr>
            <w:tcW w:type="dxa" w:w="3120"/>
          </w:tcPr>
          <w:p>
            <w:r>
              <w:rPr>
                <w:b w:val="false"/>
                <w:bCs w:val="false"/>
                <w:sz w:val="20"/>
                <w:szCs w:val="20"/>
              </w:rPr>
              <w:t xml:space="preserve">M × D12 count</w:t>
            </w:r>
          </w:p>
        </w:tc>
        <w:tc>
          <w:tcPr>
            <w:tcW w:type="dxa" w:w="3120"/>
          </w:tcPr>
          <w:p>
            <w:r>
              <w:rPr>
                <w:b w:val="false"/>
                <w:bCs w:val="false"/>
                <w:sz w:val="20"/>
                <w:szCs w:val="20"/>
              </w:rPr>
              <w:t xml:space="preserve">1 channel (1/(8×N×M))</w:t>
            </w:r>
          </w:p>
        </w:tc>
      </w:tr>
    </w:tbl>
    <w:p>
      <w:pPr>
        <w:spacing w:after="200"/>
      </w:pPr>
      <w:r>
        <w:rPr>
          <w:i/>
          <w:iCs/>
          <w:sz w:val="20"/>
          <w:szCs w:val="20"/>
        </w:rPr>
        <w:t xml:space="preserve">Table 4-2. Hierarchical Cubification Compression (restated from WP#24 Table 8-3)</w:t>
      </w:r>
    </w:p>
    <w:p>
      <w:pPr>
        <w:pStyle w:val="Heading2"/>
        <w:spacing w:after="160" w:before="280"/>
      </w:pPr>
      <w:r>
        <w:rPr>
          <w:b/>
          <w:bCs/>
        </w:rPr>
        <w:t xml:space="preserve">4.1 O8 Sizing, Built Bottom-Up from PAI and EAI Equipment Configuration</w:t>
      </w:r>
    </w:p>
    <w:p>
      <w:pPr>
        <w:spacing w:after="160"/>
      </w:pPr>
      <w:r>
        <w:rPr>
          <w:b w:val="false"/>
          <w:bCs w:val="false"/>
          <w:i w:val="false"/>
          <w:iCs w:val="false"/>
          <w:sz w:val="22"/>
          <w:szCs w:val="22"/>
        </w:rPr>
        <w:t xml:space="preserve">Rather than infer O8's internal structure top-down from H6-level figures (WP#23), this section builds it bottom-up from the two equipment configurations already fully specified in WP#26–28: what a single PAI instance requires, and what a single EAI instance requires.</w:t>
      </w:r>
    </w:p>
    <w:p>
      <w:pPr>
        <w:spacing w:after="200"/>
      </w:pPr>
      <w:r>
        <w:rPr>
          <w:i/>
          <w:iCs/>
          <w:sz w:val="20"/>
          <w:szCs w:val="20"/>
        </w:rPr>
        <w:t xml:space="preserve">Figure 4-1. Velsanet Equipment ↔ PAI Configuration</w:t>
      </w:r>
    </w:p>
    <w:p>
      <w:pPr>
        <w:spacing w:after="200"/>
      </w:pPr>
      <w:r>
        <w:rPr>
          <w:i/>
          <w:iCs/>
          <w:sz w:val="20"/>
          <w:szCs w:val="20"/>
        </w:rPr>
        <w:t xml:space="preserve">Figure 4-2. Velsanet Equipment ↔ EAI Configuration</w:t>
      </w:r>
    </w:p>
    <w:p>
      <w:pPr>
        <w:spacing w:after="160"/>
      </w:pPr>
      <w:r>
        <w:rPr>
          <w:b w:val="false"/>
          <w:bCs w:val="false"/>
          <w:i w:val="false"/>
          <w:iCs w:val="false"/>
          <w:sz w:val="22"/>
          <w:szCs w:val="22"/>
        </w:rPr>
        <w:t xml:space="preserve">A disambiguation worth stating explicitly: EAI's per-instance total is 48 cores (24+24, Dual E2E, WP#24 Table 5-2) — a different "48" from WP#23's H6 Face 3/4/6 mesh-link figure and from the (H6_H+O8_H)/2 averaging figure. All three are numerically 48 by coincidence, not the same quantity.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9D9D9" w:val="clear"/>
          </w:tcPr>
          <w:p>
            <w:r>
              <w:rPr>
                <w:b/>
                <w:bCs/>
                <w:sz w:val="20"/>
                <w:szCs w:val="20"/>
              </w:rPr>
              <w:t xml:space="preserve">Instance Type</w:t>
            </w:r>
          </w:p>
        </w:tc>
        <w:tc>
          <w:tcPr>
            <w:tcW w:type="dxa" w:w="7360"/>
            <w:shd w:fill="D9D9D9" w:val="clear"/>
          </w:tcPr>
          <w:p>
            <w:r>
              <w:rPr>
                <w:b/>
                <w:bCs/>
                <w:sz w:val="20"/>
                <w:szCs w:val="20"/>
              </w:rPr>
              <w:t xml:space="preserve">Per-Instance Core Requirement</w:t>
            </w:r>
          </w:p>
        </w:tc>
      </w:tr>
      <w:tr>
        <w:tc>
          <w:tcPr>
            <w:tcW w:type="dxa" w:w="2000"/>
          </w:tcPr>
          <w:p>
            <w:r>
              <w:rPr>
                <w:b w:val="false"/>
                <w:bCs w:val="false"/>
                <w:sz w:val="20"/>
                <w:szCs w:val="20"/>
              </w:rPr>
              <w:t xml:space="preserve">PAI</w:t>
            </w:r>
          </w:p>
        </w:tc>
        <w:tc>
          <w:tcPr>
            <w:tcW w:type="dxa" w:w="7360"/>
          </w:tcPr>
          <w:p>
            <w:r>
              <w:rPr>
                <w:b w:val="false"/>
                <w:bCs w:val="false"/>
                <w:sz w:val="20"/>
                <w:szCs w:val="20"/>
              </w:rPr>
              <w:t xml:space="preserve">1 of 384 O8 input lanes (shared collection structure) + 24 dedicated uplink cores to D12 (Figure 4-1)</w:t>
            </w:r>
          </w:p>
        </w:tc>
      </w:tr>
      <w:tr>
        <w:tc>
          <w:tcPr>
            <w:tcW w:type="dxa" w:w="2000"/>
          </w:tcPr>
          <w:p>
            <w:r>
              <w:rPr>
                <w:b w:val="false"/>
                <w:bCs w:val="false"/>
                <w:sz w:val="20"/>
                <w:szCs w:val="20"/>
              </w:rPr>
              <w:t xml:space="preserve">EAI</w:t>
            </w:r>
          </w:p>
        </w:tc>
        <w:tc>
          <w:tcPr>
            <w:tcW w:type="dxa" w:w="7360"/>
          </w:tcPr>
          <w:p>
            <w:r>
              <w:rPr>
                <w:b w:val="false"/>
                <w:bCs w:val="false"/>
                <w:sz w:val="20"/>
                <w:szCs w:val="20"/>
              </w:rPr>
              <w:t xml:space="preserve">48 cores total (24+24, Dual E2E, physically separate per WP#24 Table 5-2), 1:1 deployment, attach level to O8 hierarchy unresolved (Figure 4-2)</w:t>
            </w:r>
          </w:p>
        </w:tc>
      </w:tr>
    </w:tbl>
    <w:p>
      <w:pPr>
        <w:spacing w:after="200"/>
      </w:pPr>
      <w:r>
        <w:rPr>
          <w:i/>
          <w:iCs/>
          <w:sz w:val="20"/>
          <w:szCs w:val="20"/>
        </w:rPr>
        <w:t xml:space="preserve">Table 4-3. Per-Instance Core Requirements — PAI vs EAI</w:t>
      </w:r>
    </w:p>
    <w:p>
      <w:pPr>
        <w:spacing w:after="200"/>
      </w:pPr>
      <w:r>
        <w:rPr>
          <w:b/>
          <w:bCs/>
          <w:i/>
          <w:iCs/>
          <w:sz w:val="22"/>
          <w:szCs w:val="22"/>
        </w:rPr>
        <w:t xml:space="preserve">Open — OI-29-10: </w:t>
      </w:r>
      <w:r>
        <w:rPr>
          <w:i/>
          <w:iCs/>
          <w:sz w:val="22"/>
          <w:szCs w:val="22"/>
        </w:rPr>
        <w:t xml:space="preserve">H6↔O8 link core count is unresolved: WP#23 fixes it at 144 cores (12×12 stack); a (H6_H+O8_H)/2 averaging rule gives 120 cores. Separately, it is not yet fixed whether EAI instances attach directly to O8's lane structure or via H6 first — this must be resolved before the 144-vs-120 question can be framed correctly.</w:t>
      </w:r>
    </w:p>
    <w:p>
      <w:pPr>
        <w:pStyle w:val="Heading2"/>
        <w:spacing w:after="160" w:before="280"/>
      </w:pPr>
      <w:r>
        <w:rPr>
          <w:b/>
          <w:bCs/>
        </w:rPr>
        <w:t xml:space="preserve">4.2 (Reserved)</w:t>
      </w:r>
    </w:p>
    <w:p>
      <w:pPr>
        <w:spacing w:after="160"/>
      </w:pPr>
      <w:r>
        <w:rPr>
          <w:b w:val="false"/>
          <w:bCs w:val="false"/>
          <w:i/>
          <w:iCs/>
          <w:sz w:val="22"/>
          <w:szCs w:val="22"/>
        </w:rPr>
        <w:t xml:space="preserve">Reserved for future EAI attach-topology resolution once OI-29-10 is closed. No content added in R5.</w:t>
      </w:r>
    </w:p>
    <w:p>
      <w:pPr>
        <w:pStyle w:val="Heading2"/>
        <w:spacing w:after="160" w:before="280"/>
      </w:pPr>
      <w:r>
        <w:rPr>
          <w:b/>
          <w:bCs/>
        </w:rPr>
        <w:t xml:space="preserve">4.3 Hypercube Information Exchange via Schlegel Diagram Projection (O8 → D12)</w:t>
      </w:r>
    </w:p>
    <w:p>
      <w:pPr>
        <w:spacing w:after="160"/>
      </w:pPr>
      <w:r>
        <w:rPr>
          <w:b w:val="false"/>
          <w:bCs w:val="false"/>
          <w:i w:val="false"/>
          <w:iCs w:val="false"/>
          <w:sz w:val="22"/>
          <w:szCs w:val="22"/>
        </w:rPr>
        <w:t xml:space="preserve">Each O8 projects its local Q7 hypercube topology to its regional D12, using a Schlegel diagram projection — a standard technique for representing an n-dimensional polytope's structure as a lower-dimensional graph while preserving adjacency relationships. D12 aggregates the projections received from all O8 nodes in its region into a unified regional Schlegel diagram, giving the D12 tier a single structural view of every O8 under its coordination without requiring D12 to process raw per-instance PAI/EAI traffic (Section 10.7.5).</w:t>
      </w:r>
    </w:p>
    <w:p>
      <w:pPr>
        <w:pStyle w:val="Heading2"/>
        <w:spacing w:after="160" w:before="280"/>
      </w:pPr>
      <w:r>
        <w:rPr>
          <w:b/>
          <w:bCs/>
        </w:rPr>
        <w:t xml:space="preserve">4.4 Hierarchical Schlegel Projection: O8 → D12 → I20</w:t>
      </w:r>
    </w:p>
    <w:p>
      <w:pPr>
        <w:spacing w:after="160"/>
      </w:pPr>
      <w:r>
        <w:rPr>
          <w:b w:val="false"/>
          <w:bCs w:val="false"/>
          <w:i w:val="false"/>
          <w:iCs w:val="false"/>
          <w:sz w:val="22"/>
          <w:szCs w:val="22"/>
        </w:rPr>
        <w:t xml:space="preserve">The Schlegel diagram projection defined in Section 4.3 is applied hierarchically across the Velsanet node layers. Each D12 projects its aggregated regional Schlegel diagram upward to the national I20; I20 aggregates projections from all D12 nodes under its authority to form a national/continental structural view of the entire hypercube network.</w:t>
      </w:r>
    </w:p>
    <w:p>
      <w:pPr>
        <w:spacing w:after="160"/>
      </w:pPr>
      <w:r>
        <w:rPr>
          <w:b w:val="false"/>
          <w:bCs w:val="false"/>
          <w:i w:val="false"/>
          <w:iCs w:val="false"/>
          <w:sz w:val="22"/>
          <w:szCs w:val="22"/>
        </w:rPr>
        <w:t xml:space="preserve">This hierarchical projection enables: scalable topology management, since each node manages only its own local scope and is not burdened with global state; efficient fault detection, since link failures propagate upward automatically as structural changes in the projected diagram rather than requiring separate fault-reporting messages; and coordinated self-healing, since I20 — holding the national view — can issue cross-regional rerouting commands that no single D12 or O8 could determine on its own.</w:t>
      </w:r>
    </w:p>
    <w:p>
      <w:pPr>
        <w:spacing w:after="160"/>
      </w:pPr>
      <w:r>
        <w:rPr>
          <w:b w:val="false"/>
          <w:bCs w:val="false"/>
          <w:i w:val="false"/>
          <w:iCs w:val="false"/>
          <w:sz w:val="22"/>
          <w:szCs w:val="22"/>
        </w:rPr>
        <w:t xml:space="preserve">The projection itself is one-way, flowing upward for topology monitoring only. Control and configuration commands flow downward through the same O8→D12→I20 hierarchy, in the reverse direction (Section 4.5).</w:t>
      </w:r>
    </w:p>
    <w:p>
      <w:pPr>
        <w:pStyle w:val="Heading2"/>
        <w:spacing w:after="160" w:before="280"/>
      </w:pPr>
      <w:r>
        <w:rPr>
          <w:b/>
          <w:bCs/>
        </w:rPr>
        <w:t xml:space="preserve">4.5 National Network AI (Velsa) and Global Network State Awareness</w:t>
      </w:r>
    </w:p>
    <w:p>
      <w:pPr>
        <w:spacing w:after="160"/>
      </w:pPr>
      <w:r>
        <w:rPr>
          <w:b w:val="false"/>
          <w:bCs w:val="false"/>
          <w:i w:val="false"/>
          <w:iCs w:val="false"/>
          <w:sz w:val="22"/>
          <w:szCs w:val="22"/>
        </w:rPr>
        <w:t xml:space="preserve">At the I20 layer, the Velsanet Network AI (Velsa) operates as the national/continental orchestrator. Velsa receives the hierarchical Schlegel projections aggregated from all D12 nodes (Section 4.4), forming a unified real-time structural map of every O8, D12, and I20 node in its scope.</w:t>
      </w:r>
    </w:p>
    <w:p>
      <w:pPr>
        <w:spacing w:after="160"/>
      </w:pPr>
      <w:r>
        <w:rPr>
          <w:b w:val="false"/>
          <w:bCs w:val="false"/>
          <w:i w:val="false"/>
          <w:iCs w:val="false"/>
          <w:sz w:val="22"/>
          <w:szCs w:val="22"/>
        </w:rPr>
        <w:t xml:space="preserve">Based on this aggregated view, Velsa can: detect link failures and traffic bottlenecks across the entire network from a single vantage point; issue optimal path reconfiguration commands that span multiple regions, something no individual D12 has visibility to determine on its own; and coordinate self-healing responses and traffic load balancing at national scale, sequencing multiple regional recoveries rather than leaving them to resolve independently and possibly in conflict.</w:t>
      </w:r>
    </w:p>
    <w:p>
      <w:pPr>
        <w:spacing w:after="160"/>
      </w:pPr>
      <w:r>
        <w:rPr>
          <w:b w:val="false"/>
          <w:bCs w:val="false"/>
          <w:i w:val="false"/>
          <w:iCs w:val="false"/>
          <w:sz w:val="22"/>
          <w:szCs w:val="22"/>
        </w:rPr>
        <w:t xml:space="preserve">Reconfiguration decisions propagate downward through the hierarchy (I20 → D12 → O8) for execution at the node level. This top-down control path, combined with the bottom-up Schlegel projection of Section 4.4, is what allows the Velsanet network to operate as a single coherent cognitive entity rather than a collection of independently-acting nodes.</w:t>
      </w:r>
    </w:p>
    <w:p>
      <w:pPr>
        <w:pStyle w:val="Heading2"/>
        <w:spacing w:after="160" w:before="280"/>
      </w:pPr>
      <w:r>
        <w:rPr>
          <w:b/>
          <w:bCs/>
        </w:rPr>
        <w:t xml:space="preserve">4.6 Hierarchical Core Scaling: O8 → D12 → I20 (New in R8; supersedes §10.7.8 hardware uniformity)</w:t>
      </w:r>
    </w:p>
    <w:p>
      <w:pPr>
        <w:spacing w:after="160"/>
      </w:pPr>
      <w:r>
        <w:rPr>
          <w:b/>
          <w:bCs/>
          <w:sz w:val="22"/>
          <w:szCs w:val="22"/>
        </w:rPr>
        <w:t xml:space="preserve">R8, per 창호. </w:t>
      </w:r>
      <w:r>
        <w:rPr>
          <w:sz w:val="22"/>
          <w:szCs w:val="22"/>
        </w:rPr>
        <w:t xml:space="preserve">This section supersedes §10.7.8's earlier "hardware uniformity" principle. Each node tier has its own face (slot) count and its own per-face optical-core structure — they are not physically identical chassis at different logical roles, as R5–R7 assumed, but distinct physical designs following a consistent scaling rule.</w:t>
      </w:r>
    </w:p>
    <w:p>
      <w:pPr>
        <w:spacing w:after="160"/>
      </w:pPr>
      <w:r>
        <w:rPr>
          <w:b w:val="false"/>
          <w:bCs w:val="false"/>
          <w:i w:val="false"/>
          <w:iCs w:val="false"/>
          <w:sz w:val="22"/>
          <w:szCs w:val="22"/>
        </w:rPr>
        <w:t xml:space="preserve">Each face's core count is built from the same three-factor structure already fixed for O8 at R5-4/§10.7.3 — 12 cores × layer count × bundle count — but layer count and bundle count each double at every tier moving up the hierarchy, while the face count itself follows the Platonic-solid face count of each node's namesake (octahedron = 8, dodecahedron = 12, icosahedron = 20, consistent with WP#20's polyhedral node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200"/>
            <w:shd w:fill="D9D9D9" w:val="clear"/>
          </w:tcPr>
          <w:p>
            <w:r>
              <w:rPr>
                <w:b/>
                <w:bCs/>
                <w:sz w:val="20"/>
                <w:szCs w:val="20"/>
              </w:rPr>
              <w:t xml:space="preserve">Node</w:t>
            </w:r>
          </w:p>
        </w:tc>
        <w:tc>
          <w:tcPr>
            <w:tcW w:type="dxa" w:w="1400"/>
            <w:shd w:fill="D9D9D9" w:val="clear"/>
          </w:tcPr>
          <w:p>
            <w:r>
              <w:rPr>
                <w:b/>
                <w:bCs/>
                <w:sz w:val="20"/>
                <w:szCs w:val="20"/>
              </w:rPr>
              <w:t xml:space="preserve">Faces (= slots)</w:t>
            </w:r>
          </w:p>
        </w:tc>
        <w:tc>
          <w:tcPr>
            <w:tcW w:type="dxa" w:w="1200"/>
            <w:shd w:fill="D9D9D9" w:val="clear"/>
          </w:tcPr>
          <w:p>
            <w:r>
              <w:rPr>
                <w:b/>
                <w:bCs/>
                <w:sz w:val="20"/>
                <w:szCs w:val="20"/>
              </w:rPr>
              <w:t xml:space="preserve">Layers</w:t>
            </w:r>
          </w:p>
        </w:tc>
        <w:tc>
          <w:tcPr>
            <w:tcW w:type="dxa" w:w="1400"/>
            <w:shd w:fill="D9D9D9" w:val="clear"/>
          </w:tcPr>
          <w:p>
            <w:r>
              <w:rPr>
                <w:b/>
                <w:bCs/>
                <w:sz w:val="20"/>
                <w:szCs w:val="20"/>
              </w:rPr>
              <w:t xml:space="preserve">Bundles</w:t>
            </w:r>
          </w:p>
        </w:tc>
        <w:tc>
          <w:tcPr>
            <w:tcW w:type="dxa" w:w="2160"/>
            <w:shd w:fill="D9D9D9" w:val="clear"/>
          </w:tcPr>
          <w:p>
            <w:r>
              <w:rPr>
                <w:b/>
                <w:bCs/>
                <w:sz w:val="20"/>
                <w:szCs w:val="20"/>
              </w:rPr>
              <w:t xml:space="preserve">Cores/Face (12×layers×bundles)</w:t>
            </w:r>
          </w:p>
        </w:tc>
        <w:tc>
          <w:tcPr>
            <w:tcW w:type="dxa" w:w="2000"/>
            <w:shd w:fill="D9D9D9" w:val="clear"/>
          </w:tcPr>
          <w:p>
            <w:r>
              <w:rPr>
                <w:b/>
                <w:bCs/>
                <w:sz w:val="20"/>
                <w:szCs w:val="20"/>
              </w:rPr>
              <w:t xml:space="preserve">Total Cores (faces × cores/face)</w:t>
            </w:r>
          </w:p>
        </w:tc>
      </w:tr>
      <w:tr>
        <w:tc>
          <w:tcPr>
            <w:tcW w:type="dxa" w:w="1200"/>
          </w:tcPr>
          <w:p>
            <w:r>
              <w:rPr>
                <w:b w:val="false"/>
                <w:bCs w:val="false"/>
                <w:sz w:val="20"/>
                <w:szCs w:val="20"/>
              </w:rPr>
              <w:t xml:space="preserve">O8</w:t>
            </w:r>
          </w:p>
        </w:tc>
        <w:tc>
          <w:tcPr>
            <w:tcW w:type="dxa" w:w="1400"/>
          </w:tcPr>
          <w:p>
            <w:r>
              <w:rPr>
                <w:b w:val="false"/>
                <w:bCs w:val="false"/>
                <w:sz w:val="20"/>
                <w:szCs w:val="20"/>
              </w:rPr>
              <w:t xml:space="preserve">8</w:t>
            </w:r>
          </w:p>
        </w:tc>
        <w:tc>
          <w:tcPr>
            <w:tcW w:type="dxa" w:w="1200"/>
          </w:tcPr>
          <w:p>
            <w:r>
              <w:rPr>
                <w:b w:val="false"/>
                <w:bCs w:val="false"/>
                <w:sz w:val="20"/>
                <w:szCs w:val="20"/>
              </w:rPr>
              <w:t xml:space="preserve">4</w:t>
            </w:r>
          </w:p>
        </w:tc>
        <w:tc>
          <w:tcPr>
            <w:tcW w:type="dxa" w:w="1400"/>
          </w:tcPr>
          <w:p>
            <w:r>
              <w:rPr>
                <w:b w:val="false"/>
                <w:bCs w:val="false"/>
                <w:sz w:val="20"/>
                <w:szCs w:val="20"/>
              </w:rPr>
              <w:t xml:space="preserve">4</w:t>
            </w:r>
          </w:p>
        </w:tc>
        <w:tc>
          <w:tcPr>
            <w:tcW w:type="dxa" w:w="2160"/>
          </w:tcPr>
          <w:p>
            <w:r>
              <w:rPr>
                <w:b w:val="false"/>
                <w:bCs w:val="false"/>
                <w:sz w:val="20"/>
                <w:szCs w:val="20"/>
              </w:rPr>
              <w:t xml:space="preserve">192</w:t>
            </w:r>
          </w:p>
        </w:tc>
        <w:tc>
          <w:tcPr>
            <w:tcW w:type="dxa" w:w="2000"/>
          </w:tcPr>
          <w:p>
            <w:r>
              <w:rPr>
                <w:b w:val="false"/>
                <w:bCs w:val="false"/>
                <w:sz w:val="20"/>
                <w:szCs w:val="20"/>
              </w:rPr>
              <w:t xml:space="preserve">1,536</w:t>
            </w:r>
          </w:p>
        </w:tc>
      </w:tr>
      <w:tr>
        <w:tc>
          <w:tcPr>
            <w:tcW w:type="dxa" w:w="1200"/>
          </w:tcPr>
          <w:p>
            <w:r>
              <w:rPr>
                <w:b w:val="false"/>
                <w:bCs w:val="false"/>
                <w:sz w:val="20"/>
                <w:szCs w:val="20"/>
              </w:rPr>
              <w:t xml:space="preserve">D12</w:t>
            </w:r>
          </w:p>
        </w:tc>
        <w:tc>
          <w:tcPr>
            <w:tcW w:type="dxa" w:w="1400"/>
          </w:tcPr>
          <w:p>
            <w:r>
              <w:rPr>
                <w:b w:val="false"/>
                <w:bCs w:val="false"/>
                <w:sz w:val="20"/>
                <w:szCs w:val="20"/>
              </w:rPr>
              <w:t xml:space="preserve">12</w:t>
            </w:r>
          </w:p>
        </w:tc>
        <w:tc>
          <w:tcPr>
            <w:tcW w:type="dxa" w:w="1200"/>
          </w:tcPr>
          <w:p>
            <w:r>
              <w:rPr>
                <w:b w:val="false"/>
                <w:bCs w:val="false"/>
                <w:sz w:val="20"/>
                <w:szCs w:val="20"/>
              </w:rPr>
              <w:t xml:space="preserve">8</w:t>
            </w:r>
          </w:p>
        </w:tc>
        <w:tc>
          <w:tcPr>
            <w:tcW w:type="dxa" w:w="1400"/>
          </w:tcPr>
          <w:p>
            <w:r>
              <w:rPr>
                <w:b w:val="false"/>
                <w:bCs w:val="false"/>
                <w:sz w:val="20"/>
                <w:szCs w:val="20"/>
              </w:rPr>
              <w:t xml:space="preserve">8</w:t>
            </w:r>
          </w:p>
        </w:tc>
        <w:tc>
          <w:tcPr>
            <w:tcW w:type="dxa" w:w="2160"/>
          </w:tcPr>
          <w:p>
            <w:r>
              <w:rPr>
                <w:b w:val="false"/>
                <w:bCs w:val="false"/>
                <w:sz w:val="20"/>
                <w:szCs w:val="20"/>
              </w:rPr>
              <w:t xml:space="preserve">768</w:t>
            </w:r>
          </w:p>
        </w:tc>
        <w:tc>
          <w:tcPr>
            <w:tcW w:type="dxa" w:w="2000"/>
          </w:tcPr>
          <w:p>
            <w:r>
              <w:rPr>
                <w:b w:val="false"/>
                <w:bCs w:val="false"/>
                <w:sz w:val="20"/>
                <w:szCs w:val="20"/>
              </w:rPr>
              <w:t xml:space="preserve">9,216</w:t>
            </w:r>
          </w:p>
        </w:tc>
      </w:tr>
      <w:tr>
        <w:tc>
          <w:tcPr>
            <w:tcW w:type="dxa" w:w="1200"/>
          </w:tcPr>
          <w:p>
            <w:r>
              <w:rPr>
                <w:b w:val="false"/>
                <w:bCs w:val="false"/>
                <w:sz w:val="20"/>
                <w:szCs w:val="20"/>
              </w:rPr>
              <w:t xml:space="preserve">I20</w:t>
            </w:r>
          </w:p>
        </w:tc>
        <w:tc>
          <w:tcPr>
            <w:tcW w:type="dxa" w:w="1400"/>
          </w:tcPr>
          <w:p>
            <w:r>
              <w:rPr>
                <w:b w:val="false"/>
                <w:bCs w:val="false"/>
                <w:sz w:val="20"/>
                <w:szCs w:val="20"/>
              </w:rPr>
              <w:t xml:space="preserve">20</w:t>
            </w:r>
          </w:p>
        </w:tc>
        <w:tc>
          <w:tcPr>
            <w:tcW w:type="dxa" w:w="1200"/>
          </w:tcPr>
          <w:p>
            <w:r>
              <w:rPr>
                <w:b w:val="false"/>
                <w:bCs w:val="false"/>
                <w:sz w:val="20"/>
                <w:szCs w:val="20"/>
              </w:rPr>
              <w:t xml:space="preserve">16</w:t>
            </w:r>
          </w:p>
        </w:tc>
        <w:tc>
          <w:tcPr>
            <w:tcW w:type="dxa" w:w="1400"/>
          </w:tcPr>
          <w:p>
            <w:r>
              <w:rPr>
                <w:b w:val="false"/>
                <w:bCs w:val="false"/>
                <w:sz w:val="20"/>
                <w:szCs w:val="20"/>
              </w:rPr>
              <w:t xml:space="preserve">16</w:t>
            </w:r>
          </w:p>
        </w:tc>
        <w:tc>
          <w:tcPr>
            <w:tcW w:type="dxa" w:w="2160"/>
          </w:tcPr>
          <w:p>
            <w:r>
              <w:rPr>
                <w:b w:val="false"/>
                <w:bCs w:val="false"/>
                <w:sz w:val="20"/>
                <w:szCs w:val="20"/>
              </w:rPr>
              <w:t xml:space="preserve">3,072</w:t>
            </w:r>
          </w:p>
        </w:tc>
        <w:tc>
          <w:tcPr>
            <w:tcW w:type="dxa" w:w="2000"/>
          </w:tcPr>
          <w:p>
            <w:r>
              <w:rPr>
                <w:b w:val="false"/>
                <w:bCs w:val="false"/>
                <w:sz w:val="20"/>
                <w:szCs w:val="20"/>
              </w:rPr>
              <w:t xml:space="preserve">61,440</w:t>
            </w:r>
          </w:p>
        </w:tc>
      </w:tr>
    </w:tbl>
    <w:p>
      <w:pPr>
        <w:spacing w:after="200"/>
      </w:pPr>
      <w:r>
        <w:rPr>
          <w:i/>
          <w:iCs/>
          <w:sz w:val="20"/>
          <w:szCs w:val="20"/>
        </w:rPr>
        <w:t xml:space="preserve">Table 4-4. Hierarchical Core Scaling — O8/D12/I20 (confirmed per 창호, this session)</w:t>
      </w:r>
    </w:p>
    <w:p>
      <w:pPr>
        <w:spacing w:after="160"/>
      </w:pPr>
      <w:r>
        <w:rPr>
          <w:b w:val="false"/>
          <w:bCs w:val="false"/>
          <w:i w:val="false"/>
          <w:iCs w:val="false"/>
          <w:sz w:val="22"/>
          <w:szCs w:val="22"/>
        </w:rPr>
        <w:t xml:space="preserve">This scaling is structural, not arbitrary: each tier preserves the same 12-core building block and the same Multi-Layer Multi-Plane Matrix principle (Section 3), while layer and bundle counts double per tier (4→8→16) to accommodate the increased connectivity and processing demands of higher-tier nodes, and face count follows each node's polyhedral identity.</w:t>
      </w:r>
    </w:p>
    <w:p>
      <w:pPr>
        <w:spacing w:after="200"/>
      </w:pPr>
      <w:r>
        <w:rPr>
          <w:b/>
          <w:bCs/>
          <w:i/>
          <w:iCs/>
          <w:sz w:val="22"/>
          <w:szCs w:val="22"/>
        </w:rPr>
        <w:t xml:space="preserve">Open — OI-29-22: </w:t>
      </w:r>
      <w:r>
        <w:rPr>
          <w:i/>
          <w:iCs/>
          <w:sz w:val="22"/>
          <w:szCs w:val="22"/>
        </w:rPr>
        <w:t xml:space="preserve">T4 and H6 core-scaling figures are not confirmed by this revision. Whether the same face/layer/bundle pattern extends downward to T4 and H6 (which are Autonomous nodes with no AI layer, per Table 4-1) — and if so, what their figures are — is undecided and is not to be inferred from the O8/D12/I20 pattern without explicit confirmation.</w:t>
      </w:r>
    </w:p>
    <w:p>
      <w:pPr>
        <w:spacing w:after="200"/>
      </w:pPr>
      <w:r>
        <w:rPr>
          <w:b/>
          <w:bCs/>
          <w:i/>
          <w:iCs/>
          <w:sz w:val="22"/>
          <w:szCs w:val="22"/>
        </w:rPr>
        <w:t xml:space="preserve">Open — OI-29-23: </w:t>
      </w:r>
      <w:r>
        <w:rPr>
          <w:i/>
          <w:iCs/>
          <w:sz w:val="22"/>
          <w:szCs w:val="22"/>
        </w:rPr>
        <w:t xml:space="preserve">§10.7.3's O8 slot-internal allocation (12 control cores + 180 direct-connect Pass-path cores, out of 192) is not yet scaled for D12's 768-cores/face or I20's 3,072-cores/face. Whether the control-core count stays fixed at 12 (with all additional capacity going to the Pass path) or scales proportionally is explicitly deferred to a future session, per 창호.</w:t>
      </w:r>
    </w:p>
    <w:p>
      <w:pPr>
        <w:pStyle w:val="Heading1"/>
        <w:spacing w:after="160" w:before="280"/>
      </w:pPr>
      <w:r>
        <w:rPr>
          <w:b/>
          <w:bCs/>
        </w:rPr>
        <w:t xml:space="preserve">5. Geographic/Topological Placement &amp; Density-Driven D12 Sizing</w:t>
      </w:r>
    </w:p>
    <w:p>
      <w:pPr>
        <w:spacing w:after="160"/>
      </w:pPr>
      <w:r>
        <w:rPr>
          <w:b w:val="false"/>
          <w:bCs w:val="false"/>
          <w:i w:val="false"/>
          <w:iCs w:val="false"/>
          <w:sz w:val="22"/>
          <w:szCs w:val="22"/>
        </w:rPr>
        <w:t xml:space="preserve">This section resolves WP#25 R1-4 using the concepts already confirmed in Pending Updates Log §1.1–§1.2.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D9D9D9" w:val="clear"/>
          </w:tcPr>
          <w:p>
            <w:r>
              <w:rPr>
                <w:b/>
                <w:bCs/>
                <w:sz w:val="20"/>
                <w:szCs w:val="20"/>
              </w:rPr>
              <w:t xml:space="preserve">Rule</w:t>
            </w:r>
          </w:p>
        </w:tc>
        <w:tc>
          <w:tcPr>
            <w:tcW w:type="dxa" w:w="6960"/>
            <w:shd w:fill="D9D9D9" w:val="clear"/>
          </w:tcPr>
          <w:p>
            <w:r>
              <w:rPr>
                <w:b/>
                <w:bCs/>
                <w:sz w:val="20"/>
                <w:szCs w:val="20"/>
              </w:rPr>
              <w:t xml:space="preserve">Definition</w:t>
            </w:r>
          </w:p>
        </w:tc>
      </w:tr>
      <w:tr>
        <w:tc>
          <w:tcPr>
            <w:tcW w:type="dxa" w:w="2400"/>
          </w:tcPr>
          <w:p>
            <w:r>
              <w:rPr>
                <w:b w:val="false"/>
                <w:bCs w:val="false"/>
                <w:sz w:val="20"/>
                <w:szCs w:val="20"/>
              </w:rPr>
              <w:t xml:space="preserve">D12 = f(density)</w:t>
            </w:r>
          </w:p>
        </w:tc>
        <w:tc>
          <w:tcPr>
            <w:tcW w:type="dxa" w:w="6960"/>
          </w:tcPr>
          <w:p>
            <w:r>
              <w:rPr>
                <w:b w:val="false"/>
                <w:bCs w:val="false"/>
                <w:sz w:val="20"/>
                <w:szCs w:val="20"/>
              </w:rPr>
              <w:t xml:space="preserve">D12 boundary is a function of O8-cluster density, not administrative district or compass quadrant. High-density areas let one district stand alone as one D12; low-density areas merge multiple districts into one D12. Consistent with WP#24 §8.3's "D12 = N × O8 count" leaving N unspecified, and with A=f(T) generally.</w:t>
            </w:r>
          </w:p>
        </w:tc>
      </w:tr>
      <w:tr>
        <w:tc>
          <w:tcPr>
            <w:tcW w:type="dxa" w:w="2400"/>
          </w:tcPr>
          <w:p>
            <w:r>
              <w:rPr>
                <w:b w:val="false"/>
                <w:bCs w:val="false"/>
                <w:sz w:val="20"/>
                <w:szCs w:val="20"/>
              </w:rPr>
              <w:t xml:space="preserve">I20 remains national/continental only</w:t>
            </w:r>
          </w:p>
        </w:tc>
        <w:tc>
          <w:tcPr>
            <w:tcW w:type="dxa" w:w="6960"/>
          </w:tcPr>
          <w:p>
            <w:r>
              <w:rPr>
                <w:b w:val="false"/>
                <w:bCs w:val="false"/>
                <w:sz w:val="20"/>
                <w:szCs w:val="20"/>
              </w:rPr>
              <w:t xml:space="preserve">I20 must remain the national/continental sovereign tier (WP#20 §5.3 Q3–Q4). A city, however large, is an aggregation of multiple D12s reporting to one national I20 — not an I20 itself.</w:t>
            </w:r>
          </w:p>
        </w:tc>
      </w:tr>
    </w:tbl>
    <w:p>
      <w:pPr>
        <w:spacing w:after="200"/>
      </w:pPr>
      <w:r>
        <w:rPr>
          <w:i/>
          <w:iCs/>
          <w:sz w:val="20"/>
          <w:szCs w:val="20"/>
        </w:rPr>
        <w:t xml:space="preserve">Table 5-1. Density-Driven Placement Rules (Pending Updates Log §1.1–§1.2)</w:t>
      </w:r>
    </w:p>
    <w:p>
      <w:pPr>
        <w:spacing w:after="200"/>
      </w:pPr>
      <w:r>
        <w:rPr>
          <w:b/>
          <w:bCs/>
          <w:i/>
          <w:iCs/>
          <w:sz w:val="22"/>
          <w:szCs w:val="22"/>
        </w:rPr>
        <w:t xml:space="preserve">Open — OI-29-04: </w:t>
      </w:r>
      <w:r>
        <w:rPr>
          <w:i/>
          <w:iCs/>
          <w:sz w:val="22"/>
          <w:szCs w:val="22"/>
        </w:rPr>
        <w:t xml:space="preserve">Numeric density threshold for "high-density" vs "low-density" D12 aggregation is not fixed — rule is qualitative (D12 = f(density)) without a specific density function.</w:t>
      </w:r>
    </w:p>
    <w:p>
      <w:pPr>
        <w:pStyle w:val="Heading1"/>
        <w:spacing w:after="160" w:before="280"/>
      </w:pPr>
      <w:r>
        <w:rPr>
          <w:b/>
          <w:bCs/>
        </w:rPr>
        <w:t xml:space="preserve">6. O8 Core Allocation — Connectivity Plane vs. Instance Plane (Historical, Superseded in R5)</w:t>
      </w:r>
    </w:p>
    <w:p>
      <w:pPr>
        <w:spacing w:after="160"/>
      </w:pPr>
      <w:r>
        <w:rPr>
          <w:b/>
          <w:bCs/>
          <w:sz w:val="22"/>
          <w:szCs w:val="22"/>
        </w:rPr>
        <w:t xml:space="preserve">SUPERSEDED IN R5 — see Section 10.7.3 for the current 8-slot / 1,536-core allocation. </w:t>
      </w:r>
      <w:r>
        <w:rPr>
          <w:sz w:val="22"/>
          <w:szCs w:val="22"/>
        </w:rPr>
        <w:t xml:space="preserve">The table below is retained for historical reference and to preserve the derivation of Face 1 / Face 2, which carries forward unchanged into the new slot structure (Slot 1 = Face 1, Slot 2 = Face 2, Section 10.7.3).</w:t>
      </w:r>
    </w:p>
    <w:p>
      <w:pPr>
        <w:spacing w:after="160"/>
      </w:pPr>
      <w:r>
        <w:rPr>
          <w:b w:val="false"/>
          <w:bCs w:val="false"/>
          <w:i w:val="false"/>
          <w:iCs w:val="false"/>
          <w:sz w:val="22"/>
          <w:szCs w:val="22"/>
        </w:rPr>
        <w:t xml:space="preserve">This section originally resolved the reconciliation flagged in Pending Updates Log §1.3–§1.5: how O8's 192-core allocation (Table 4-2 baseline, as understood prior to R5) divided between equipment-level negotiation traffic and real-time SEU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shd w:fill="D9D9D9" w:val="clear"/>
          </w:tcPr>
          <w:p>
            <w:r>
              <w:rPr>
                <w:b/>
                <w:bCs/>
                <w:sz w:val="20"/>
                <w:szCs w:val="20"/>
              </w:rPr>
              <w:t xml:space="preserve">Plane</w:t>
            </w:r>
          </w:p>
        </w:tc>
        <w:tc>
          <w:tcPr>
            <w:tcW w:type="dxa" w:w="2760"/>
            <w:shd w:fill="D9D9D9" w:val="clear"/>
          </w:tcPr>
          <w:p>
            <w:r>
              <w:rPr>
                <w:b/>
                <w:bCs/>
                <w:sz w:val="20"/>
                <w:szCs w:val="20"/>
              </w:rPr>
              <w:t xml:space="preserve">Core Allocation (pre-R5)</w:t>
            </w:r>
          </w:p>
        </w:tc>
        <w:tc>
          <w:tcPr>
            <w:tcW w:type="dxa" w:w="2960"/>
            <w:shd w:fill="D9D9D9" w:val="clear"/>
          </w:tcPr>
          <w:p>
            <w:r>
              <w:rPr>
                <w:b/>
                <w:bCs/>
                <w:sz w:val="20"/>
                <w:szCs w:val="20"/>
              </w:rPr>
              <w:t xml:space="preserve">Traffic Type</w:t>
            </w:r>
          </w:p>
        </w:tc>
        <w:tc>
          <w:tcPr>
            <w:tcW w:type="dxa" w:w="1640"/>
            <w:shd w:fill="D9D9D9" w:val="clear"/>
          </w:tcPr>
          <w:p>
            <w:r>
              <w:rPr>
                <w:b/>
                <w:bCs/>
                <w:sz w:val="20"/>
                <w:szCs w:val="20"/>
              </w:rPr>
              <w:t xml:space="preserve">R5 Status</w:t>
            </w:r>
          </w:p>
        </w:tc>
      </w:tr>
      <w:tr>
        <w:tc>
          <w:tcPr>
            <w:tcW w:type="dxa" w:w="2000"/>
          </w:tcPr>
          <w:p>
            <w:r>
              <w:rPr>
                <w:b w:val="false"/>
                <w:bCs w:val="false"/>
                <w:sz w:val="20"/>
                <w:szCs w:val="20"/>
              </w:rPr>
              <w:t xml:space="preserve">Connectivity Plane</w:t>
            </w:r>
          </w:p>
        </w:tc>
        <w:tc>
          <w:tcPr>
            <w:tcW w:type="dxa" w:w="2760"/>
          </w:tcPr>
          <w:p>
            <w:r>
              <w:rPr>
                <w:b w:val="false"/>
                <w:bCs w:val="false"/>
                <w:sz w:val="20"/>
                <w:szCs w:val="20"/>
              </w:rPr>
              <w:t xml:space="preserve">24 cores — see Table 6-2</w:t>
            </w:r>
          </w:p>
        </w:tc>
        <w:tc>
          <w:tcPr>
            <w:tcW w:type="dxa" w:w="2960"/>
          </w:tcPr>
          <w:p>
            <w:r>
              <w:rPr>
                <w:b w:val="false"/>
                <w:bCs w:val="false"/>
                <w:sz w:val="20"/>
                <w:szCs w:val="20"/>
              </w:rPr>
              <w:t xml:space="preserve">Non-real-time — attach/detach, capability/health handshake, provisioning</w:t>
            </w:r>
          </w:p>
        </w:tc>
        <w:tc>
          <w:tcPr>
            <w:tcW w:type="dxa" w:w="1640"/>
          </w:tcPr>
          <w:p>
            <w:r>
              <w:rPr>
                <w:b w:val="false"/>
                <w:bCs w:val="false"/>
                <w:sz w:val="20"/>
                <w:szCs w:val="20"/>
              </w:rPr>
              <w:t xml:space="preserve">Retained conceptually — now realized as Slot 1 (12) + Slot 2 (12), §10.7.3</w:t>
            </w:r>
          </w:p>
        </w:tc>
      </w:tr>
      <w:tr>
        <w:tc>
          <w:tcPr>
            <w:tcW w:type="dxa" w:w="2000"/>
          </w:tcPr>
          <w:p>
            <w:r>
              <w:rPr>
                <w:b w:val="false"/>
                <w:bCs w:val="false"/>
                <w:sz w:val="20"/>
                <w:szCs w:val="20"/>
              </w:rPr>
              <w:t xml:space="preserve">Instance Plane</w:t>
            </w:r>
          </w:p>
        </w:tc>
        <w:tc>
          <w:tcPr>
            <w:tcW w:type="dxa" w:w="2760"/>
          </w:tcPr>
          <w:p>
            <w:r>
              <w:rPr>
                <w:b w:val="false"/>
                <w:bCs w:val="false"/>
                <w:sz w:val="20"/>
                <w:szCs w:val="20"/>
              </w:rPr>
              <w:t xml:space="preserve">168 cores, allocated per Core Stack (Section 7)</w:t>
            </w:r>
          </w:p>
        </w:tc>
        <w:tc>
          <w:tcPr>
            <w:tcW w:type="dxa" w:w="2960"/>
          </w:tcPr>
          <w:p>
            <w:r>
              <w:rPr>
                <w:b w:val="false"/>
                <w:bCs w:val="false"/>
                <w:sz w:val="20"/>
                <w:szCs w:val="20"/>
              </w:rPr>
              <w:t xml:space="preserve">Real-time — SEU1/SEU2 traffic per WP#25 B.13</w:t>
            </w:r>
          </w:p>
        </w:tc>
        <w:tc>
          <w:tcPr>
            <w:tcW w:type="dxa" w:w="1640"/>
          </w:tcPr>
          <w:p>
            <w:r>
              <w:rPr>
                <w:b w:val="false"/>
                <w:bCs w:val="false"/>
                <w:sz w:val="20"/>
                <w:szCs w:val="20"/>
              </w:rPr>
              <w:t xml:space="preserve">RETIRED — not remapped. Superseded in full by the 8-slot structure; no forward-mapped quantity (R5-5).</w:t>
            </w:r>
          </w:p>
        </w:tc>
      </w:tr>
    </w:tbl>
    <w:p>
      <w:pPr>
        <w:spacing w:after="200"/>
      </w:pPr>
      <w:r>
        <w:rPr>
          <w:i/>
          <w:iCs/>
          <w:sz w:val="20"/>
          <w:szCs w:val="20"/>
        </w:rPr>
        <w:t xml:space="preserve">Table 6-1. O8 192-Core Split (Pending Updates Log §1.3) — historical, superseded by §10.7.3 in R5</w:t>
      </w:r>
    </w:p>
    <w:p>
      <w:pPr>
        <w:spacing w:after="160"/>
      </w:pPr>
      <w:r>
        <w:rPr>
          <w:b w:val="false"/>
          <w:bCs w:val="false"/>
          <w:i w:val="false"/>
          <w:iCs w:val="false"/>
          <w:sz w:val="22"/>
          <w:szCs w:val="22"/>
        </w:rPr>
        <w:t xml:space="preserve">Splitting out a non-real-time Connectivity Plane did not violate the Interface Tax / Deterministic Parallelism guarantee that real-time SEU traffic requires (WP#20 §6, non-collision constraint), because Connectivity Plane traffic was explicitly non-real-time and did not share cores with instance-plane traffic. This non-collision principle is preserved in the R5 slot structure: Slot 1/2's control cores remain physically separate from the Pass-path cores.</w:t>
      </w:r>
    </w:p>
    <w:p>
      <w:pPr>
        <w:pStyle w:val="Heading2"/>
        <w:spacing w:after="160" w:before="280"/>
      </w:pPr>
      <w:r>
        <w:rPr>
          <w:b/>
          <w:bCs/>
        </w:rPr>
        <w:t xml:space="preserve">6.1 Connectivity Plane — Functional Split (Resolved, R4; Face Mapping Preserved in R5)</w:t>
      </w:r>
    </w:p>
    <w:p>
      <w:pPr>
        <w:spacing w:after="160"/>
      </w:pPr>
      <w:r>
        <w:rPr>
          <w:b w:val="false"/>
          <w:bCs w:val="false"/>
          <w:i w:val="false"/>
          <w:iCs w:val="false"/>
          <w:sz w:val="22"/>
          <w:szCs w:val="22"/>
        </w:rPr>
        <w:t xml:space="preserve">Superseding Pending Updates Log §1.4's original Rx/Tx face-separation framing: the Connectivity Plane's cores split by function, not by transmit direction, mapping directly onto the two node-intelligence functions already defined at WP#20 §6.1–§6.3.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400"/>
            <w:shd w:fill="D9D9D9" w:val="clear"/>
          </w:tcPr>
          <w:p>
            <w:r>
              <w:rPr>
                <w:b/>
                <w:bCs/>
                <w:sz w:val="20"/>
                <w:szCs w:val="20"/>
              </w:rPr>
              <w:t xml:space="preserve">Face</w:t>
            </w:r>
          </w:p>
        </w:tc>
        <w:tc>
          <w:tcPr>
            <w:tcW w:type="dxa" w:w="900"/>
            <w:shd w:fill="D9D9D9" w:val="clear"/>
          </w:tcPr>
          <w:p>
            <w:r>
              <w:rPr>
                <w:b/>
                <w:bCs/>
                <w:sz w:val="20"/>
                <w:szCs w:val="20"/>
              </w:rPr>
              <w:t xml:space="preserve">Cores</w:t>
            </w:r>
          </w:p>
        </w:tc>
        <w:tc>
          <w:tcPr>
            <w:tcW w:type="dxa" w:w="4460"/>
            <w:shd w:fill="D9D9D9" w:val="clear"/>
          </w:tcPr>
          <w:p>
            <w:r>
              <w:rPr>
                <w:b/>
                <w:bCs/>
                <w:sz w:val="20"/>
                <w:szCs w:val="20"/>
              </w:rPr>
              <w:t xml:space="preserve">Function</w:t>
            </w:r>
          </w:p>
        </w:tc>
        <w:tc>
          <w:tcPr>
            <w:tcW w:type="dxa" w:w="2600"/>
            <w:shd w:fill="D9D9D9" w:val="clear"/>
          </w:tcPr>
          <w:p>
            <w:r>
              <w:rPr>
                <w:b/>
                <w:bCs/>
                <w:sz w:val="20"/>
                <w:szCs w:val="20"/>
              </w:rPr>
              <w:t xml:space="preserve">R5 Slot Mapping</w:t>
            </w:r>
          </w:p>
        </w:tc>
      </w:tr>
      <w:tr>
        <w:tc>
          <w:tcPr>
            <w:tcW w:type="dxa" w:w="1400"/>
          </w:tcPr>
          <w:p>
            <w:r>
              <w:rPr>
                <w:b w:val="false"/>
                <w:bCs w:val="false"/>
                <w:sz w:val="20"/>
                <w:szCs w:val="20"/>
              </w:rPr>
              <w:t xml:space="preserve">Face 1</w:t>
            </w:r>
          </w:p>
        </w:tc>
        <w:tc>
          <w:tcPr>
            <w:tcW w:type="dxa" w:w="900"/>
          </w:tcPr>
          <w:p>
            <w:r>
              <w:rPr>
                <w:b w:val="false"/>
                <w:bCs w:val="false"/>
                <w:sz w:val="20"/>
                <w:szCs w:val="20"/>
              </w:rPr>
              <w:t xml:space="preserve">12</w:t>
            </w:r>
          </w:p>
        </w:tc>
        <w:tc>
          <w:tcPr>
            <w:tcW w:type="dxa" w:w="4460"/>
          </w:tcPr>
          <w:p>
            <w:r>
              <w:rPr>
                <w:b w:val="false"/>
                <w:bCs w:val="false"/>
                <w:sz w:val="20"/>
                <w:szCs w:val="20"/>
              </w:rPr>
              <w:t xml:space="preserve">Hypercube-conformant peer connectivity (WP#20 §6.2) — connections to external, same-tier nodes, prioritized to preserve Q7 hypercube structural properties</w:t>
            </w:r>
          </w:p>
        </w:tc>
        <w:tc>
          <w:tcPr>
            <w:tcW w:type="dxa" w:w="2600"/>
          </w:tcPr>
          <w:p>
            <w:r>
              <w:rPr>
                <w:b w:val="false"/>
                <w:bCs w:val="false"/>
                <w:sz w:val="20"/>
                <w:szCs w:val="20"/>
              </w:rPr>
              <w:t xml:space="preserve">Slot 1 control cores (§10.7.3)</w:t>
            </w:r>
          </w:p>
        </w:tc>
      </w:tr>
      <w:tr>
        <w:tc>
          <w:tcPr>
            <w:tcW w:type="dxa" w:w="1400"/>
          </w:tcPr>
          <w:p>
            <w:r>
              <w:rPr>
                <w:b w:val="false"/>
                <w:bCs w:val="false"/>
                <w:sz w:val="20"/>
                <w:szCs w:val="20"/>
              </w:rPr>
              <w:t xml:space="preserve">Face 2</w:t>
            </w:r>
          </w:p>
        </w:tc>
        <w:tc>
          <w:tcPr>
            <w:tcW w:type="dxa" w:w="900"/>
          </w:tcPr>
          <w:p>
            <w:r>
              <w:rPr>
                <w:b w:val="false"/>
                <w:bCs w:val="false"/>
                <w:sz w:val="20"/>
                <w:szCs w:val="20"/>
              </w:rPr>
              <w:t xml:space="preserve">12</w:t>
            </w:r>
          </w:p>
        </w:tc>
        <w:tc>
          <w:tcPr>
            <w:tcW w:type="dxa" w:w="4460"/>
          </w:tcPr>
          <w:p>
            <w:r>
              <w:rPr>
                <w:b w:val="false"/>
                <w:bCs w:val="false"/>
                <w:sz w:val="20"/>
                <w:szCs w:val="20"/>
              </w:rPr>
              <w:t xml:space="preserve">PAI/EAI request cooperation (WP#20 §6.3) — parallel core support issued in response to PAI/AAI/AsAI requests for higher bandwidth, redundancy, or multi-path transmission</w:t>
            </w:r>
          </w:p>
        </w:tc>
        <w:tc>
          <w:tcPr>
            <w:tcW w:type="dxa" w:w="2600"/>
          </w:tcPr>
          <w:p>
            <w:r>
              <w:rPr>
                <w:b w:val="false"/>
                <w:bCs w:val="false"/>
                <w:sz w:val="20"/>
                <w:szCs w:val="20"/>
              </w:rPr>
              <w:t xml:space="preserve">Slot 2 control cores (§10.7.3)</w:t>
            </w:r>
          </w:p>
        </w:tc>
      </w:tr>
    </w:tbl>
    <w:p>
      <w:pPr>
        <w:spacing w:after="200"/>
      </w:pPr>
      <w:r>
        <w:rPr>
          <w:i/>
          <w:iCs/>
          <w:sz w:val="20"/>
          <w:szCs w:val="20"/>
        </w:rPr>
        <w:t xml:space="preserve">Table 6-2. Connectivity Plane — Functional Split by WP#20 §6 Node-Intelligence Function (Face definitions carried forward into R5 slot structure)</w:t>
      </w:r>
    </w:p>
    <w:p>
      <w:pPr>
        <w:spacing w:after="160"/>
      </w:pPr>
      <w:r>
        <w:rPr>
          <w:b w:val="false"/>
          <w:bCs w:val="false"/>
          <w:i w:val="false"/>
          <w:iCs w:val="false"/>
          <w:sz w:val="22"/>
          <w:szCs w:val="22"/>
        </w:rPr>
        <w:t xml:space="preserve">Within either face, each core is a single bidirectional path, consistent with the dominant Velsanet pattern (WP#04 §8.1; WP#25 R1-3) — not a fixed receive-only/transmit-only assignment. Pending Updates Log §1.5's face-separation principle (SEU1/SEU2-A/SEU2-B each on their own physical face within a Core Stack) is unaffected by this revision or by R5.</w:t>
      </w:r>
    </w:p>
    <w:p>
      <w:pPr>
        <w:pStyle w:val="Heading2"/>
        <w:spacing w:after="160" w:before="280"/>
      </w:pPr>
      <w:r>
        <w:rPr>
          <w:b/>
          <w:bCs/>
        </w:rPr>
        <w:t xml:space="preserve">6.2 Connectivity Plane — NPU-Executed Task Model (New in R6)</w:t>
      </w:r>
    </w:p>
    <w:p>
      <w:pPr>
        <w:spacing w:after="160"/>
      </w:pPr>
      <w:r>
        <w:rPr>
          <w:b w:val="false"/>
          <w:bCs w:val="false"/>
          <w:i w:val="false"/>
          <w:iCs w:val="false"/>
          <w:sz w:val="22"/>
          <w:szCs w:val="22"/>
        </w:rPr>
        <w:t xml:space="preserve">The Connectivity Plane (Slot 1/2 control cores, §10.7.3) is not a statistical or predictive control plane. It is the request/notification channel through which the Node Intelligence NPU (§10.7.11) receives two categories of trigger: accepted AI cooperation requests (from Section 7's negotiation protocol) and Matrix-reported link-status events (§10.7.2).</w:t>
      </w:r>
    </w:p>
    <w:p>
      <w:pPr>
        <w:spacing w:after="160"/>
      </w:pPr>
      <w:r>
        <w:rPr>
          <w:b w:val="false"/>
          <w:bCs w:val="false"/>
          <w:i w:val="false"/>
          <w:iCs w:val="false"/>
          <w:sz w:val="22"/>
          <w:szCs w:val="22"/>
        </w:rPr>
        <w:t xml:space="preserve">In both cases, the NPU executes a pre-defined, deterministic response — configuration per the negotiated request, or failover per §10.7.2/§10.7.10 — rather than learning or predicting network behavior. This preserves the deterministic-latency principle stated for the Pass function (§10.7.9) and is consistent with the A=f(T) principle that Velsanet's structural guarantees are physical, not statistical: the NPU executes outcomes that Section 7's negotiation protocol and the hypercube topology already determine; it does not itself decide them.</w:t>
      </w:r>
    </w:p>
    <w:p>
      <w:pPr>
        <w:pStyle w:val="Heading1"/>
        <w:spacing w:after="160" w:before="280"/>
      </w:pPr>
      <w:r>
        <w:rPr>
          <w:b/>
          <w:bCs/>
        </w:rPr>
        <w:t xml:space="preserve">7. Core Stack Activation &amp; Negotiation Protocol</w:t>
      </w:r>
    </w:p>
    <w:p>
      <w:pPr>
        <w:spacing w:after="160"/>
      </w:pPr>
      <w:r>
        <w:rPr>
          <w:b w:val="false"/>
          <w:bCs w:val="false"/>
          <w:i w:val="false"/>
          <w:iCs w:val="false"/>
          <w:sz w:val="22"/>
          <w:szCs w:val="22"/>
        </w:rPr>
        <w:t xml:space="preserve">This section resolves WP#25 R1-5, using Pending Updates Log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D9D9D9" w:val="clear"/>
          </w:tcPr>
          <w:p>
            <w:r>
              <w:rPr>
                <w:b/>
                <w:bCs/>
                <w:sz w:val="20"/>
                <w:szCs w:val="20"/>
              </w:rPr>
              <w:t xml:space="preserve">Protocol Element</w:t>
            </w:r>
          </w:p>
        </w:tc>
        <w:tc>
          <w:tcPr>
            <w:tcW w:type="dxa" w:w="6960"/>
            <w:shd w:fill="D9D9D9" w:val="clear"/>
          </w:tcPr>
          <w:p>
            <w:r>
              <w:rPr>
                <w:b/>
                <w:bCs/>
                <w:sz w:val="20"/>
                <w:szCs w:val="20"/>
              </w:rPr>
              <w:t xml:space="preserve">Definition</w:t>
            </w:r>
          </w:p>
        </w:tc>
      </w:tr>
      <w:tr>
        <w:tc>
          <w:tcPr>
            <w:tcW w:type="dxa" w:w="2400"/>
          </w:tcPr>
          <w:p>
            <w:r>
              <w:rPr>
                <w:b w:val="false"/>
                <w:bCs w:val="false"/>
                <w:sz w:val="20"/>
                <w:szCs w:val="20"/>
              </w:rPr>
              <w:t xml:space="preserve">Parties</w:t>
            </w:r>
          </w:p>
        </w:tc>
        <w:tc>
          <w:tcPr>
            <w:tcW w:type="dxa" w:w="6960"/>
          </w:tcPr>
          <w:p>
            <w:r>
              <w:rPr>
                <w:b w:val="false"/>
                <w:bCs w:val="false"/>
                <w:sz w:val="20"/>
                <w:szCs w:val="20"/>
              </w:rPr>
              <w:t xml:space="preserve">AI system (PAI/EAI) and Velsanet equipment (Velsa/Network AI), negotiating over the Connectivity Plane (Section 6 / Slot 1–2, §10.7.3)</w:t>
            </w:r>
          </w:p>
        </w:tc>
      </w:tr>
      <w:tr>
        <w:tc>
          <w:tcPr>
            <w:tcW w:type="dxa" w:w="2400"/>
          </w:tcPr>
          <w:p>
            <w:r>
              <w:rPr>
                <w:b w:val="false"/>
                <w:bCs w:val="false"/>
                <w:sz w:val="20"/>
                <w:szCs w:val="20"/>
              </w:rPr>
              <w:t xml:space="preserve">Message types</w:t>
            </w:r>
          </w:p>
        </w:tc>
        <w:tc>
          <w:tcPr>
            <w:tcW w:type="dxa" w:w="6960"/>
          </w:tcPr>
          <w:p>
            <w:r>
              <w:rPr>
                <w:b w:val="false"/>
                <w:bCs w:val="false"/>
                <w:sz w:val="20"/>
                <w:szCs w:val="20"/>
              </w:rPr>
              <w:t xml:space="preserve">Attach; capability/health handshake; layer activation/deactivation request; equipment-initiated renegotiation (e.g. on power shortage); Release; Release_Ack; Force_Release (R9 — see Table 7-1a)</w:t>
            </w:r>
          </w:p>
        </w:tc>
      </w:tr>
      <w:tr>
        <w:tc>
          <w:tcPr>
            <w:tcW w:type="dxa" w:w="2400"/>
          </w:tcPr>
          <w:p>
            <w:r>
              <w:rPr>
                <w:b w:val="false"/>
                <w:bCs w:val="false"/>
                <w:sz w:val="20"/>
                <w:szCs w:val="20"/>
              </w:rPr>
              <w:t xml:space="preserve">Scope fixed by WP#25</w:t>
            </w:r>
          </w:p>
        </w:tc>
        <w:tc>
          <w:tcPr>
            <w:tcW w:type="dxa" w:w="6960"/>
          </w:tcPr>
          <w:p>
            <w:r>
              <w:rPr>
                <w:b w:val="false"/>
                <w:bCs w:val="false"/>
                <w:sz w:val="20"/>
                <w:szCs w:val="20"/>
              </w:rPr>
              <w:t xml:space="preserve">Only the existence and timing of negotiation was fixed in WP#25; the protocol format itself was deferred to this document</w:t>
            </w:r>
          </w:p>
        </w:tc>
      </w:tr>
    </w:tbl>
    <w:p>
      <w:pPr>
        <w:spacing w:after="200"/>
      </w:pPr>
      <w:r>
        <w:rPr>
          <w:i/>
          <w:iCs/>
          <w:sz w:val="20"/>
          <w:szCs w:val="20"/>
        </w:rPr>
        <w:t xml:space="preserve">Table 7-1. Core Stack Negotiation Protocol — Confirmed Elements (Pending Updates Log §1.6)</w:t>
      </w:r>
    </w:p>
    <w:p>
      <w:pPr>
        <w:pStyle w:val="Heading2"/>
        <w:spacing w:after="160" w:before="280"/>
      </w:pPr>
      <w:r>
        <w:rPr>
          <w:b/>
          <w:bCs/>
        </w:rPr>
        <w:t xml:space="preserve">7.0a Release, Release_Ack, and Force_Release (New in R9)</w:t>
      </w:r>
    </w:p>
    <w:p>
      <w:pPr>
        <w:spacing w:after="160"/>
      </w:pPr>
      <w:r>
        <w:rPr>
          <w:b/>
          <w:bCs/>
          <w:sz w:val="22"/>
          <w:szCs w:val="22"/>
        </w:rPr>
        <w:t xml:space="preserve">R9, per 창호. </w:t>
      </w:r>
      <w:r>
        <w:rPr>
          <w:sz w:val="22"/>
          <w:szCs w:val="22"/>
        </w:rPr>
        <w:t xml:space="preserve">Surfaced while drafting WP#30 §5's wire-level encoding: the original four message types (Table 7-1) had no explicit connection-release message — an architecture-level gap, not just an encoding detail, so it is fixed here rather than added silently in WP#30.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D9D9" w:val="clear"/>
          </w:tcPr>
          <w:p>
            <w:r>
              <w:rPr>
                <w:b/>
                <w:bCs/>
                <w:sz w:val="20"/>
                <w:szCs w:val="20"/>
              </w:rPr>
              <w:t xml:space="preserve">Message</w:t>
            </w:r>
          </w:p>
        </w:tc>
        <w:tc>
          <w:tcPr>
            <w:tcW w:type="dxa" w:w="2200"/>
            <w:shd w:fill="D9D9D9" w:val="clear"/>
          </w:tcPr>
          <w:p>
            <w:r>
              <w:rPr>
                <w:b/>
                <w:bCs/>
                <w:sz w:val="20"/>
                <w:szCs w:val="20"/>
              </w:rPr>
              <w:t xml:space="preserve">Direction</w:t>
            </w:r>
          </w:p>
        </w:tc>
        <w:tc>
          <w:tcPr>
            <w:tcW w:type="dxa" w:w="4960"/>
            <w:shd w:fill="D9D9D9" w:val="clear"/>
          </w:tcPr>
          <w:p>
            <w:r>
              <w:rPr>
                <w:b/>
                <w:bCs/>
                <w:sz w:val="20"/>
                <w:szCs w:val="20"/>
              </w:rPr>
              <w:t xml:space="preserve">Purpose</w:t>
            </w:r>
          </w:p>
        </w:tc>
      </w:tr>
      <w:tr>
        <w:tc>
          <w:tcPr>
            <w:tcW w:type="dxa" w:w="2200"/>
          </w:tcPr>
          <w:p>
            <w:r>
              <w:rPr>
                <w:b w:val="false"/>
                <w:bCs w:val="false"/>
                <w:sz w:val="20"/>
                <w:szCs w:val="20"/>
              </w:rPr>
              <w:t xml:space="preserve">Release</w:t>
            </w:r>
          </w:p>
        </w:tc>
        <w:tc>
          <w:tcPr>
            <w:tcW w:type="dxa" w:w="2200"/>
          </w:tcPr>
          <w:p>
            <w:r>
              <w:rPr>
                <w:b w:val="false"/>
                <w:bCs w:val="false"/>
                <w:sz w:val="20"/>
                <w:szCs w:val="20"/>
              </w:rPr>
              <w:t xml:space="preserve">PAI/EAI → O8</w:t>
            </w:r>
          </w:p>
        </w:tc>
        <w:tc>
          <w:tcPr>
            <w:tcW w:type="dxa" w:w="4960"/>
          </w:tcPr>
          <w:p>
            <w:r>
              <w:rPr>
                <w:b w:val="false"/>
                <w:bCs w:val="false"/>
                <w:sz w:val="20"/>
                <w:szCs w:val="20"/>
              </w:rPr>
              <w:t xml:space="preserve">Explicit, intentional disconnection request (normal termination)</w:t>
            </w:r>
          </w:p>
        </w:tc>
      </w:tr>
      <w:tr>
        <w:tc>
          <w:tcPr>
            <w:tcW w:type="dxa" w:w="2200"/>
          </w:tcPr>
          <w:p>
            <w:r>
              <w:rPr>
                <w:b w:val="false"/>
                <w:bCs w:val="false"/>
                <w:sz w:val="20"/>
                <w:szCs w:val="20"/>
              </w:rPr>
              <w:t xml:space="preserve">Release_Ack</w:t>
            </w:r>
          </w:p>
        </w:tc>
        <w:tc>
          <w:tcPr>
            <w:tcW w:type="dxa" w:w="2200"/>
          </w:tcPr>
          <w:p>
            <w:r>
              <w:rPr>
                <w:b w:val="false"/>
                <w:bCs w:val="false"/>
                <w:sz w:val="20"/>
                <w:szCs w:val="20"/>
              </w:rPr>
              <w:t xml:space="preserve">O8 → PAI/EAI</w:t>
            </w:r>
          </w:p>
        </w:tc>
        <w:tc>
          <w:tcPr>
            <w:tcW w:type="dxa" w:w="4960"/>
          </w:tcPr>
          <w:p>
            <w:r>
              <w:rPr>
                <w:b w:val="false"/>
                <w:bCs w:val="false"/>
                <w:sz w:val="20"/>
                <w:szCs w:val="20"/>
              </w:rPr>
              <w:t xml:space="preserve">Confirms the release has completed</w:t>
            </w:r>
          </w:p>
        </w:tc>
      </w:tr>
      <w:tr>
        <w:tc>
          <w:tcPr>
            <w:tcW w:type="dxa" w:w="2200"/>
          </w:tcPr>
          <w:p>
            <w:r>
              <w:rPr>
                <w:b w:val="false"/>
                <w:bCs w:val="false"/>
                <w:sz w:val="20"/>
                <w:szCs w:val="20"/>
              </w:rPr>
              <w:t xml:space="preserve">Force_Release</w:t>
            </w:r>
          </w:p>
        </w:tc>
        <w:tc>
          <w:tcPr>
            <w:tcW w:type="dxa" w:w="2200"/>
          </w:tcPr>
          <w:p>
            <w:r>
              <w:rPr>
                <w:b w:val="false"/>
                <w:bCs w:val="false"/>
                <w:sz w:val="20"/>
                <w:szCs w:val="20"/>
              </w:rPr>
              <w:t xml:space="preserve">O8 → PAI/EAI</w:t>
            </w:r>
          </w:p>
        </w:tc>
        <w:tc>
          <w:tcPr>
            <w:tcW w:type="dxa" w:w="4960"/>
          </w:tcPr>
          <w:p>
            <w:r>
              <w:rPr>
                <w:b w:val="false"/>
                <w:bCs w:val="false"/>
                <w:sz w:val="20"/>
                <w:szCs w:val="20"/>
              </w:rPr>
              <w:t xml:space="preserve">Node-initiated forced disconnection notice</w:t>
            </w:r>
          </w:p>
        </w:tc>
      </w:tr>
    </w:tbl>
    <w:p>
      <w:pPr>
        <w:spacing w:after="200"/>
      </w:pPr>
      <w:r>
        <w:rPr>
          <w:i/>
          <w:iCs/>
          <w:sz w:val="20"/>
          <w:szCs w:val="20"/>
        </w:rPr>
        <w:t xml:space="preserve">Table 7-1a. New Message Types (R9)</w:t>
      </w:r>
    </w:p>
    <w:p>
      <w:pPr>
        <w:spacing w:after="160"/>
      </w:pPr>
      <w:r>
        <w:rPr>
          <w:b w:val="false"/>
          <w:bCs w:val="false"/>
          <w:i w:val="false"/>
          <w:iCs w:val="false"/>
          <w:sz w:val="22"/>
          <w:szCs w:val="22"/>
        </w:rPr>
        <w:t xml:space="preserve">Force_Release's trigger discipline: per 창호's confirmation, Force_Release is issued by the NPU's rule-based execution of the self-healing sequence already defined at §10.7.2 (LOS/BER detection → alternate path discovery → Pass activation) — it is not a discretionary NPU judgment call ("this looks like it might be failing"). This keeps Force_Release consistent with §6.2's principle that the NPU executes pre-defined deterministic responses rather than deciding outcomes itself.</w:t>
      </w:r>
    </w:p>
    <w:p>
      <w:pPr>
        <w:pStyle w:val="Heading2"/>
        <w:spacing w:after="160" w:before="280"/>
      </w:pPr>
      <w:r>
        <w:rPr>
          <w:b/>
          <w:bCs/>
        </w:rPr>
        <w:t xml:space="preserve">7.1 Degradation-Priority Scenario — Proposed, Not Yet Confirmed</w:t>
      </w:r>
    </w:p>
    <w:p>
      <w:pPr>
        <w:spacing w:after="160"/>
      </w:pPr>
      <w:r>
        <w:rPr>
          <w:b/>
          <w:bCs/>
          <w:i/>
          <w:iCs/>
          <w:sz w:val="22"/>
          <w:szCs w:val="22"/>
        </w:rPr>
        <w:t xml:space="preserve">Unconfirmed — PU-1.7: </w:t>
      </w:r>
      <w:r>
        <w:rPr>
          <w:i/>
          <w:iCs/>
          <w:sz w:val="22"/>
          <w:szCs w:val="22"/>
        </w:rPr>
        <w:t xml:space="preserve">Pending Updates Log §1.7 records a draft degradation-priority scenario for equipment-initiated renegotiation, explicitly marked as a recommendation, not yet confirmed by 창호. Layer 0 (SEU1) and Layer 1 (SEU2-A) would never be reclaimed. If Layer 2 (SEU1 redundancy) and Layer 3 (SEU2-B, cognition reporting) cannot both be sustained, Layer 2 would be released before Layer 3, consistent with WP#25 B.13.2's "SEU2-A failure must not block SEU2-B" invariant. This remains open (OI-29-02) until 창호 confirms or revises it.</w:t>
      </w:r>
    </w:p>
    <w:p>
      <w:pPr>
        <w:pStyle w:val="Heading1"/>
        <w:spacing w:after="160" w:before="280"/>
      </w:pPr>
      <w:r>
        <w:rPr>
          <w:b/>
          <w:bCs/>
        </w:rPr>
        <w:t xml:space="preserve">8. Interface Definition — Node-to-Node and Node-to-Cognition-Cube</w:t>
      </w:r>
    </w:p>
    <w:p>
      <w:pPr>
        <w:spacing w:after="160"/>
      </w:pPr>
      <w:r>
        <w:rPr>
          <w:b w:val="false"/>
          <w:bCs w:val="false"/>
          <w:i w:val="false"/>
          <w:iCs w:val="false"/>
          <w:sz w:val="22"/>
          <w:szCs w:val="22"/>
        </w:rPr>
        <w:t xml:space="preserve">O8/D12/I20 node equipment is the deployment context in which WP#24–26's Cognition Cube hardware operates: the SEU1/SEU2 RTL engines (WP#26) sit inside the Dedicated Equipment attached to a node's instance-facing slots, while the node itself handles Connectivity Plane negotiation (Section 7) and inter-node channel switching (Section 3) that gets traffic to and from that equipment.</w:t>
      </w:r>
    </w:p>
    <w:p>
      <w:pPr>
        <w:spacing w:after="200"/>
      </w:pPr>
      <w:r>
        <w:rPr>
          <w:b/>
          <w:bCs/>
          <w:i/>
          <w:iCs/>
          <w:sz w:val="22"/>
          <w:szCs w:val="22"/>
        </w:rPr>
        <w:t xml:space="preserve">Open — OI-29-01: </w:t>
      </w:r>
      <w:r>
        <w:rPr>
          <w:i/>
          <w:iCs/>
          <w:sz w:val="22"/>
          <w:szCs w:val="22"/>
        </w:rPr>
        <w:t xml:space="preserve">The exact register/signal-level interface between the node equipment defined in this document and the Dedicated Equipment RTL defined in WP#26 is not specified. Candidate for WP#30.</w:t>
      </w:r>
    </w:p>
    <w:p>
      <w:pPr>
        <w:pStyle w:val="Heading1"/>
        <w:spacing w:after="160" w:before="280"/>
      </w:pPr>
      <w:r>
        <w:rPr>
          <w:b/>
          <w:bCs/>
        </w:rPr>
        <w:t xml:space="preserve">10. Node Equipment Physical Architecture</w:t>
      </w:r>
    </w:p>
    <w:p>
      <w:pPr>
        <w:spacing w:after="160"/>
      </w:pPr>
      <w:r>
        <w:rPr>
          <w:b w:val="false"/>
          <w:bCs w:val="false"/>
          <w:i w:val="false"/>
          <w:iCs w:val="false"/>
          <w:sz w:val="22"/>
          <w:szCs w:val="22"/>
        </w:rPr>
        <w:t xml:space="preserve">Sections 3–8 fixed the logical/electrical architecture of node equipment. This section adds the physical-implementation elements a System Architecture Design document requires.</w:t>
      </w:r>
    </w:p>
    <w:p>
      <w:pPr>
        <w:pStyle w:val="Heading2"/>
        <w:spacing w:after="160" w:before="280"/>
      </w:pPr>
      <w:r>
        <w:rPr>
          <w:b/>
          <w:bCs/>
        </w:rPr>
        <w:t xml:space="preserve">10.1 Block Diagram</w:t>
      </w:r>
    </w:p>
    <w:p>
      <w:pPr>
        <w:spacing w:after="200"/>
      </w:pPr>
      <w:r>
        <w:rPr>
          <w:i/>
          <w:iCs/>
          <w:sz w:val="20"/>
          <w:szCs w:val="20"/>
        </w:rPr>
        <w:t xml:space="preserve">Figure 10-1. O8 Node Equipment — Internal Block Diagram</w:t>
      </w:r>
    </w:p>
    <w:p>
      <w:pPr>
        <w:pStyle w:val="Heading2"/>
        <w:spacing w:after="160" w:before="280"/>
      </w:pPr>
      <w:r>
        <w:rPr>
          <w:b/>
          <w:bCs/>
        </w:rPr>
        <w:t xml:space="preserve">10.2 Power &amp; Clock Distribution</w:t>
      </w:r>
    </w:p>
    <w:p>
      <w:pPr>
        <w:spacing w:after="160"/>
      </w:pPr>
      <w:r>
        <w:rPr>
          <w:b w:val="false"/>
          <w:bCs w:val="false"/>
          <w:i w:val="false"/>
          <w:iCs w:val="false"/>
          <w:sz w:val="22"/>
          <w:szCs w:val="22"/>
        </w:rPr>
        <w:t xml:space="preserve">A node chassis draws from facility power into a node-level PSU, which distributes to: (a) the always-on control/negotiation blocks (Slot 1/2 control cores), and (b) per-instance rails feeding each Dedicated Equipment instance's own SEU1/SEU2 power domains. Clock distribution follows the same split: the node forwards a PTP master reference to instance-facing traffic, while control/negotiation traffic is non-real-time and does not require PTP discipline.</w:t>
      </w:r>
    </w:p>
    <w:p>
      <w:pPr>
        <w:spacing w:after="200"/>
      </w:pPr>
      <w:r>
        <w:rPr>
          <w:b/>
          <w:bCs/>
          <w:i/>
          <w:iCs/>
          <w:sz w:val="22"/>
          <w:szCs w:val="22"/>
        </w:rPr>
        <w:t xml:space="preserve">Open — OI-29-05: </w:t>
      </w:r>
      <w:r>
        <w:rPr>
          <w:i/>
          <w:iCs/>
          <w:sz w:val="22"/>
          <w:szCs w:val="22"/>
        </w:rPr>
        <w:t xml:space="preserve">The exact node-level PSU topology (single supply with N-way distribution vs. redundant dual-feed, specific voltage rails) is not specified.</w:t>
      </w:r>
    </w:p>
    <w:p>
      <w:pPr>
        <w:pStyle w:val="Heading2"/>
        <w:spacing w:after="160" w:before="280"/>
      </w:pPr>
      <w:r>
        <w:rPr>
          <w:b/>
          <w:bCs/>
        </w:rPr>
        <w:t xml:space="preserve">10.3 Thermal / Cooling Design</w:t>
      </w:r>
    </w:p>
    <w:p>
      <w:pPr>
        <w:spacing w:after="160"/>
      </w:pPr>
      <w:r>
        <w:rPr>
          <w:b w:val="false"/>
          <w:bCs w:val="false"/>
          <w:i w:val="false"/>
          <w:iCs w:val="false"/>
          <w:sz w:val="22"/>
          <w:szCs w:val="22"/>
        </w:rPr>
        <w:t xml:space="preserve">The Compendium §6.1 establishes passive/heat-pipe spreading for general heat, with liquid cooling reserved for high-performance optical core transceivers and processors. This document adopts the same split at node level.</w:t>
      </w:r>
    </w:p>
    <w:p>
      <w:pPr>
        <w:spacing w:after="200"/>
      </w:pPr>
      <w:r>
        <w:rPr>
          <w:b/>
          <w:bCs/>
          <w:i/>
          <w:iCs/>
          <w:sz w:val="22"/>
          <w:szCs w:val="22"/>
        </w:rPr>
        <w:t xml:space="preserve">Open — OI-29-06: </w:t>
      </w:r>
      <w:r>
        <w:rPr>
          <w:i/>
          <w:iCs/>
          <w:sz w:val="22"/>
          <w:szCs w:val="22"/>
        </w:rPr>
        <w:t xml:space="preserve">No node-level thermal budget (watts, junction temperature, airflow CFM) is specified.</w:t>
      </w:r>
    </w:p>
    <w:p>
      <w:pPr>
        <w:pStyle w:val="Heading2"/>
        <w:spacing w:after="160" w:before="280"/>
      </w:pPr>
      <w:r>
        <w:rPr>
          <w:b/>
          <w:bCs/>
        </w:rPr>
        <w:t xml:space="preserve">10.4 Physical Form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D9D9D9" w:val="clear"/>
          </w:tcPr>
          <w:p>
            <w:r>
              <w:rPr>
                <w:b/>
                <w:bCs/>
                <w:sz w:val="20"/>
                <w:szCs w:val="20"/>
              </w:rPr>
              <w:t xml:space="preserve">Parameter</w:t>
            </w:r>
          </w:p>
        </w:tc>
        <w:tc>
          <w:tcPr>
            <w:tcW w:type="dxa" w:w="6960"/>
            <w:shd w:fill="D9D9D9" w:val="clear"/>
          </w:tcPr>
          <w:p>
            <w:r>
              <w:rPr>
                <w:b/>
                <w:bCs/>
                <w:sz w:val="20"/>
                <w:szCs w:val="20"/>
              </w:rPr>
              <w:t xml:space="preserve">Specification (R5)</w:t>
            </w:r>
          </w:p>
        </w:tc>
      </w:tr>
      <w:tr>
        <w:tc>
          <w:tcPr>
            <w:tcW w:type="dxa" w:w="2400"/>
          </w:tcPr>
          <w:p>
            <w:r>
              <w:rPr>
                <w:b w:val="false"/>
                <w:bCs w:val="false"/>
                <w:sz w:val="20"/>
                <w:szCs w:val="20"/>
              </w:rPr>
              <w:t xml:space="preserve">MOCT ribbon structure (O8)</w:t>
            </w:r>
          </w:p>
        </w:tc>
        <w:tc>
          <w:tcPr>
            <w:tcW w:type="dxa" w:w="6960"/>
          </w:tcPr>
          <w:p>
            <w:r>
              <w:rPr>
                <w:b w:val="false"/>
                <w:bCs w:val="false"/>
                <w:sz w:val="20"/>
                <w:szCs w:val="20"/>
              </w:rPr>
              <w:t xml:space="preserve">Superseded in R5 — see §10.7.3 for the current 8-slot/1,536-core breakdown</w:t>
            </w:r>
          </w:p>
        </w:tc>
      </w:tr>
      <w:tr>
        <w:tc>
          <w:tcPr>
            <w:tcW w:type="dxa" w:w="2400"/>
          </w:tcPr>
          <w:p>
            <w:r>
              <w:rPr>
                <w:b w:val="false"/>
                <w:bCs w:val="false"/>
                <w:sz w:val="20"/>
                <w:szCs w:val="20"/>
              </w:rPr>
              <w:t xml:space="preserve">Front-panel slot layout (O8)</w:t>
            </w:r>
          </w:p>
        </w:tc>
        <w:tc>
          <w:tcPr>
            <w:tcW w:type="dxa" w:w="6960"/>
          </w:tcPr>
          <w:p>
            <w:r>
              <w:rPr>
                <w:b w:val="false"/>
                <w:bCs w:val="false"/>
                <w:sz w:val="20"/>
                <w:szCs w:val="20"/>
              </w:rPr>
              <w:t xml:space="preserve">8 fixed MOCT ribbon slots × 192 cores/slot = 1,536 cores total (R5-4; supersedes v1.3's 24 cores/slot, 192 total)</w:t>
            </w:r>
          </w:p>
        </w:tc>
      </w:tr>
      <w:tr>
        <w:tc>
          <w:tcPr>
            <w:tcW w:type="dxa" w:w="2400"/>
          </w:tcPr>
          <w:p>
            <w:r>
              <w:rPr>
                <w:b w:val="false"/>
                <w:bCs w:val="false"/>
                <w:sz w:val="20"/>
                <w:szCs w:val="20"/>
              </w:rPr>
              <w:t xml:space="preserve">O8 chassis height</w:t>
            </w:r>
          </w:p>
        </w:tc>
        <w:tc>
          <w:tcPr>
            <w:tcW w:type="dxa" w:w="6960"/>
          </w:tcPr>
          <w:p>
            <w:r>
              <w:rPr>
                <w:b w:val="false"/>
                <w:bCs w:val="false"/>
                <w:sz w:val="20"/>
                <w:szCs w:val="20"/>
              </w:rPr>
              <w:t xml:space="preserve">Approximately 2U, given the 8-slot front-panel layout (unchanged from v1.3)</w:t>
            </w:r>
          </w:p>
        </w:tc>
      </w:tr>
      <w:tr>
        <w:tc>
          <w:tcPr>
            <w:tcW w:type="dxa" w:w="2400"/>
          </w:tcPr>
          <w:p>
            <w:r>
              <w:rPr>
                <w:b w:val="false"/>
                <w:bCs w:val="false"/>
                <w:sz w:val="20"/>
                <w:szCs w:val="20"/>
              </w:rPr>
              <w:t xml:space="preserve">Mounting standard</w:t>
            </w:r>
          </w:p>
        </w:tc>
        <w:tc>
          <w:tcPr>
            <w:tcW w:type="dxa" w:w="6960"/>
          </w:tcPr>
          <w:p>
            <w:r>
              <w:rPr>
                <w:b w:val="false"/>
                <w:bCs w:val="false"/>
                <w:sz w:val="20"/>
                <w:szCs w:val="20"/>
              </w:rPr>
              <w:t xml:space="preserve">19-inch rack, EIA-310-D (WP#27 §5.1)</w:t>
            </w:r>
          </w:p>
        </w:tc>
      </w:tr>
      <w:tr>
        <w:tc>
          <w:tcPr>
            <w:tcW w:type="dxa" w:w="2400"/>
          </w:tcPr>
          <w:p>
            <w:r>
              <w:rPr>
                <w:b w:val="false"/>
                <w:bCs w:val="false"/>
                <w:sz w:val="20"/>
                <w:szCs w:val="20"/>
              </w:rPr>
              <w:t xml:space="preserve">D12/I20 chassis</w:t>
            </w:r>
          </w:p>
        </w:tc>
        <w:tc>
          <w:tcPr>
            <w:tcW w:type="dxa" w:w="6960"/>
          </w:tcPr>
          <w:p>
            <w:r>
              <w:rPr>
                <w:b w:val="false"/>
                <w:bCs w:val="false"/>
                <w:sz w:val="20"/>
                <w:szCs w:val="20"/>
              </w:rPr>
              <w:t xml:space="preserve">SUPERSEDED IN R8 — no longer O8-uniform. D12 = 12 faces × 768 cores/face = 9,216 total; I20 = 20 faces × 3,072 cores/face = 61,440 total (Table 4-4, §4.6). Chassis height for both remains open (OI-29-07).</w:t>
            </w:r>
          </w:p>
        </w:tc>
      </w:tr>
    </w:tbl>
    <w:p>
      <w:pPr>
        <w:spacing w:after="200"/>
      </w:pPr>
      <w:r>
        <w:rPr>
          <w:i/>
          <w:iCs/>
          <w:sz w:val="20"/>
          <w:szCs w:val="20"/>
        </w:rPr>
        <w:t xml:space="preserve">Table 10-1. Physical Form Factor — Updated for R5 1,536-core structure</w:t>
      </w:r>
    </w:p>
    <w:p>
      <w:pPr>
        <w:spacing w:after="200"/>
      </w:pPr>
      <w:r>
        <w:rPr>
          <w:b/>
          <w:bCs/>
          <w:i/>
          <w:iCs/>
          <w:sz w:val="22"/>
          <w:szCs w:val="22"/>
        </w:rPr>
        <w:t xml:space="preserve">Open — OI-29-07: </w:t>
      </w:r>
      <w:r>
        <w:rPr>
          <w:i/>
          <w:iCs/>
          <w:sz w:val="22"/>
          <w:szCs w:val="22"/>
        </w:rPr>
        <w:t xml:space="preserve">D12/I20 chassis height is not yet fixed — depends on how many O8 uplinks each aggregates, which depends on the density rule in Section 5 (OI-29-04).</w:t>
      </w:r>
    </w:p>
    <w:p>
      <w:pPr>
        <w:pStyle w:val="Heading2"/>
        <w:spacing w:after="160" w:before="280"/>
      </w:pPr>
      <w:r>
        <w:rPr>
          <w:b/>
          <w:bCs/>
        </w:rPr>
        <w:t xml:space="preserve">10.5 Interface Panel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D9D9D9" w:val="clear"/>
          </w:tcPr>
          <w:p>
            <w:r>
              <w:rPr>
                <w:b/>
                <w:bCs/>
                <w:sz w:val="20"/>
                <w:szCs w:val="20"/>
              </w:rPr>
              <w:t xml:space="preserve">Panel Group</w:t>
            </w:r>
          </w:p>
        </w:tc>
        <w:tc>
          <w:tcPr>
            <w:tcW w:type="dxa" w:w="3960"/>
            <w:shd w:fill="D9D9D9" w:val="clear"/>
          </w:tcPr>
          <w:p>
            <w:r>
              <w:rPr>
                <w:b/>
                <w:bCs/>
                <w:sz w:val="20"/>
                <w:szCs w:val="20"/>
              </w:rPr>
              <w:t xml:space="preserve">Interface Type</w:t>
            </w:r>
          </w:p>
        </w:tc>
        <w:tc>
          <w:tcPr>
            <w:tcW w:type="dxa" w:w="3000"/>
            <w:shd w:fill="D9D9D9" w:val="clear"/>
          </w:tcPr>
          <w:p>
            <w:r>
              <w:rPr>
                <w:b/>
                <w:bCs/>
                <w:sz w:val="20"/>
                <w:szCs w:val="20"/>
              </w:rPr>
              <w:t xml:space="preserve">Maps To</w:t>
            </w:r>
          </w:p>
        </w:tc>
      </w:tr>
      <w:tr>
        <w:tc>
          <w:tcPr>
            <w:tcW w:type="dxa" w:w="2400"/>
          </w:tcPr>
          <w:p>
            <w:r>
              <w:rPr>
                <w:b w:val="false"/>
                <w:bCs w:val="false"/>
                <w:sz w:val="20"/>
                <w:szCs w:val="20"/>
              </w:rPr>
              <w:t xml:space="preserve">Optical in/out (O8)</w:t>
            </w:r>
          </w:p>
        </w:tc>
        <w:tc>
          <w:tcPr>
            <w:tcW w:type="dxa" w:w="3960"/>
          </w:tcPr>
          <w:p>
            <w:r>
              <w:rPr>
                <w:b w:val="false"/>
                <w:bCs w:val="false"/>
                <w:sz w:val="20"/>
                <w:szCs w:val="20"/>
              </w:rPr>
              <w:t xml:space="preserve">8× MOCT fixed-ribbon slots, 192 cores/slot (R5), factory-fused, no field connectors</w:t>
            </w:r>
          </w:p>
        </w:tc>
        <w:tc>
          <w:tcPr>
            <w:tcW w:type="dxa" w:w="3000"/>
          </w:tcPr>
          <w:p>
            <w:r>
              <w:rPr>
                <w:b w:val="false"/>
                <w:bCs w:val="false"/>
                <w:sz w:val="20"/>
                <w:szCs w:val="20"/>
              </w:rPr>
              <w:t xml:space="preserve">Slot 1–8 functions (§10.7.3); uplink Bundle to D12</w:t>
            </w:r>
          </w:p>
        </w:tc>
      </w:tr>
      <w:tr>
        <w:tc>
          <w:tcPr>
            <w:tcW w:type="dxa" w:w="2400"/>
          </w:tcPr>
          <w:p>
            <w:r>
              <w:rPr>
                <w:b w:val="false"/>
                <w:bCs w:val="false"/>
                <w:sz w:val="20"/>
                <w:szCs w:val="20"/>
              </w:rPr>
              <w:t xml:space="preserve">Power in</w:t>
            </w:r>
          </w:p>
        </w:tc>
        <w:tc>
          <w:tcPr>
            <w:tcW w:type="dxa" w:w="3960"/>
          </w:tcPr>
          <w:p>
            <w:r>
              <w:rPr>
                <w:b w:val="false"/>
                <w:bCs w:val="false"/>
                <w:sz w:val="20"/>
                <w:szCs w:val="20"/>
              </w:rPr>
              <w:t xml:space="preserve">Facility PDU or PoE++/DC per deployment context</w:t>
            </w:r>
          </w:p>
        </w:tc>
        <w:tc>
          <w:tcPr>
            <w:tcW w:type="dxa" w:w="3000"/>
          </w:tcPr>
          <w:p>
            <w:r>
              <w:rPr>
                <w:b w:val="false"/>
                <w:bCs w:val="false"/>
                <w:sz w:val="20"/>
                <w:szCs w:val="20"/>
              </w:rPr>
              <w:t xml:space="preserve">Node-level PSU (Section 10.2)</w:t>
            </w:r>
          </w:p>
        </w:tc>
      </w:tr>
      <w:tr>
        <w:tc>
          <w:tcPr>
            <w:tcW w:type="dxa" w:w="2400"/>
          </w:tcPr>
          <w:p>
            <w:r>
              <w:rPr>
                <w:b w:val="false"/>
                <w:bCs w:val="false"/>
                <w:sz w:val="20"/>
                <w:szCs w:val="20"/>
              </w:rPr>
              <w:t xml:space="preserve">Management port (OOB)</w:t>
            </w:r>
          </w:p>
        </w:tc>
        <w:tc>
          <w:tcPr>
            <w:tcW w:type="dxa" w:w="3960"/>
          </w:tcPr>
          <w:p>
            <w:r>
              <w:rPr>
                <w:b w:val="false"/>
                <w:bCs w:val="false"/>
                <w:sz w:val="20"/>
                <w:szCs w:val="20"/>
              </w:rPr>
              <w:t xml:space="preserve">Out-of-band, execution-layer/vendor choice — not yet specified</w:t>
            </w:r>
          </w:p>
        </w:tc>
        <w:tc>
          <w:tcPr>
            <w:tcW w:type="dxa" w:w="3000"/>
          </w:tcPr>
          <w:p>
            <w:r>
              <w:rPr>
                <w:b w:val="false"/>
                <w:bCs w:val="false"/>
                <w:sz w:val="20"/>
                <w:szCs w:val="20"/>
              </w:rPr>
              <w:t xml:space="preserve">Node Intelligence block status/diagnostics — no register-level definition exists yet</w:t>
            </w:r>
          </w:p>
        </w:tc>
      </w:tr>
    </w:tbl>
    <w:p>
      <w:pPr>
        <w:spacing w:after="200"/>
      </w:pPr>
      <w:r>
        <w:rPr>
          <w:i/>
          <w:iCs/>
          <w:sz w:val="20"/>
          <w:szCs w:val="20"/>
        </w:rPr>
        <w:t xml:space="preserve">Table 10-2. Interface Panel Groups</w:t>
      </w:r>
    </w:p>
    <w:p>
      <w:pPr>
        <w:spacing w:after="200"/>
      </w:pPr>
      <w:r>
        <w:rPr>
          <w:b/>
          <w:bCs/>
          <w:i/>
          <w:iCs/>
          <w:sz w:val="22"/>
          <w:szCs w:val="22"/>
        </w:rPr>
        <w:t xml:space="preserve">Open — OI-29-08: </w:t>
      </w:r>
      <w:r>
        <w:rPr>
          <w:i/>
          <w:iCs/>
          <w:sz w:val="22"/>
          <w:szCs w:val="22"/>
        </w:rPr>
        <w:t xml:space="preserve">The management port's physical connector type and protocol are not specified — no Velsanet document to date defines a node-level management/diagnostic interface at all.</w:t>
      </w:r>
    </w:p>
    <w:p>
      <w:pPr>
        <w:pStyle w:val="Heading2"/>
        <w:spacing w:after="160" w:before="280"/>
      </w:pPr>
      <w:r>
        <w:rPr>
          <w:b/>
          <w:bCs/>
        </w:rPr>
        <w:t xml:space="preserve">10.6 Rack Mounting Position</w:t>
      </w:r>
    </w:p>
    <w:p>
      <w:pPr>
        <w:spacing w:after="160"/>
      </w:pPr>
      <w:r>
        <w:rPr>
          <w:b w:val="false"/>
          <w:bCs w:val="false"/>
          <w:i w:val="false"/>
          <w:iCs w:val="false"/>
          <w:sz w:val="22"/>
          <w:szCs w:val="22"/>
        </w:rPr>
        <w:t xml:space="preserve">Per 창호: because the 8 MOCT slots face forward on the front panel, the chassis's rack-rail mounting point must sit further back in the rack than a standard-depth 2U unit would otherwise require.</w:t>
      </w:r>
    </w:p>
    <w:p>
      <w:pPr>
        <w:spacing w:after="200"/>
      </w:pPr>
      <w:r>
        <w:rPr>
          <w:i/>
          <w:iCs/>
          <w:sz w:val="20"/>
          <w:szCs w:val="20"/>
        </w:rPr>
        <w:t xml:space="preserve">Figure 10-2. O8 Rack Mounting — Side View, Rail Set-Back vs. Standard Rear-Cabled Reference</w:t>
      </w:r>
    </w:p>
    <w:p>
      <w:pPr>
        <w:spacing w:after="200"/>
      </w:pPr>
      <w:r>
        <w:rPr>
          <w:b/>
          <w:bCs/>
          <w:i/>
          <w:iCs/>
          <w:sz w:val="22"/>
          <w:szCs w:val="22"/>
        </w:rPr>
        <w:t xml:space="preserve">Open — OI-29-09: </w:t>
      </w:r>
      <w:r>
        <w:rPr>
          <w:i/>
          <w:iCs/>
          <w:sz w:val="22"/>
          <w:szCs w:val="22"/>
        </w:rPr>
        <w:t xml:space="preserve">The exact rail-position offset is not yet dimensioned — depends on the specific MOCT ribbon's physical length and minimum bend radius.</w:t>
      </w:r>
    </w:p>
    <w:p>
      <w:pPr>
        <w:pStyle w:val="Heading2"/>
        <w:spacing w:after="160" w:before="280"/>
      </w:pPr>
      <w:r>
        <w:rPr>
          <w:b/>
          <w:bCs/>
        </w:rPr>
        <w:t xml:space="preserve">10.7 O8 Node Operational Architecture: Pass Function, Self-Healing, and Hierarchical Topology Management</w:t>
      </w:r>
    </w:p>
    <w:p>
      <w:pPr>
        <w:spacing w:after="160"/>
      </w:pPr>
      <w:r>
        <w:rPr>
          <w:b w:val="false"/>
          <w:bCs w:val="false"/>
          <w:i w:val="false"/>
          <w:iCs w:val="false"/>
          <w:sz w:val="22"/>
          <w:szCs w:val="22"/>
        </w:rPr>
        <w:t xml:space="preserve">This section defines the complete operational behavior of the O8 node: its role as an active optical exchange, its self-healing mechanisms via the Pass function, and its hierarchical integration with D12 and I20 nodes. New in R5.</w:t>
      </w:r>
    </w:p>
    <w:p>
      <w:pPr>
        <w:pStyle w:val="Heading3"/>
        <w:spacing w:after="160" w:before="280"/>
      </w:pPr>
      <w:r>
        <w:rPr>
          <w:b/>
          <w:bCs/>
        </w:rPr>
        <w:t xml:space="preserve">10.7.1 Pass Function Overview</w:t>
      </w:r>
    </w:p>
    <w:p>
      <w:pPr>
        <w:spacing w:after="160"/>
      </w:pPr>
      <w:r>
        <w:rPr>
          <w:b w:val="false"/>
          <w:bCs w:val="false"/>
          <w:i w:val="false"/>
          <w:iCs w:val="false"/>
          <w:sz w:val="22"/>
          <w:szCs w:val="22"/>
        </w:rPr>
        <w:t xml:space="preserve">The O8 node performs optical-to-electrical-to-optical (O/E-EO) conversion on incoming optical signals. This conversion enables the node to inspect, switch, and redirect traffic without requiring packet-level processing, while maintaining deterministic latency and physical isolation.</w:t>
      </w:r>
    </w:p>
    <w:p>
      <w:pPr>
        <w:spacing w:after="160"/>
      </w:pPr>
      <w:r>
        <w:rPr>
          <w:b w:val="false"/>
          <w:bCs w:val="false"/>
          <w:i w:val="false"/>
          <w:iCs w:val="false"/>
          <w:sz w:val="22"/>
          <w:szCs w:val="22"/>
        </w:rPr>
        <w:t xml:space="preserve">The Pass function allows an O8 node to receive an optical signal from an external source (another O8, D12, or I20), convert it to the electrical domain for switching decisions, and retransmit it as an optical signal to the next node. This is not a passive optical bypass — it is an active, low-latency forwarding operation enabling traffic demultiplexing, path selection based on real-time link status, and fault circumvention around failed links within the hypercube topology.</w:t>
      </w:r>
    </w:p>
    <w:p>
      <w:pPr>
        <w:spacing w:after="160"/>
      </w:pPr>
      <w:r>
        <w:rPr>
          <w:b w:val="false"/>
          <w:bCs w:val="false"/>
          <w:i w:val="false"/>
          <w:iCs w:val="false"/>
          <w:sz w:val="22"/>
          <w:szCs w:val="22"/>
        </w:rPr>
        <w:t xml:space="preserve">The Pass function is implemented per core or per bundle, and is managed by the Node Intelligence block in coordination with the Connectivity Plane (Section 6).</w:t>
      </w:r>
    </w:p>
    <w:p>
      <w:pPr>
        <w:pStyle w:val="Heading3"/>
        <w:spacing w:after="160" w:before="280"/>
      </w:pPr>
      <w:r>
        <w:rPr>
          <w:b/>
          <w:bCs/>
        </w:rPr>
        <w:t xml:space="preserve">10.7.2 External Loopback and Self-Healing</w:t>
      </w:r>
    </w:p>
    <w:p>
      <w:pPr>
        <w:spacing w:after="160"/>
      </w:pPr>
      <w:r>
        <w:rPr>
          <w:b/>
          <w:bCs/>
          <w:sz w:val="22"/>
          <w:szCs w:val="22"/>
        </w:rPr>
        <w:t xml:space="preserve">Clarification (per 창호, this session): </w:t>
      </w:r>
      <w:r>
        <w:rPr>
          <w:sz w:val="22"/>
          <w:szCs w:val="22"/>
        </w:rPr>
        <w:t xml:space="preserve">the "external loopback" described in this section is realized physically as the direct-connect path between Slot 1 (hypercube/NPU-facing) and Slot 2 (PAI/EAI control-facing) within a single O8 node — see §10.7.3. It is not a separate diagnostic-only channel, and by itself it is not a signal exchanged with an adjacent physical node. Traffic entering the node from the hypercube side (Slot 1) and destined for a PAI/EAI instance (Slot 2), or vice versa, passes through this direct connection with O/E-EO conversion at each end; this is the physical realization of the Pass function (§10.7.1) within one node. Where self-healing additionally requires rerouting around a failed link to another O8/D12/I20 node, that inter-node rerouting is carried over the general hypercube connectivity of Slot 1 (Face 1, §6.1) and the intermediate nodes' own Slot 1↔Slot 2 direct-connect paths in sequence — it is not a separate loopback-specific inter-node channel.</w:t>
      </w:r>
    </w:p>
    <w:p>
      <w:pPr>
        <w:spacing w:after="160"/>
      </w:pPr>
      <w:r>
        <w:rPr>
          <w:b w:val="false"/>
          <w:bCs w:val="false"/>
          <w:i w:val="false"/>
          <w:iCs w:val="false"/>
          <w:sz w:val="22"/>
          <w:szCs w:val="22"/>
        </w:rPr>
        <w:t xml:space="preserve">The self-healing sequence is as follows: (1) Link failure detection — loss of signal (LOS) or bit-error-rate (BER) degradation is detected on a specific slot or core group; (2) Alternate path discovery — the Node Intelligence block consults the hypercube topology map and identifies available alternate routes; (3) Pass activation — traffic is passed through intermediate O8 nodes using O/E-EO conversion and forwarded to the alternate path; (4) E2E reconnection — the original E2E path is restored via the alternate route, with no disruption to the end devices (PAI/EAI).</w:t>
      </w:r>
    </w:p>
    <w:p>
      <w:pPr>
        <w:spacing w:after="160"/>
      </w:pPr>
      <w:r>
        <w:rPr>
          <w:b w:val="false"/>
          <w:bCs w:val="false"/>
          <w:i w:val="false"/>
          <w:iCs w:val="false"/>
          <w:sz w:val="22"/>
          <w:szCs w:val="22"/>
        </w:rPr>
        <w:t xml:space="preserve">This mechanism is intended to allow the Velsanet network to self-heal from link failures within microsecond-scale recovery time, without human intervention or control-plane round-trips.</w:t>
      </w:r>
    </w:p>
    <w:p>
      <w:pPr>
        <w:pStyle w:val="Heading3"/>
        <w:spacing w:after="160" w:before="280"/>
      </w:pPr>
      <w:r>
        <w:rPr>
          <w:b/>
          <w:bCs/>
        </w:rPr>
        <w:t xml:space="preserve">10.7.3 Slot-Level Pass and Loopback Allocation</w:t>
      </w:r>
    </w:p>
    <w:p>
      <w:pPr>
        <w:spacing w:after="160"/>
      </w:pPr>
      <w:r>
        <w:rPr>
          <w:b/>
          <w:bCs/>
          <w:sz w:val="22"/>
          <w:szCs w:val="22"/>
        </w:rPr>
        <w:t xml:space="preserve">R5-3/R5-4 correction: </w:t>
      </w:r>
      <w:r>
        <w:rPr>
          <w:sz w:val="22"/>
          <w:szCs w:val="22"/>
        </w:rPr>
        <w:t xml:space="preserve">Slot 1 is corrected from an originally-drafted three-way split to a two-way split, matching the Slot 2/Slot 5 pattern. Each of the 8 slots carries 192 cores (not 24 as in v1.3); total O8 core count is 1,536 (8 × 192), superseding R2-1 — see R5-4 and the cross-document note at the end of Section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200"/>
            <w:shd w:fill="D9D9D9" w:val="clear"/>
          </w:tcPr>
          <w:p>
            <w:r>
              <w:rPr>
                <w:b/>
                <w:bCs/>
                <w:sz w:val="20"/>
                <w:szCs w:val="20"/>
              </w:rPr>
              <w:t xml:space="preserve">Slot</w:t>
            </w:r>
          </w:p>
        </w:tc>
        <w:tc>
          <w:tcPr>
            <w:tcW w:type="dxa" w:w="1000"/>
            <w:shd w:fill="D9D9D9" w:val="clear"/>
          </w:tcPr>
          <w:p>
            <w:r>
              <w:rPr>
                <w:b/>
                <w:bCs/>
                <w:sz w:val="20"/>
                <w:szCs w:val="20"/>
              </w:rPr>
              <w:t xml:space="preserve">Cores</w:t>
            </w:r>
          </w:p>
        </w:tc>
        <w:tc>
          <w:tcPr>
            <w:tcW w:type="dxa" w:w="7160"/>
            <w:shd w:fill="D9D9D9" w:val="clear"/>
          </w:tcPr>
          <w:p>
            <w:r>
              <w:rPr>
                <w:b/>
                <w:bCs/>
                <w:sz w:val="20"/>
                <w:szCs w:val="20"/>
              </w:rPr>
              <w:t xml:space="preserve">Allocation</w:t>
            </w:r>
          </w:p>
        </w:tc>
      </w:tr>
      <w:tr>
        <w:tc>
          <w:tcPr>
            <w:tcW w:type="dxa" w:w="1200"/>
          </w:tcPr>
          <w:p>
            <w:r>
              <w:rPr>
                <w:b w:val="false"/>
                <w:bCs w:val="false"/>
                <w:sz w:val="20"/>
                <w:szCs w:val="20"/>
              </w:rPr>
              <w:t xml:space="preserve">Slot 1</w:t>
            </w:r>
          </w:p>
        </w:tc>
        <w:tc>
          <w:tcPr>
            <w:tcW w:type="dxa" w:w="1000"/>
          </w:tcPr>
          <w:p>
            <w:r>
              <w:rPr>
                <w:b w:val="false"/>
                <w:bCs w:val="false"/>
                <w:sz w:val="20"/>
                <w:szCs w:val="20"/>
              </w:rPr>
              <w:t xml:space="preserve">192</w:t>
            </w:r>
          </w:p>
        </w:tc>
        <w:tc>
          <w:tcPr>
            <w:tcW w:type="dxa" w:w="7160"/>
          </w:tcPr>
          <w:p>
            <w:r>
              <w:rPr>
                <w:b w:val="false"/>
                <w:bCs w:val="false"/>
                <w:sz w:val="20"/>
                <w:szCs w:val="20"/>
              </w:rPr>
              <w:t xml:space="preserve">12 cores: hypercube topology control (NPU-driven Q7 maintenance, = Face 1, §6.1) + 180 cores: direct-connect Pass path to Slot 2 (external loopback realization, §10.7.2)</w:t>
            </w:r>
          </w:p>
        </w:tc>
      </w:tr>
      <w:tr>
        <w:tc>
          <w:tcPr>
            <w:tcW w:type="dxa" w:w="1200"/>
          </w:tcPr>
          <w:p>
            <w:r>
              <w:rPr>
                <w:b w:val="false"/>
                <w:bCs w:val="false"/>
                <w:sz w:val="20"/>
                <w:szCs w:val="20"/>
              </w:rPr>
              <w:t xml:space="preserve">Slot 2</w:t>
            </w:r>
          </w:p>
        </w:tc>
        <w:tc>
          <w:tcPr>
            <w:tcW w:type="dxa" w:w="1000"/>
          </w:tcPr>
          <w:p>
            <w:r>
              <w:rPr>
                <w:b w:val="false"/>
                <w:bCs w:val="false"/>
                <w:sz w:val="20"/>
                <w:szCs w:val="20"/>
              </w:rPr>
              <w:t xml:space="preserve">192</w:t>
            </w:r>
          </w:p>
        </w:tc>
        <w:tc>
          <w:tcPr>
            <w:tcW w:type="dxa" w:w="7160"/>
          </w:tcPr>
          <w:p>
            <w:r>
              <w:rPr>
                <w:b w:val="false"/>
                <w:bCs w:val="false"/>
                <w:sz w:val="20"/>
                <w:szCs w:val="20"/>
              </w:rPr>
              <w:t xml:space="preserve">12 cores: inbound control (PAI/EAI control and negotiation signaling, = Face 2, §6.1) + 180 cores: direct-connect Pass path to Slot 1</w:t>
            </w:r>
          </w:p>
        </w:tc>
      </w:tr>
      <w:tr>
        <w:tc>
          <w:tcPr>
            <w:tcW w:type="dxa" w:w="1200"/>
          </w:tcPr>
          <w:p>
            <w:r>
              <w:rPr>
                <w:b w:val="false"/>
                <w:bCs w:val="false"/>
                <w:sz w:val="20"/>
                <w:szCs w:val="20"/>
              </w:rPr>
              <w:t xml:space="preserve">Slot 3</w:t>
            </w:r>
          </w:p>
        </w:tc>
        <w:tc>
          <w:tcPr>
            <w:tcW w:type="dxa" w:w="1000"/>
          </w:tcPr>
          <w:p>
            <w:r>
              <w:rPr>
                <w:b w:val="false"/>
                <w:bCs w:val="false"/>
                <w:sz w:val="20"/>
                <w:szCs w:val="20"/>
              </w:rPr>
              <w:t xml:space="preserve">192</w:t>
            </w:r>
          </w:p>
        </w:tc>
        <w:tc>
          <w:tcPr>
            <w:tcW w:type="dxa" w:w="7160"/>
          </w:tcPr>
          <w:p>
            <w:r>
              <w:rPr>
                <w:b w:val="false"/>
                <w:bCs w:val="false"/>
                <w:sz w:val="20"/>
                <w:szCs w:val="20"/>
              </w:rPr>
              <w:t xml:space="preserve">Inbound data reserve (secondary inbound path for PAI/EAI traffic)</w:t>
            </w:r>
          </w:p>
        </w:tc>
      </w:tr>
      <w:tr>
        <w:tc>
          <w:tcPr>
            <w:tcW w:type="dxa" w:w="1200"/>
          </w:tcPr>
          <w:p>
            <w:r>
              <w:rPr>
                <w:b w:val="false"/>
                <w:bCs w:val="false"/>
                <w:sz w:val="20"/>
                <w:szCs w:val="20"/>
              </w:rPr>
              <w:t xml:space="preserve">Slot 4</w:t>
            </w:r>
          </w:p>
        </w:tc>
        <w:tc>
          <w:tcPr>
            <w:tcW w:type="dxa" w:w="1000"/>
          </w:tcPr>
          <w:p>
            <w:r>
              <w:rPr>
                <w:b w:val="false"/>
                <w:bCs w:val="false"/>
                <w:sz w:val="20"/>
                <w:szCs w:val="20"/>
              </w:rPr>
              <w:t xml:space="preserve">192</w:t>
            </w:r>
          </w:p>
        </w:tc>
        <w:tc>
          <w:tcPr>
            <w:tcW w:type="dxa" w:w="7160"/>
          </w:tcPr>
          <w:p>
            <w:r>
              <w:rPr>
                <w:b w:val="false"/>
                <w:bCs w:val="false"/>
                <w:sz w:val="20"/>
                <w:szCs w:val="20"/>
              </w:rPr>
              <w:t xml:space="preserve">Inbound data reserve (tertiary inbound path for PAI/EAI traffic)</w:t>
            </w:r>
          </w:p>
        </w:tc>
      </w:tr>
      <w:tr>
        <w:tc>
          <w:tcPr>
            <w:tcW w:type="dxa" w:w="1200"/>
          </w:tcPr>
          <w:p>
            <w:r>
              <w:rPr>
                <w:b w:val="false"/>
                <w:bCs w:val="false"/>
                <w:sz w:val="20"/>
                <w:szCs w:val="20"/>
              </w:rPr>
              <w:t xml:space="preserve">Slot 5</w:t>
            </w:r>
          </w:p>
        </w:tc>
        <w:tc>
          <w:tcPr>
            <w:tcW w:type="dxa" w:w="1000"/>
          </w:tcPr>
          <w:p>
            <w:r>
              <w:rPr>
                <w:b w:val="false"/>
                <w:bCs w:val="false"/>
                <w:sz w:val="20"/>
                <w:szCs w:val="20"/>
              </w:rPr>
              <w:t xml:space="preserve">192</w:t>
            </w:r>
          </w:p>
        </w:tc>
        <w:tc>
          <w:tcPr>
            <w:tcW w:type="dxa" w:w="7160"/>
          </w:tcPr>
          <w:p>
            <w:r>
              <w:rPr>
                <w:b w:val="false"/>
                <w:bCs w:val="false"/>
                <w:sz w:val="20"/>
                <w:szCs w:val="20"/>
              </w:rPr>
              <w:t xml:space="preserve">12 cores: outbound control (PAI/EAI control and negotiation signaling) + 180 cores: Pass path (O/E-EO conversion, forwarding to the external network)</w:t>
            </w:r>
          </w:p>
        </w:tc>
      </w:tr>
      <w:tr>
        <w:tc>
          <w:tcPr>
            <w:tcW w:type="dxa" w:w="1200"/>
          </w:tcPr>
          <w:p>
            <w:r>
              <w:rPr>
                <w:b w:val="false"/>
                <w:bCs w:val="false"/>
                <w:sz w:val="20"/>
                <w:szCs w:val="20"/>
              </w:rPr>
              <w:t xml:space="preserve">Slot 6</w:t>
            </w:r>
          </w:p>
        </w:tc>
        <w:tc>
          <w:tcPr>
            <w:tcW w:type="dxa" w:w="1000"/>
          </w:tcPr>
          <w:p>
            <w:r>
              <w:rPr>
                <w:b w:val="false"/>
                <w:bCs w:val="false"/>
                <w:sz w:val="20"/>
                <w:szCs w:val="20"/>
              </w:rPr>
              <w:t xml:space="preserve">192</w:t>
            </w:r>
          </w:p>
        </w:tc>
        <w:tc>
          <w:tcPr>
            <w:tcW w:type="dxa" w:w="7160"/>
          </w:tcPr>
          <w:p>
            <w:r>
              <w:rPr>
                <w:b w:val="false"/>
                <w:bCs w:val="false"/>
                <w:sz w:val="20"/>
                <w:szCs w:val="20"/>
              </w:rPr>
              <w:t xml:space="preserve">External expansion (D12, I20, H6, T4 connectivity)</w:t>
            </w:r>
          </w:p>
        </w:tc>
      </w:tr>
      <w:tr>
        <w:tc>
          <w:tcPr>
            <w:tcW w:type="dxa" w:w="1200"/>
          </w:tcPr>
          <w:p>
            <w:r>
              <w:rPr>
                <w:b w:val="false"/>
                <w:bCs w:val="false"/>
                <w:sz w:val="20"/>
                <w:szCs w:val="20"/>
              </w:rPr>
              <w:t xml:space="preserve">Slot 7</w:t>
            </w:r>
          </w:p>
        </w:tc>
        <w:tc>
          <w:tcPr>
            <w:tcW w:type="dxa" w:w="1000"/>
          </w:tcPr>
          <w:p>
            <w:r>
              <w:rPr>
                <w:b w:val="false"/>
                <w:bCs w:val="false"/>
                <w:sz w:val="20"/>
                <w:szCs w:val="20"/>
              </w:rPr>
              <w:t xml:space="preserve">192</w:t>
            </w:r>
          </w:p>
        </w:tc>
        <w:tc>
          <w:tcPr>
            <w:tcW w:type="dxa" w:w="7160"/>
          </w:tcPr>
          <w:p>
            <w:r>
              <w:rPr>
                <w:b w:val="false"/>
                <w:bCs w:val="false"/>
                <w:sz w:val="20"/>
                <w:szCs w:val="20"/>
              </w:rPr>
              <w:t xml:space="preserve">External expansion (D12, I20, H6, T4 connectivity)</w:t>
            </w:r>
          </w:p>
        </w:tc>
      </w:tr>
      <w:tr>
        <w:tc>
          <w:tcPr>
            <w:tcW w:type="dxa" w:w="1200"/>
          </w:tcPr>
          <w:p>
            <w:r>
              <w:rPr>
                <w:b w:val="false"/>
                <w:bCs w:val="false"/>
                <w:sz w:val="20"/>
                <w:szCs w:val="20"/>
              </w:rPr>
              <w:t xml:space="preserve">Slot 8</w:t>
            </w:r>
          </w:p>
        </w:tc>
        <w:tc>
          <w:tcPr>
            <w:tcW w:type="dxa" w:w="1000"/>
          </w:tcPr>
          <w:p>
            <w:r>
              <w:rPr>
                <w:b w:val="false"/>
                <w:bCs w:val="false"/>
                <w:sz w:val="20"/>
                <w:szCs w:val="20"/>
              </w:rPr>
              <w:t xml:space="preserve">192</w:t>
            </w:r>
          </w:p>
        </w:tc>
        <w:tc>
          <w:tcPr>
            <w:tcW w:type="dxa" w:w="7160"/>
          </w:tcPr>
          <w:p>
            <w:r>
              <w:rPr>
                <w:b w:val="false"/>
                <w:bCs w:val="false"/>
                <w:sz w:val="20"/>
                <w:szCs w:val="20"/>
              </w:rPr>
              <w:t xml:space="preserve">External expansion (D12, I20, H6, T4 connectivity)</w:t>
            </w:r>
          </w:p>
        </w:tc>
      </w:tr>
    </w:tbl>
    <w:p>
      <w:pPr>
        <w:spacing w:after="200"/>
      </w:pPr>
      <w:r>
        <w:rPr>
          <w:i/>
          <w:iCs/>
          <w:sz w:val="20"/>
          <w:szCs w:val="20"/>
        </w:rPr>
        <w:t xml:space="preserve">Table 10-3. O8 Slot-Level Core Allocation — 8 slots × 192 cores = 1,536 cores total (R5)</w:t>
      </w:r>
    </w:p>
    <w:p>
      <w:pPr>
        <w:pStyle w:val="Heading3"/>
        <w:spacing w:after="160" w:before="280"/>
      </w:pPr>
      <w:r>
        <w:rPr>
          <w:b/>
          <w:bCs/>
        </w:rPr>
        <w:t xml:space="preserve">10.7.4 Dynamic Slot Allocation Based on PAI/EAI Presence</w:t>
      </w:r>
    </w:p>
    <w:p>
      <w:pPr>
        <w:spacing w:after="160"/>
      </w:pPr>
      <w:r>
        <w:rPr>
          <w:b w:val="false"/>
          <w:bCs w:val="false"/>
          <w:i w:val="false"/>
          <w:iCs w:val="false"/>
          <w:sz w:val="22"/>
          <w:szCs w:val="22"/>
        </w:rPr>
        <w:t xml:space="preserve">The O8 node operates in two distinct modes depending on whether PAI or EAI systems are attached, allowing the same hardware to serve as either a PAI/EAI-aware cognitive edge node or a pure hypercube network switch.</w:t>
      </w:r>
    </w:p>
    <w:p>
      <w:pPr>
        <w:pStyle w:val="Heading3"/>
        <w:spacing w:after="160" w:before="280"/>
      </w:pPr>
      <w:r>
        <w:rPr>
          <w:b/>
          <w:bCs/>
        </w:rPr>
        <w:t xml:space="preserve">10.7.4.1 Mode A: PAI/EAI Attached (Full Cognitive Mode)</w:t>
      </w:r>
    </w:p>
    <w:p>
      <w:pPr>
        <w:spacing w:after="160"/>
      </w:pPr>
      <w:r>
        <w:rPr>
          <w:b w:val="false"/>
          <w:bCs w:val="false"/>
          <w:i w:val="false"/>
          <w:iCs w:val="false"/>
          <w:sz w:val="22"/>
          <w:szCs w:val="22"/>
        </w:rPr>
        <w:t xml:space="preserve">When PAI or EAI instances are present, Slot 2 and Slot 5 are used for inbound and outbound control and data traffic. Slot 3 and Slot 4 serve as inbound reserves. Slots 6–8 are used for external expansion.</w:t>
      </w:r>
    </w:p>
    <w:p>
      <w:pPr>
        <w:pStyle w:val="Heading3"/>
        <w:spacing w:after="160" w:before="280"/>
      </w:pPr>
      <w:r>
        <w:rPr>
          <w:b/>
          <w:bCs/>
        </w:rPr>
        <w:t xml:space="preserve">10.7.4.2 Mode B: No PAI/EAI Attached (Pure Hypercube Mode)</w:t>
      </w:r>
    </w:p>
    <w:p>
      <w:pPr>
        <w:spacing w:after="160"/>
      </w:pPr>
      <w:r>
        <w:rPr>
          <w:b w:val="false"/>
          <w:bCs w:val="false"/>
          <w:i w:val="false"/>
          <w:iCs w:val="false"/>
          <w:sz w:val="22"/>
          <w:szCs w:val="22"/>
        </w:rPr>
        <w:t xml:space="preserve">When no PAI/EAI systems are connected, the O8 operates as a dedicated hypercube network switch. Slots 2–5 are repurposed for hypercube expansion and alternate path provisioning. Slot 1 remains dedicated to hypercube topology and external traffic; Slots 6–8 remain for external expansion. D12 and I20 nodes operate permanently in Mode B (§10.7.8), since PAI/EAI never attaches at those tiers (§10.7.5).</w:t>
      </w:r>
    </w:p>
    <w:p>
      <w:pPr>
        <w:pStyle w:val="Heading3"/>
        <w:spacing w:after="160" w:before="280"/>
      </w:pPr>
      <w:r>
        <w:rPr>
          <w:b/>
          <w:bCs/>
        </w:rPr>
        <w:t xml:space="preserve">10.7.4.3 Mode Transition and Detection (incorporates former §10.8 content, R5-7)</w:t>
      </w:r>
    </w:p>
    <w:p>
      <w:pPr>
        <w:spacing w:after="160"/>
      </w:pPr>
      <w:r>
        <w:rPr>
          <w:b w:val="false"/>
          <w:bCs w:val="false"/>
          <w:i w:val="false"/>
          <w:iCs w:val="false"/>
          <w:sz w:val="22"/>
          <w:szCs w:val="22"/>
        </w:rPr>
        <w:t xml:space="preserve">The transition between Mode A and Mode B is determined by the Connectivity Plane during the initial attach handshake: if PAI or EAI instances are detected on Slot 2 or Slot 3, the O8 operates in Mode A; if no PAI/EAI attachment is detected within a configurable timeout, the O8 defaults to Mode B. Reconfiguration is dynamic — if a PAI/EAI instance attaches after the O8 has booted in Mode B, a renegotiation triggers the transition to Mode A, and Slots 2–5 are repartitioned accordingly. The configurable timeout and renegotiation trigger threshold are deployment-specific and shall be defined in the site-specific configuration profile.</w:t>
      </w:r>
    </w:p>
    <w:p>
      <w:pPr>
        <w:spacing w:after="200"/>
      </w:pPr>
      <w:r>
        <w:rPr>
          <w:b/>
          <w:bCs/>
          <w:i/>
          <w:iCs/>
          <w:sz w:val="22"/>
          <w:szCs w:val="22"/>
        </w:rPr>
        <w:t xml:space="preserve">Open — OI-29-13: </w:t>
      </w:r>
      <w:r>
        <w:rPr>
          <w:i/>
          <w:iCs/>
          <w:sz w:val="22"/>
          <w:szCs w:val="22"/>
        </w:rPr>
        <w:t xml:space="preserve">The Mode B detection timeout value and renegotiation trigger threshold are not numerically specified — left as deployment-specific in §10.7.4.3, but no default or reference value exists anywhere in the document series.</w:t>
      </w:r>
    </w:p>
    <w:p>
      <w:pPr>
        <w:spacing w:after="200"/>
      </w:pPr>
      <w:r>
        <w:rPr>
          <w:b/>
          <w:bCs/>
          <w:i/>
          <w:iCs/>
          <w:sz w:val="22"/>
          <w:szCs w:val="22"/>
        </w:rPr>
        <w:t xml:space="preserve">Open — OI-29-14: </w:t>
      </w:r>
      <w:r>
        <w:rPr>
          <w:i/>
          <w:iCs/>
          <w:sz w:val="22"/>
          <w:szCs w:val="22"/>
        </w:rPr>
        <w:t xml:space="preserve">Mode B → Mode A transition latency (time from PAI/EAI attach detection to completed Slot 2–5 repartition) is not characterized.</w:t>
      </w:r>
    </w:p>
    <w:p>
      <w:pPr>
        <w:pStyle w:val="Heading3"/>
        <w:spacing w:after="160" w:before="280"/>
      </w:pPr>
      <w:r>
        <w:rPr>
          <w:b/>
          <w:bCs/>
        </w:rPr>
        <w:t xml:space="preserve">10.7.5 Hierarchical Restriction: PAI/EAI Attachment Only at O8</w:t>
      </w:r>
    </w:p>
    <w:p>
      <w:pPr>
        <w:spacing w:after="160"/>
      </w:pPr>
      <w:r>
        <w:rPr>
          <w:b w:val="false"/>
          <w:bCs w:val="false"/>
          <w:i w:val="false"/>
          <w:iCs w:val="false"/>
          <w:sz w:val="22"/>
          <w:szCs w:val="22"/>
        </w:rPr>
        <w:t xml:space="preserve">PAI and EAI systems shall attach only to O8 nodes within the Velsanet hierarchy. No direct PAI/EAI attachment is permitted at D12, I20, H6, or T4 nodes. This ensures raw multimodal data is processed and cubed at the first intelligence tier (O8); higher-tier nodes (D12, I20) operate exclusively on synthesized Cognition Cubes, not on raw PAI/EAI signals; and the governance/coordination functions of AAI and AsAI are decoupled from per-instance signal processing. Any deployment attempting to attach PAI or EAI directly to D12, I20, H6, or T4 is non-conformant and shall be rejected by the Connectivity Plane negotiation protocol (Section 7).</w:t>
      </w:r>
    </w:p>
    <w:p>
      <w:pPr>
        <w:pStyle w:val="Heading3"/>
        <w:spacing w:after="160" w:before="280"/>
      </w:pPr>
      <w:r>
        <w:rPr>
          <w:b/>
          <w:bCs/>
        </w:rPr>
        <w:t xml:space="preserve">10.7.6 Hierarchical Schlegel Diagram Projection</w:t>
      </w:r>
    </w:p>
    <w:p>
      <w:pPr>
        <w:spacing w:after="160"/>
      </w:pPr>
      <w:r>
        <w:rPr>
          <w:b w:val="false"/>
          <w:bCs w:val="false"/>
          <w:i w:val="false"/>
          <w:iCs w:val="false"/>
          <w:sz w:val="22"/>
          <w:szCs w:val="22"/>
        </w:rPr>
        <w:t xml:space="preserve">See Section 4.4 for the full definition of hierarchical Schlegel diagram projection (O8 → D12 → I20). Relocated to Section 4 in R5 to keep the static block-architecture and topology-monitoring definitions together; this reference is retained here for readers navigating from the operational-architecture section.</w:t>
      </w:r>
    </w:p>
    <w:p>
      <w:pPr>
        <w:pStyle w:val="Heading3"/>
        <w:spacing w:after="160" w:before="280"/>
      </w:pPr>
      <w:r>
        <w:rPr>
          <w:b/>
          <w:bCs/>
        </w:rPr>
        <w:t xml:space="preserve">10.7.7 National Network AI (Velsa) and Global Network State Awareness</w:t>
      </w:r>
    </w:p>
    <w:p>
      <w:pPr>
        <w:spacing w:after="160"/>
      </w:pPr>
      <w:r>
        <w:rPr>
          <w:b w:val="false"/>
          <w:bCs w:val="false"/>
          <w:i w:val="false"/>
          <w:iCs w:val="false"/>
          <w:sz w:val="22"/>
          <w:szCs w:val="22"/>
        </w:rPr>
        <w:t xml:space="preserve">See Section 4.5 for the full definition of Velsa's role as national/continental orchestrator. Relocated to Section 4 in R5; retained here as a cross-reference.</w:t>
      </w:r>
    </w:p>
    <w:p>
      <w:pPr>
        <w:pStyle w:val="Heading3"/>
        <w:spacing w:after="160" w:before="280"/>
      </w:pPr>
      <w:r>
        <w:rPr>
          <w:b/>
          <w:bCs/>
        </w:rPr>
        <w:t xml:space="preserve">10.7.8 Applicability to D12 and I20 Nodes (SUPERSEDED IN R8 — see §4.6)</w:t>
      </w:r>
    </w:p>
    <w:p>
      <w:pPr>
        <w:spacing w:after="160"/>
      </w:pPr>
      <w:r>
        <w:rPr>
          <w:b/>
          <w:bCs/>
          <w:sz w:val="22"/>
          <w:szCs w:val="22"/>
        </w:rPr>
        <w:t xml:space="preserve">SUPERSEDED IN R8 — retained for historical reference only. </w:t>
      </w:r>
      <w:r>
        <w:rPr>
          <w:sz w:val="22"/>
          <w:szCs w:val="22"/>
        </w:rPr>
        <w:t xml:space="preserve">This section originally stated that D12 and I20 share O8's identical 8-slot/192-core-per-slot chassis ("hardware uniformity"). Per 창호's explicit confirmation this session, that is no longer the architecture: D12 and I20 each have their own face count and per-face core structure — see Table 4-4 (§4.6) for the confirmed figures (D12 = 12 faces × 768 cores/face = 9,216 total; I20 = 20 faces × 3,072 cores/face = 61,440 total).</w:t>
      </w:r>
    </w:p>
    <w:p>
      <w:pPr>
        <w:spacing w:after="160"/>
      </w:pPr>
      <w:r>
        <w:rPr>
          <w:b w:val="false"/>
          <w:bCs w:val="false"/>
          <w:i w:val="false"/>
          <w:iCs w:val="false"/>
          <w:sz w:val="22"/>
          <w:szCs w:val="22"/>
        </w:rPr>
        <w:t xml:space="preserve">What is retained from this section's original intent: D12 and I20 still do not attach PAI or EAI systems, so their slot allocation still follows Mode B (§10.7.4.2) permanently. The Node Intelligence block at D12 still executes AAI governance functions; at I20 it still executes AsAI execution and sovereign judgment functions. What no longer holds is the claim that this is achieved on identical physical hardware — it is now achieved on tier-specific hardware running the same Mode B logic.</w:t>
      </w:r>
    </w:p>
    <w:p>
      <w:pPr>
        <w:pStyle w:val="Heading3"/>
        <w:spacing w:after="160" w:before="280"/>
      </w:pPr>
      <w:r>
        <w:rPr>
          <w:b/>
          <w:bCs/>
        </w:rPr>
        <w:t xml:space="preserve">10.7.9 Design Principles Summary</w:t>
      </w:r>
    </w:p>
    <w:p>
      <w:pPr>
        <w:spacing w:after="160"/>
      </w:pPr>
      <w:r>
        <w:rPr>
          <w:b w:val="false"/>
          <w:bCs w:val="false"/>
          <w:i w:val="false"/>
          <w:iCs w:val="false"/>
          <w:sz w:val="22"/>
          <w:szCs w:val="22"/>
        </w:rPr>
        <w:t xml:space="preserve">The O8 operational architecture is governed by: active forwarding (Pass is an active O/E-EO operation, not a passive optical bypass); deterministic latency (switching and conversion latency is bounded and predictable); hardware uniformity (the same O8 chassis supports both Mode A and Mode B with identical physical slot/core configurations); software-defined allocation (slot roles are determined by the Node Intelligence block based on attachment state, not fixed hardware strapping); scalable healing (self-healing operates at the optical core level, independent of higher-layer protocols); hierarchical awareness (topology information flows upward via Schlegel projection, control flows downward); and resilience (the hypercube topology provides multiple alternate paths, ensuring no single point of failure).</w:t>
      </w:r>
    </w:p>
    <w:p>
      <w:pPr>
        <w:pStyle w:val="Heading3"/>
        <w:spacing w:after="160" w:before="280"/>
      </w:pPr>
      <w:r>
        <w:rPr>
          <w:b/>
          <w:bCs/>
        </w:rPr>
        <w:t xml:space="preserve">10.7.10 Master-Slave Hierarchy with Active-Standby Failover</w:t>
      </w:r>
    </w:p>
    <w:p>
      <w:pPr>
        <w:spacing w:after="160"/>
      </w:pPr>
      <w:r>
        <w:rPr>
          <w:b/>
          <w:bCs/>
          <w:sz w:val="22"/>
          <w:szCs w:val="22"/>
        </w:rPr>
        <w:t xml:space="preserve">New in R5, per 창호. </w:t>
      </w:r>
      <w:r>
        <w:rPr>
          <w:sz w:val="22"/>
          <w:szCs w:val="22"/>
        </w:rPr>
        <w:t xml:space="preserve">Master-Standby redundancy applies starting at the O8 tier and propagates upward through D12 and I20, following the hardware-uniform pattern established in §10.7.8.</w:t>
      </w:r>
    </w:p>
    <w:p>
      <w:pPr>
        <w:spacing w:after="160"/>
      </w:pPr>
      <w:r>
        <w:rPr>
          <w:b w:val="false"/>
          <w:bCs w:val="false"/>
          <w:i w:val="false"/>
          <w:iCs w:val="false"/>
          <w:sz w:val="22"/>
          <w:szCs w:val="22"/>
        </w:rPr>
        <w:t xml:space="preserve">Because D12 and I20 (and, per §10.7.5, H6 and T4) do not have PAI or EAI directly attached, standby designation at these tiers cannot rely on instance-level failover the way an O8's PAI/EAI-facing slots might. Instead, redundancy is achieved structurally, through the hypercube topology itself, rather than through a dedicated redundant physical unit co-located with the master.</w:t>
      </w:r>
    </w:p>
    <w:p>
      <w:pPr>
        <w:spacing w:after="160"/>
      </w:pPr>
      <w:r>
        <w:rPr>
          <w:b w:val="false"/>
          <w:bCs w:val="false"/>
          <w:i w:val="false"/>
          <w:iCs w:val="false"/>
          <w:sz w:val="22"/>
          <w:szCs w:val="22"/>
        </w:rPr>
        <w:t xml:space="preserve">For any given master node (O8, D12, or I20), an adjacent node within the hypercube (Q7) topology graph — reached via the same hypercube-conformant peer connectivity already defined for the Pass function (§10.7.1) and Connectivity Plane Face 1 (§6.1) — serves as that master's standby. This reuses existing hypercube adjacency rather than requiring additional dedicated standby hardware or a separate physical redundancy link.</w:t>
      </w:r>
    </w:p>
    <w:p>
      <w:pPr>
        <w:spacing w:after="160"/>
      </w:pPr>
      <w:r>
        <w:rPr>
          <w:b w:val="false"/>
          <w:bCs w:val="false"/>
          <w:i w:val="false"/>
          <w:iCs w:val="false"/>
          <w:sz w:val="22"/>
          <w:szCs w:val="22"/>
        </w:rPr>
        <w:t xml:space="preserve">Master failure is treated as a specific case of the link/node failure detection sequence already defined in §10.7.2 (LOS/BER-based detection → alternate path discovery via the hypercube topology map → Pass activation). Upon detecting a master's failure, its designated hypercube-neighbor standby assumes the master's coordination role for that scope (regional for D12, national/continental for I20, or local for O8), using the same Pass-based rerouting mechanism rather than a separate failover protocol.</w:t>
      </w:r>
    </w:p>
    <w:p>
      <w:pPr>
        <w:spacing w:after="200"/>
      </w:pPr>
      <w:r>
        <w:rPr>
          <w:b/>
          <w:bCs/>
          <w:i/>
          <w:iCs/>
          <w:sz w:val="22"/>
          <w:szCs w:val="22"/>
        </w:rPr>
        <w:t xml:space="preserve">Open — OI-29-16: </w:t>
      </w:r>
      <w:r>
        <w:rPr>
          <w:i/>
          <w:iCs/>
          <w:sz w:val="22"/>
          <w:szCs w:val="22"/>
        </w:rPr>
        <w:t xml:space="preserve">The rule for selecting which hypercube neighbor serves as standby, when a node has multiple hypercube-adjacent neighbors, is not specified (fixed assignment at deployment time vs. dynamic election at failover time).</w:t>
      </w:r>
    </w:p>
    <w:p>
      <w:pPr>
        <w:spacing w:after="200"/>
      </w:pPr>
      <w:r>
        <w:rPr>
          <w:b/>
          <w:bCs/>
          <w:i/>
          <w:iCs/>
          <w:sz w:val="22"/>
          <w:szCs w:val="22"/>
        </w:rPr>
        <w:t xml:space="preserve">Open — OI-29-17: </w:t>
      </w:r>
      <w:r>
        <w:rPr>
          <w:i/>
          <w:iCs/>
          <w:sz w:val="22"/>
          <w:szCs w:val="22"/>
        </w:rPr>
        <w:t xml:space="preserve">Failover trigger threshold (heartbeat/LOS timeout value) for master-node failure specifically is not specified — §10.7.2 defines the general detection sequence but not a master-failure-specific timing value.</w:t>
      </w:r>
    </w:p>
    <w:p>
      <w:pPr>
        <w:spacing w:after="200"/>
      </w:pPr>
      <w:r>
        <w:rPr>
          <w:b/>
          <w:bCs/>
          <w:i/>
          <w:iCs/>
          <w:sz w:val="22"/>
          <w:szCs w:val="22"/>
        </w:rPr>
        <w:t xml:space="preserve">Open — OI-29-18: </w:t>
      </w:r>
      <w:r>
        <w:rPr>
          <w:i/>
          <w:iCs/>
          <w:sz w:val="22"/>
          <w:szCs w:val="22"/>
        </w:rPr>
        <w:t xml:space="preserve">Failover reversibility is not specified — whether the standby's assumption of master role is temporary (reverts automatically when the original master recovers) or requires an explicit reversion/renegotiation step.</w:t>
      </w:r>
    </w:p>
    <w:p>
      <w:pPr>
        <w:spacing w:after="160"/>
      </w:pPr>
      <w:r>
        <w:rPr>
          <w:b/>
          <w:bCs/>
          <w:sz w:val="22"/>
          <w:szCs w:val="22"/>
        </w:rPr>
        <w:t xml:space="preserve">New this session, per 창호 — Mode B requirement for Master/Standby roles: </w:t>
      </w:r>
      <w:r>
        <w:rPr>
          <w:sz w:val="22"/>
          <w:szCs w:val="22"/>
        </w:rPr>
        <w:t xml:space="preserve">a node serving as Master or Standby (any tier — O8, D12, or I20) must operate in Mode B (§10.7.4.2, no PAI/EAI attached), not Mode A. Rationale: a Mode A node's face capacity is shared with AI processing (PAI/EAI cognitive traffic, §10.7.4.1), leaving insufficient capacity to reliably fulfill the upward hypercube relay and failover-coordination role Master/Standby requires. This constraint applies specifically to the Master/Standby role — a Mode A node remains fully valid for ordinary same-tier connectivity (O8↔O8, D12↔D12, I20↔I20 general traffic); it is only disqualified from being selected as the Master or Standby for hypercube coordination purposes.</w:t>
      </w:r>
    </w:p>
    <w:p>
      <w:pPr>
        <w:spacing w:after="200"/>
      </w:pPr>
      <w:r>
        <w:rPr>
          <w:b/>
          <w:bCs/>
          <w:i/>
          <w:iCs/>
          <w:sz w:val="22"/>
          <w:szCs w:val="22"/>
        </w:rPr>
        <w:t xml:space="preserve">Open — OI-29-24: </w:t>
      </w:r>
      <w:r>
        <w:rPr>
          <w:i/>
          <w:iCs/>
          <w:sz w:val="22"/>
          <w:szCs w:val="22"/>
        </w:rPr>
        <w:t xml:space="preserve">The mechanism by which a node's Mode A/B status is checked before Master/Standby selection or election (§10.7.10, OI-29-16) is not specified — whether this is a static deployment-time constraint (only Mode B nodes are ever candidates) or a dynamic check performed at failover time is undetermined.</w:t>
      </w:r>
    </w:p>
    <w:p>
      <w:pPr>
        <w:pStyle w:val="Heading3"/>
        <w:spacing w:after="160" w:before="280"/>
      </w:pPr>
      <w:r>
        <w:rPr>
          <w:b/>
          <w:bCs/>
        </w:rPr>
        <w:t xml:space="preserve">10.7.11 NPU–Matrix Integration Architecture (New in R6)</w:t>
      </w:r>
    </w:p>
    <w:p>
      <w:pPr>
        <w:spacing w:after="160"/>
      </w:pPr>
      <w:r>
        <w:rPr>
          <w:b w:val="false"/>
          <w:bCs w:val="false"/>
          <w:i w:val="false"/>
          <w:iCs w:val="false"/>
          <w:sz w:val="22"/>
          <w:szCs w:val="22"/>
        </w:rPr>
        <w:t xml:space="preserve">The Node Intelligence NPU referenced in §10.7.3 (Slot 1, Q7 hypercube maintenance) is a dedicated node-level execution engine, physically and functionally distinct from the interchangeable GPU/NPU/TPU cubification substrate defined in the Cognition Cube hardware series (WP#24, Table 9-2) — that substrate is an out-of-scope, swappable implementation choice for SEU cubification; this NPU is fixed Node Intelligence hardware and is in-scope for this document.</w:t>
      </w:r>
    </w:p>
    <w:p>
      <w:pPr>
        <w:spacing w:after="160"/>
      </w:pPr>
      <w:r>
        <w:rPr>
          <w:b w:val="false"/>
          <w:bCs w:val="false"/>
          <w:i w:val="false"/>
          <w:iCs w:val="false"/>
          <w:sz w:val="22"/>
          <w:szCs w:val="22"/>
        </w:rPr>
        <w:t xml:space="preserve">The NPU performs two execution functions, both triggered by upstream events rather than by learned or predicted state:</w:t>
      </w:r>
    </w:p>
    <w:p>
      <w:pPr>
        <w:spacing w:after="160"/>
      </w:pPr>
      <w:r>
        <w:rPr>
          <w:b w:val="false"/>
          <w:bCs w:val="false"/>
          <w:i w:val="false"/>
          <w:iCs w:val="false"/>
          <w:sz w:val="22"/>
          <w:szCs w:val="22"/>
        </w:rPr>
        <w:t xml:space="preserve">Request execution path — when a PAI/EAI cooperation request is received on Slot 2 (Face 2, §6.1) and accepted under the Core Stack negotiation protocol (Section 7), the NPU issues the corresponding configuration commands to the Multi-Layer Multi-Plane Matrix (Section 3), which executes the requested switching/path activation. The NPU does not decide whether to accept the request — that determination is made by the negotiation protocol (Section 7); the NPU executes the accepted outcome.</w:t>
      </w:r>
    </w:p>
    <w:p>
      <w:pPr>
        <w:spacing w:after="160"/>
      </w:pPr>
      <w:r>
        <w:rPr>
          <w:b w:val="false"/>
          <w:bCs w:val="false"/>
          <w:i w:val="false"/>
          <w:iCs w:val="false"/>
          <w:sz w:val="22"/>
          <w:szCs w:val="22"/>
        </w:rPr>
        <w:t xml:space="preserve">Failover execution path — when the Matrix detects a link-loss condition between Velsanet equipment (LOS/BER degradation, §10.7.2), it reports this to the NPU, which executes the hypercube switchover: activating the alternate path (§10.7.2) or, for a master-node failure, initiating the hypercube-neighbor standby handover (§10.7.10). The NPU executes these already-defined mechanisms; it does not introduce a new decision layer.</w:t>
      </w:r>
    </w:p>
    <w:p>
      <w:pPr>
        <w:spacing w:after="200"/>
      </w:pPr>
      <w:r>
        <w:rPr>
          <w:b/>
          <w:bCs/>
          <w:i/>
          <w:iCs/>
          <w:sz w:val="22"/>
          <w:szCs w:val="22"/>
        </w:rPr>
        <w:t xml:space="preserve">Open — OI-29-20: </w:t>
      </w:r>
      <w:r>
        <w:rPr>
          <w:i/>
          <w:iCs/>
          <w:sz w:val="22"/>
          <w:szCs w:val="22"/>
        </w:rPr>
        <w:t xml:space="preserve">The NPU–Matrix command interface (register/signal-level protocol by which the NPU issues configuration commands to the Matrix, and by which the Matrix reports link-status events to the NPU) is not specified.</w:t>
      </w:r>
    </w:p>
    <w:p>
      <w:pPr>
        <w:pStyle w:val="Heading3"/>
        <w:spacing w:after="160" w:before="280"/>
      </w:pPr>
      <w:r>
        <w:rPr>
          <w:b/>
          <w:bCs/>
        </w:rPr>
        <w:t xml:space="preserve">10.7.12 Physical-Constraint Feedback Loop (New in R6)</w:t>
      </w:r>
    </w:p>
    <w:p>
      <w:pPr>
        <w:spacing w:after="160"/>
      </w:pPr>
      <w:r>
        <w:rPr>
          <w:b w:val="false"/>
          <w:bCs w:val="false"/>
          <w:i w:val="false"/>
          <w:iCs w:val="false"/>
          <w:sz w:val="22"/>
          <w:szCs w:val="22"/>
        </w:rPr>
        <w:t xml:space="preserve">The NPU's execution decisions are triggered by physical metrics reported from the Matrix: link status (LOS/BER, §10.7.2) and, where instrumented, latency. The loop is: Matrix detects a physical-layer condition → Matrix reports the condition to the NPU (§10.7.11) → NPU selects and issues the corresponding pre-defined action (alternate-path activation, Master-Standby handover, or negotiated configuration) → Matrix executes the action. Every step in this loop resolves to a fixed, previously-defined mechanism (§7, §10.7.2, §10.7.10); no step involves a learned or statistically-predicted response.</w:t>
      </w:r>
    </w:p>
    <w:p>
      <w:pPr>
        <w:spacing w:after="200"/>
      </w:pPr>
      <w:r>
        <w:rPr>
          <w:b/>
          <w:bCs/>
          <w:i/>
          <w:iCs/>
          <w:sz w:val="22"/>
          <w:szCs w:val="22"/>
        </w:rPr>
        <w:t xml:space="preserve">Open — OI-29-21: </w:t>
      </w:r>
      <w:r>
        <w:rPr>
          <w:i/>
          <w:iCs/>
          <w:sz w:val="22"/>
          <w:szCs w:val="22"/>
        </w:rPr>
        <w:t xml:space="preserve">Temperature is not currently a feedback input to the NPU — no node-level temperature sensor or interface has been defined anywhere in the Velsanet document series (distinct from OI-29-06's thermal budget/capacity gap).</w:t>
      </w:r>
    </w:p>
    <w:p>
      <w:pPr>
        <w:pStyle w:val="Heading1"/>
        <w:spacing w:after="160" w:before="280"/>
      </w:pPr>
      <w:r>
        <w:rPr>
          <w:b/>
          <w:bCs/>
        </w:rPr>
        <w:t xml:space="preserve">11. Open Items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ID</w:t>
            </w:r>
          </w:p>
        </w:tc>
        <w:tc>
          <w:tcPr>
            <w:tcW w:type="dxa" w:w="900"/>
            <w:shd w:fill="D9D9D9" w:val="clear"/>
          </w:tcPr>
          <w:p>
            <w:r>
              <w:rPr>
                <w:b/>
                <w:bCs/>
                <w:sz w:val="20"/>
                <w:szCs w:val="20"/>
              </w:rPr>
              <w:t xml:space="preserve">Section</w:t>
            </w:r>
          </w:p>
        </w:tc>
        <w:tc>
          <w:tcPr>
            <w:tcW w:type="dxa" w:w="5860"/>
            <w:shd w:fill="D9D9D9" w:val="clear"/>
          </w:tcPr>
          <w:p>
            <w:r>
              <w:rPr>
                <w:b/>
                <w:bCs/>
                <w:sz w:val="20"/>
                <w:szCs w:val="20"/>
              </w:rPr>
              <w:t xml:space="preserve">Open Item</w:t>
            </w:r>
          </w:p>
        </w:tc>
        <w:tc>
          <w:tcPr>
            <w:tcW w:type="dxa" w:w="1600"/>
            <w:shd w:fill="D9D9D9" w:val="clear"/>
          </w:tcPr>
          <w:p>
            <w:r>
              <w:rPr>
                <w:b/>
                <w:bCs/>
                <w:sz w:val="20"/>
                <w:szCs w:val="20"/>
              </w:rPr>
              <w:t xml:space="preserve">Status</w:t>
            </w:r>
          </w:p>
        </w:tc>
      </w:tr>
      <w:tr>
        <w:tc>
          <w:tcPr>
            <w:tcW w:type="dxa" w:w="1000"/>
          </w:tcPr>
          <w:p>
            <w:r>
              <w:rPr>
                <w:b w:val="false"/>
                <w:bCs w:val="false"/>
                <w:sz w:val="20"/>
                <w:szCs w:val="20"/>
              </w:rPr>
              <w:t xml:space="preserve">OI-29-01</w:t>
            </w:r>
          </w:p>
        </w:tc>
        <w:tc>
          <w:tcPr>
            <w:tcW w:type="dxa" w:w="900"/>
          </w:tcPr>
          <w:p>
            <w:r>
              <w:rPr>
                <w:b w:val="false"/>
                <w:bCs w:val="false"/>
                <w:sz w:val="20"/>
                <w:szCs w:val="20"/>
              </w:rPr>
              <w:t xml:space="preserve">8</w:t>
            </w:r>
          </w:p>
        </w:tc>
        <w:tc>
          <w:tcPr>
            <w:tcW w:type="dxa" w:w="5860"/>
          </w:tcPr>
          <w:p>
            <w:r>
              <w:rPr>
                <w:b w:val="false"/>
                <w:bCs w:val="false"/>
                <w:sz w:val="20"/>
                <w:szCs w:val="20"/>
              </w:rPr>
              <w:t xml:space="preserve">Node-to-Dedicated-Equipment register/signal interface not yet mapped to WP#26 Table 4-2</w:t>
            </w:r>
          </w:p>
        </w:tc>
        <w:tc>
          <w:tcPr>
            <w:tcW w:type="dxa" w:w="1600"/>
          </w:tcPr>
          <w:p>
            <w:r>
              <w:rPr>
                <w:b w:val="false"/>
                <w:bCs w:val="false"/>
                <w:sz w:val="20"/>
                <w:szCs w:val="20"/>
              </w:rPr>
              <w:t xml:space="preserve">Open — candidate for WP#30</w:t>
            </w:r>
          </w:p>
        </w:tc>
      </w:tr>
      <w:tr>
        <w:tc>
          <w:tcPr>
            <w:tcW w:type="dxa" w:w="1000"/>
          </w:tcPr>
          <w:p>
            <w:r>
              <w:rPr>
                <w:b w:val="false"/>
                <w:bCs w:val="false"/>
                <w:sz w:val="20"/>
                <w:szCs w:val="20"/>
              </w:rPr>
              <w:t xml:space="preserve">OI-29-02</w:t>
            </w:r>
          </w:p>
        </w:tc>
        <w:tc>
          <w:tcPr>
            <w:tcW w:type="dxa" w:w="900"/>
          </w:tcPr>
          <w:p>
            <w:r>
              <w:rPr>
                <w:b w:val="false"/>
                <w:bCs w:val="false"/>
                <w:sz w:val="20"/>
                <w:szCs w:val="20"/>
              </w:rPr>
              <w:t xml:space="preserve">7.1</w:t>
            </w:r>
          </w:p>
        </w:tc>
        <w:tc>
          <w:tcPr>
            <w:tcW w:type="dxa" w:w="5860"/>
          </w:tcPr>
          <w:p>
            <w:r>
              <w:rPr>
                <w:b w:val="false"/>
                <w:bCs w:val="false"/>
                <w:sz w:val="20"/>
                <w:szCs w:val="20"/>
              </w:rPr>
              <w:t xml:space="preserve">Degradation-priority scenario — drafted but explicitly unconfirmed by 창호</w:t>
            </w:r>
          </w:p>
        </w:tc>
        <w:tc>
          <w:tcPr>
            <w:tcW w:type="dxa" w:w="1600"/>
          </w:tcPr>
          <w:p>
            <w:r>
              <w:rPr>
                <w:b w:val="false"/>
                <w:bCs w:val="false"/>
                <w:sz w:val="20"/>
                <w:szCs w:val="20"/>
              </w:rPr>
              <w:t xml:space="preserve">Unconfirmed — needs sign-off</w:t>
            </w:r>
          </w:p>
        </w:tc>
      </w:tr>
      <w:tr>
        <w:tc>
          <w:tcPr>
            <w:tcW w:type="dxa" w:w="1000"/>
          </w:tcPr>
          <w:p>
            <w:r>
              <w:rPr>
                <w:b w:val="false"/>
                <w:bCs w:val="false"/>
                <w:sz w:val="20"/>
                <w:szCs w:val="20"/>
              </w:rPr>
              <w:t xml:space="preserve">OI-29-03</w:t>
            </w:r>
          </w:p>
        </w:tc>
        <w:tc>
          <w:tcPr>
            <w:tcW w:type="dxa" w:w="900"/>
          </w:tcPr>
          <w:p>
            <w:r>
              <w:rPr>
                <w:b w:val="false"/>
                <w:bCs w:val="false"/>
                <w:sz w:val="20"/>
                <w:szCs w:val="20"/>
              </w:rPr>
              <w:t xml:space="preserve">6</w:t>
            </w:r>
          </w:p>
        </w:tc>
        <w:tc>
          <w:tcPr>
            <w:tcW w:type="dxa" w:w="5860"/>
          </w:tcPr>
          <w:p>
            <w:r>
              <w:rPr>
                <w:b w:val="false"/>
                <w:bCs w:val="false"/>
                <w:sz w:val="20"/>
                <w:szCs w:val="20"/>
              </w:rPr>
              <w:t xml:space="preserve">Exact negotiation message encoding (bit-level format) not specified — only message types fixed</w:t>
            </w:r>
          </w:p>
        </w:tc>
        <w:tc>
          <w:tcPr>
            <w:tcW w:type="dxa" w:w="1600"/>
          </w:tcPr>
          <w:p>
            <w:r>
              <w:rPr>
                <w:b w:val="false"/>
                <w:bCs w:val="false"/>
                <w:sz w:val="20"/>
                <w:szCs w:val="20"/>
              </w:rPr>
              <w:t xml:space="preserve">Open — candidate for WP#30</w:t>
            </w:r>
          </w:p>
        </w:tc>
      </w:tr>
      <w:tr>
        <w:tc>
          <w:tcPr>
            <w:tcW w:type="dxa" w:w="1000"/>
          </w:tcPr>
          <w:p>
            <w:r>
              <w:rPr>
                <w:b w:val="false"/>
                <w:bCs w:val="false"/>
                <w:sz w:val="20"/>
                <w:szCs w:val="20"/>
              </w:rPr>
              <w:t xml:space="preserve">OI-29-04</w:t>
            </w:r>
          </w:p>
        </w:tc>
        <w:tc>
          <w:tcPr>
            <w:tcW w:type="dxa" w:w="900"/>
          </w:tcPr>
          <w:p>
            <w:r>
              <w:rPr>
                <w:b w:val="false"/>
                <w:bCs w:val="false"/>
                <w:sz w:val="20"/>
                <w:szCs w:val="20"/>
              </w:rPr>
              <w:t xml:space="preserve">5</w:t>
            </w:r>
          </w:p>
        </w:tc>
        <w:tc>
          <w:tcPr>
            <w:tcW w:type="dxa" w:w="5860"/>
          </w:tcPr>
          <w:p>
            <w:r>
              <w:rPr>
                <w:b w:val="false"/>
                <w:bCs w:val="false"/>
                <w:sz w:val="20"/>
                <w:szCs w:val="20"/>
              </w:rPr>
              <w:t xml:space="preserve">Numeric density threshold for D12 aggregation not fixed — rule is qualitative</w:t>
            </w:r>
          </w:p>
        </w:tc>
        <w:tc>
          <w:tcPr>
            <w:tcW w:type="dxa" w:w="1600"/>
          </w:tcPr>
          <w:p>
            <w:r>
              <w:rPr>
                <w:b w:val="false"/>
                <w:bCs w:val="false"/>
                <w:sz w:val="20"/>
                <w:szCs w:val="20"/>
              </w:rPr>
              <w:t xml:space="preserve">Open — decision owner 창호</w:t>
            </w:r>
          </w:p>
        </w:tc>
      </w:tr>
      <w:tr>
        <w:tc>
          <w:tcPr>
            <w:tcW w:type="dxa" w:w="1000"/>
          </w:tcPr>
          <w:p>
            <w:r>
              <w:rPr>
                <w:b w:val="false"/>
                <w:bCs w:val="false"/>
                <w:sz w:val="20"/>
                <w:szCs w:val="20"/>
              </w:rPr>
              <w:t xml:space="preserve">OI-29-05</w:t>
            </w:r>
          </w:p>
        </w:tc>
        <w:tc>
          <w:tcPr>
            <w:tcW w:type="dxa" w:w="900"/>
          </w:tcPr>
          <w:p>
            <w:r>
              <w:rPr>
                <w:b w:val="false"/>
                <w:bCs w:val="false"/>
                <w:sz w:val="20"/>
                <w:szCs w:val="20"/>
              </w:rPr>
              <w:t xml:space="preserve">10.2</w:t>
            </w:r>
          </w:p>
        </w:tc>
        <w:tc>
          <w:tcPr>
            <w:tcW w:type="dxa" w:w="5860"/>
          </w:tcPr>
          <w:p>
            <w:r>
              <w:rPr>
                <w:b w:val="false"/>
                <w:bCs w:val="false"/>
                <w:sz w:val="20"/>
                <w:szCs w:val="20"/>
              </w:rPr>
              <w:t xml:space="preserve">Node-level PSU topology not specified</w:t>
            </w:r>
          </w:p>
        </w:tc>
        <w:tc>
          <w:tcPr>
            <w:tcW w:type="dxa" w:w="1600"/>
          </w:tcPr>
          <w:p>
            <w:r>
              <w:rPr>
                <w:b w:val="false"/>
                <w:bCs w:val="false"/>
                <w:sz w:val="20"/>
                <w:szCs w:val="20"/>
              </w:rPr>
              <w:t xml:space="preserve">Open — candidate for WP#31</w:t>
            </w:r>
          </w:p>
        </w:tc>
      </w:tr>
      <w:tr>
        <w:tc>
          <w:tcPr>
            <w:tcW w:type="dxa" w:w="1000"/>
          </w:tcPr>
          <w:p>
            <w:r>
              <w:rPr>
                <w:b w:val="false"/>
                <w:bCs w:val="false"/>
                <w:sz w:val="20"/>
                <w:szCs w:val="20"/>
              </w:rPr>
              <w:t xml:space="preserve">OI-29-06</w:t>
            </w:r>
          </w:p>
        </w:tc>
        <w:tc>
          <w:tcPr>
            <w:tcW w:type="dxa" w:w="900"/>
          </w:tcPr>
          <w:p>
            <w:r>
              <w:rPr>
                <w:b w:val="false"/>
                <w:bCs w:val="false"/>
                <w:sz w:val="20"/>
                <w:szCs w:val="20"/>
              </w:rPr>
              <w:t xml:space="preserve">10.3</w:t>
            </w:r>
          </w:p>
        </w:tc>
        <w:tc>
          <w:tcPr>
            <w:tcW w:type="dxa" w:w="5860"/>
          </w:tcPr>
          <w:p>
            <w:r>
              <w:rPr>
                <w:b w:val="false"/>
                <w:bCs w:val="false"/>
                <w:sz w:val="20"/>
                <w:szCs w:val="20"/>
              </w:rPr>
              <w:t xml:space="preserve">Node-level thermal budget not specified</w:t>
            </w:r>
          </w:p>
        </w:tc>
        <w:tc>
          <w:tcPr>
            <w:tcW w:type="dxa" w:w="1600"/>
          </w:tcPr>
          <w:p>
            <w:r>
              <w:rPr>
                <w:b w:val="false"/>
                <w:bCs w:val="false"/>
                <w:sz w:val="20"/>
                <w:szCs w:val="20"/>
              </w:rPr>
              <w:t xml:space="preserve">Open — depends on other open items</w:t>
            </w:r>
          </w:p>
        </w:tc>
      </w:tr>
      <w:tr>
        <w:tc>
          <w:tcPr>
            <w:tcW w:type="dxa" w:w="1000"/>
          </w:tcPr>
          <w:p>
            <w:r>
              <w:rPr>
                <w:b w:val="false"/>
                <w:bCs w:val="false"/>
                <w:sz w:val="20"/>
                <w:szCs w:val="20"/>
              </w:rPr>
              <w:t xml:space="preserve">OI-29-07</w:t>
            </w:r>
          </w:p>
        </w:tc>
        <w:tc>
          <w:tcPr>
            <w:tcW w:type="dxa" w:w="900"/>
          </w:tcPr>
          <w:p>
            <w:r>
              <w:rPr>
                <w:b w:val="false"/>
                <w:bCs w:val="false"/>
                <w:sz w:val="20"/>
                <w:szCs w:val="20"/>
              </w:rPr>
              <w:t xml:space="preserve">10.4</w:t>
            </w:r>
          </w:p>
        </w:tc>
        <w:tc>
          <w:tcPr>
            <w:tcW w:type="dxa" w:w="5860"/>
          </w:tcPr>
          <w:p>
            <w:r>
              <w:rPr>
                <w:b w:val="false"/>
                <w:bCs w:val="false"/>
                <w:sz w:val="20"/>
                <w:szCs w:val="20"/>
              </w:rPr>
              <w:t xml:space="preserve">D12/I20 chassis height not fixed</w:t>
            </w:r>
          </w:p>
        </w:tc>
        <w:tc>
          <w:tcPr>
            <w:tcW w:type="dxa" w:w="1600"/>
          </w:tcPr>
          <w:p>
            <w:r>
              <w:rPr>
                <w:b w:val="false"/>
                <w:bCs w:val="false"/>
                <w:sz w:val="20"/>
                <w:szCs w:val="20"/>
              </w:rPr>
              <w:t xml:space="preserve">Open — depends on OI-29-04</w:t>
            </w:r>
          </w:p>
        </w:tc>
      </w:tr>
      <w:tr>
        <w:tc>
          <w:tcPr>
            <w:tcW w:type="dxa" w:w="1000"/>
          </w:tcPr>
          <w:p>
            <w:r>
              <w:rPr>
                <w:b w:val="false"/>
                <w:bCs w:val="false"/>
                <w:sz w:val="20"/>
                <w:szCs w:val="20"/>
              </w:rPr>
              <w:t xml:space="preserve">OI-29-08</w:t>
            </w:r>
          </w:p>
        </w:tc>
        <w:tc>
          <w:tcPr>
            <w:tcW w:type="dxa" w:w="900"/>
          </w:tcPr>
          <w:p>
            <w:r>
              <w:rPr>
                <w:b w:val="false"/>
                <w:bCs w:val="false"/>
                <w:sz w:val="20"/>
                <w:szCs w:val="20"/>
              </w:rPr>
              <w:t xml:space="preserve">10.5</w:t>
            </w:r>
          </w:p>
        </w:tc>
        <w:tc>
          <w:tcPr>
            <w:tcW w:type="dxa" w:w="5860"/>
          </w:tcPr>
          <w:p>
            <w:r>
              <w:rPr>
                <w:b w:val="false"/>
                <w:bCs w:val="false"/>
                <w:sz w:val="20"/>
                <w:szCs w:val="20"/>
              </w:rPr>
              <w:t xml:space="preserve">Management/diagnostic port connector and protocol not defined anywhere in the series</w:t>
            </w:r>
          </w:p>
        </w:tc>
        <w:tc>
          <w:tcPr>
            <w:tcW w:type="dxa" w:w="1600"/>
          </w:tcPr>
          <w:p>
            <w:r>
              <w:rPr>
                <w:b w:val="false"/>
                <w:bCs w:val="false"/>
                <w:sz w:val="20"/>
                <w:szCs w:val="20"/>
              </w:rPr>
              <w:t xml:space="preserve">Open — genuine gap</w:t>
            </w:r>
          </w:p>
        </w:tc>
      </w:tr>
      <w:tr>
        <w:tc>
          <w:tcPr>
            <w:tcW w:type="dxa" w:w="1000"/>
          </w:tcPr>
          <w:p>
            <w:r>
              <w:rPr>
                <w:b w:val="false"/>
                <w:bCs w:val="false"/>
                <w:sz w:val="20"/>
                <w:szCs w:val="20"/>
              </w:rPr>
              <w:t xml:space="preserve">OI-29-09</w:t>
            </w:r>
          </w:p>
        </w:tc>
        <w:tc>
          <w:tcPr>
            <w:tcW w:type="dxa" w:w="900"/>
          </w:tcPr>
          <w:p>
            <w:r>
              <w:rPr>
                <w:b w:val="false"/>
                <w:bCs w:val="false"/>
                <w:sz w:val="20"/>
                <w:szCs w:val="20"/>
              </w:rPr>
              <w:t xml:space="preserve">10.6</w:t>
            </w:r>
          </w:p>
        </w:tc>
        <w:tc>
          <w:tcPr>
            <w:tcW w:type="dxa" w:w="5860"/>
          </w:tcPr>
          <w:p>
            <w:r>
              <w:rPr>
                <w:b w:val="false"/>
                <w:bCs w:val="false"/>
                <w:sz w:val="20"/>
                <w:szCs w:val="20"/>
              </w:rPr>
              <w:t xml:space="preserve">Exact rack-rail mounting offset not dimensioned</w:t>
            </w:r>
          </w:p>
        </w:tc>
        <w:tc>
          <w:tcPr>
            <w:tcW w:type="dxa" w:w="1600"/>
          </w:tcPr>
          <w:p>
            <w:r>
              <w:rPr>
                <w:b w:val="false"/>
                <w:bCs w:val="false"/>
                <w:sz w:val="20"/>
                <w:szCs w:val="20"/>
              </w:rPr>
              <w:t xml:space="preserve">Open — new in R2</w:t>
            </w:r>
          </w:p>
        </w:tc>
      </w:tr>
      <w:tr>
        <w:tc>
          <w:tcPr>
            <w:tcW w:type="dxa" w:w="1000"/>
          </w:tcPr>
          <w:p>
            <w:r>
              <w:rPr>
                <w:b w:val="false"/>
                <w:bCs w:val="false"/>
                <w:sz w:val="20"/>
                <w:szCs w:val="20"/>
              </w:rPr>
              <w:t xml:space="preserve">OI-29-10</w:t>
            </w:r>
          </w:p>
        </w:tc>
        <w:tc>
          <w:tcPr>
            <w:tcW w:type="dxa" w:w="900"/>
          </w:tcPr>
          <w:p>
            <w:r>
              <w:rPr>
                <w:b w:val="false"/>
                <w:bCs w:val="false"/>
                <w:sz w:val="20"/>
                <w:szCs w:val="20"/>
              </w:rPr>
              <w:t xml:space="preserve">4.1</w:t>
            </w:r>
          </w:p>
        </w:tc>
        <w:tc>
          <w:tcPr>
            <w:tcW w:type="dxa" w:w="5860"/>
          </w:tcPr>
          <w:p>
            <w:r>
              <w:rPr>
                <w:b w:val="false"/>
                <w:bCs w:val="false"/>
                <w:sz w:val="20"/>
                <w:szCs w:val="20"/>
              </w:rPr>
              <w:t xml:space="preserve">H6↔O8 link core count unresolved (144 vs 120); EAI attach path via O8 vs H6 unresolved</w:t>
            </w:r>
          </w:p>
        </w:tc>
        <w:tc>
          <w:tcPr>
            <w:tcW w:type="dxa" w:w="1600"/>
          </w:tcPr>
          <w:p>
            <w:r>
              <w:rPr>
                <w:b w:val="false"/>
                <w:bCs w:val="false"/>
                <w:sz w:val="20"/>
                <w:szCs w:val="20"/>
              </w:rPr>
              <w:t xml:space="preserve">Open — two-part question</w:t>
            </w:r>
          </w:p>
        </w:tc>
      </w:tr>
      <w:tr>
        <w:tc>
          <w:tcPr>
            <w:tcW w:type="dxa" w:w="1000"/>
          </w:tcPr>
          <w:p>
            <w:r>
              <w:rPr>
                <w:b w:val="false"/>
                <w:bCs w:val="false"/>
                <w:sz w:val="20"/>
                <w:szCs w:val="20"/>
              </w:rPr>
              <w:t xml:space="preserve">OI-29-11</w:t>
            </w:r>
          </w:p>
        </w:tc>
        <w:tc>
          <w:tcPr>
            <w:tcW w:type="dxa" w:w="900"/>
          </w:tcPr>
          <w:p>
            <w:r>
              <w:rPr>
                <w:b w:val="false"/>
                <w:bCs w:val="false"/>
                <w:sz w:val="20"/>
                <w:szCs w:val="20"/>
              </w:rPr>
              <w:t xml:space="preserve">10.7.1</w:t>
            </w:r>
          </w:p>
        </w:tc>
        <w:tc>
          <w:tcPr>
            <w:tcW w:type="dxa" w:w="5860"/>
          </w:tcPr>
          <w:p>
            <w:r>
              <w:rPr>
                <w:b w:val="false"/>
                <w:bCs w:val="false"/>
                <w:sz w:val="20"/>
                <w:szCs w:val="20"/>
              </w:rPr>
              <w:t xml:space="preserve">O/E-EO conversion latency and power consumption not characterized</w:t>
            </w:r>
          </w:p>
        </w:tc>
        <w:tc>
          <w:tcPr>
            <w:tcW w:type="dxa" w:w="1600"/>
          </w:tcPr>
          <w:p>
            <w:r>
              <w:rPr>
                <w:b w:val="false"/>
                <w:bCs w:val="false"/>
                <w:sz w:val="20"/>
                <w:szCs w:val="20"/>
              </w:rPr>
              <w:t xml:space="preserve">Open — new in R5</w:t>
            </w:r>
          </w:p>
        </w:tc>
      </w:tr>
      <w:tr>
        <w:tc>
          <w:tcPr>
            <w:tcW w:type="dxa" w:w="1000"/>
          </w:tcPr>
          <w:p>
            <w:r>
              <w:rPr>
                <w:b w:val="false"/>
                <w:bCs w:val="false"/>
                <w:sz w:val="20"/>
                <w:szCs w:val="20"/>
              </w:rPr>
              <w:t xml:space="preserve">OI-29-12</w:t>
            </w:r>
          </w:p>
        </w:tc>
        <w:tc>
          <w:tcPr>
            <w:tcW w:type="dxa" w:w="900"/>
          </w:tcPr>
          <w:p>
            <w:r>
              <w:rPr>
                <w:b w:val="false"/>
                <w:bCs w:val="false"/>
                <w:sz w:val="20"/>
                <w:szCs w:val="20"/>
              </w:rPr>
              <w:t xml:space="preserve">10.7.2</w:t>
            </w:r>
          </w:p>
        </w:tc>
        <w:tc>
          <w:tcPr>
            <w:tcW w:type="dxa" w:w="5860"/>
          </w:tcPr>
          <w:p>
            <w:r>
              <w:rPr>
                <w:b w:val="false"/>
                <w:bCs w:val="false"/>
                <w:sz w:val="20"/>
                <w:szCs w:val="20"/>
              </w:rPr>
              <w:t xml:space="preserve">Slot1↔Slot2 direct-connect path diagnostic test pattern and cycle not specified</w:t>
            </w:r>
          </w:p>
        </w:tc>
        <w:tc>
          <w:tcPr>
            <w:tcW w:type="dxa" w:w="1600"/>
          </w:tcPr>
          <w:p>
            <w:r>
              <w:rPr>
                <w:b w:val="false"/>
                <w:bCs w:val="false"/>
                <w:sz w:val="20"/>
                <w:szCs w:val="20"/>
              </w:rPr>
              <w:t xml:space="preserve">Open — new in R5</w:t>
            </w:r>
          </w:p>
        </w:tc>
      </w:tr>
      <w:tr>
        <w:tc>
          <w:tcPr>
            <w:tcW w:type="dxa" w:w="1000"/>
          </w:tcPr>
          <w:p>
            <w:r>
              <w:rPr>
                <w:b w:val="false"/>
                <w:bCs w:val="false"/>
                <w:sz w:val="20"/>
                <w:szCs w:val="20"/>
              </w:rPr>
              <w:t xml:space="preserve">OI-29-13</w:t>
            </w:r>
          </w:p>
        </w:tc>
        <w:tc>
          <w:tcPr>
            <w:tcW w:type="dxa" w:w="900"/>
          </w:tcPr>
          <w:p>
            <w:r>
              <w:rPr>
                <w:b w:val="false"/>
                <w:bCs w:val="false"/>
                <w:sz w:val="20"/>
                <w:szCs w:val="20"/>
              </w:rPr>
              <w:t xml:space="preserve">10.7.4.3</w:t>
            </w:r>
          </w:p>
        </w:tc>
        <w:tc>
          <w:tcPr>
            <w:tcW w:type="dxa" w:w="5860"/>
          </w:tcPr>
          <w:p>
            <w:r>
              <w:rPr>
                <w:b w:val="false"/>
                <w:bCs w:val="false"/>
                <w:sz w:val="20"/>
                <w:szCs w:val="20"/>
              </w:rPr>
              <w:t xml:space="preserve">Mode B detection timeout and renegotiation trigger threshold not numerically specified</w:t>
            </w:r>
          </w:p>
        </w:tc>
        <w:tc>
          <w:tcPr>
            <w:tcW w:type="dxa" w:w="1600"/>
          </w:tcPr>
          <w:p>
            <w:r>
              <w:rPr>
                <w:b w:val="false"/>
                <w:bCs w:val="false"/>
                <w:sz w:val="20"/>
                <w:szCs w:val="20"/>
              </w:rPr>
              <w:t xml:space="preserve">Open — new in R5</w:t>
            </w:r>
          </w:p>
        </w:tc>
      </w:tr>
      <w:tr>
        <w:tc>
          <w:tcPr>
            <w:tcW w:type="dxa" w:w="1000"/>
          </w:tcPr>
          <w:p>
            <w:r>
              <w:rPr>
                <w:b w:val="false"/>
                <w:bCs w:val="false"/>
                <w:sz w:val="20"/>
                <w:szCs w:val="20"/>
              </w:rPr>
              <w:t xml:space="preserve">OI-29-14</w:t>
            </w:r>
          </w:p>
        </w:tc>
        <w:tc>
          <w:tcPr>
            <w:tcW w:type="dxa" w:w="900"/>
          </w:tcPr>
          <w:p>
            <w:r>
              <w:rPr>
                <w:b w:val="false"/>
                <w:bCs w:val="false"/>
                <w:sz w:val="20"/>
                <w:szCs w:val="20"/>
              </w:rPr>
              <w:t xml:space="preserve">10.7.4.3</w:t>
            </w:r>
          </w:p>
        </w:tc>
        <w:tc>
          <w:tcPr>
            <w:tcW w:type="dxa" w:w="5860"/>
          </w:tcPr>
          <w:p>
            <w:r>
              <w:rPr>
                <w:b w:val="false"/>
                <w:bCs w:val="false"/>
                <w:sz w:val="20"/>
                <w:szCs w:val="20"/>
              </w:rPr>
              <w:t xml:space="preserve">Mode B → Mode A transition latency not characterized</w:t>
            </w:r>
          </w:p>
        </w:tc>
        <w:tc>
          <w:tcPr>
            <w:tcW w:type="dxa" w:w="1600"/>
          </w:tcPr>
          <w:p>
            <w:r>
              <w:rPr>
                <w:b w:val="false"/>
                <w:bCs w:val="false"/>
                <w:sz w:val="20"/>
                <w:szCs w:val="20"/>
              </w:rPr>
              <w:t xml:space="preserve">Open — new in R5</w:t>
            </w:r>
          </w:p>
        </w:tc>
      </w:tr>
      <w:tr>
        <w:tc>
          <w:tcPr>
            <w:tcW w:type="dxa" w:w="1000"/>
          </w:tcPr>
          <w:p>
            <w:r>
              <w:rPr>
                <w:b w:val="false"/>
                <w:bCs w:val="false"/>
                <w:sz w:val="20"/>
                <w:szCs w:val="20"/>
              </w:rPr>
              <w:t xml:space="preserve">OI-29-16</w:t>
            </w:r>
          </w:p>
        </w:tc>
        <w:tc>
          <w:tcPr>
            <w:tcW w:type="dxa" w:w="900"/>
          </w:tcPr>
          <w:p>
            <w:r>
              <w:rPr>
                <w:b w:val="false"/>
                <w:bCs w:val="false"/>
                <w:sz w:val="20"/>
                <w:szCs w:val="20"/>
              </w:rPr>
              <w:t xml:space="preserve">10.7.10</w:t>
            </w:r>
          </w:p>
        </w:tc>
        <w:tc>
          <w:tcPr>
            <w:tcW w:type="dxa" w:w="5860"/>
          </w:tcPr>
          <w:p>
            <w:r>
              <w:rPr>
                <w:b w:val="false"/>
                <w:bCs w:val="false"/>
                <w:sz w:val="20"/>
                <w:szCs w:val="20"/>
              </w:rPr>
              <w:t xml:space="preserve">Standby-neighbor selection rule (fixed vs dynamic election) not specified</w:t>
            </w:r>
          </w:p>
        </w:tc>
        <w:tc>
          <w:tcPr>
            <w:tcW w:type="dxa" w:w="1600"/>
          </w:tcPr>
          <w:p>
            <w:r>
              <w:rPr>
                <w:b w:val="false"/>
                <w:bCs w:val="false"/>
                <w:sz w:val="20"/>
                <w:szCs w:val="20"/>
              </w:rPr>
              <w:t xml:space="preserve">Open — new in R5</w:t>
            </w:r>
          </w:p>
        </w:tc>
      </w:tr>
      <w:tr>
        <w:tc>
          <w:tcPr>
            <w:tcW w:type="dxa" w:w="1000"/>
          </w:tcPr>
          <w:p>
            <w:r>
              <w:rPr>
                <w:b w:val="false"/>
                <w:bCs w:val="false"/>
                <w:sz w:val="20"/>
                <w:szCs w:val="20"/>
              </w:rPr>
              <w:t xml:space="preserve">OI-29-17</w:t>
            </w:r>
          </w:p>
        </w:tc>
        <w:tc>
          <w:tcPr>
            <w:tcW w:type="dxa" w:w="900"/>
          </w:tcPr>
          <w:p>
            <w:r>
              <w:rPr>
                <w:b w:val="false"/>
                <w:bCs w:val="false"/>
                <w:sz w:val="20"/>
                <w:szCs w:val="20"/>
              </w:rPr>
              <w:t xml:space="preserve">10.7.10</w:t>
            </w:r>
          </w:p>
        </w:tc>
        <w:tc>
          <w:tcPr>
            <w:tcW w:type="dxa" w:w="5860"/>
          </w:tcPr>
          <w:p>
            <w:r>
              <w:rPr>
                <w:b w:val="false"/>
                <w:bCs w:val="false"/>
                <w:sz w:val="20"/>
                <w:szCs w:val="20"/>
              </w:rPr>
              <w:t xml:space="preserve">Master-failure-specific failover trigger threshold not specified</w:t>
            </w:r>
          </w:p>
        </w:tc>
        <w:tc>
          <w:tcPr>
            <w:tcW w:type="dxa" w:w="1600"/>
          </w:tcPr>
          <w:p>
            <w:r>
              <w:rPr>
                <w:b w:val="false"/>
                <w:bCs w:val="false"/>
                <w:sz w:val="20"/>
                <w:szCs w:val="20"/>
              </w:rPr>
              <w:t xml:space="preserve">Open — new in R5</w:t>
            </w:r>
          </w:p>
        </w:tc>
      </w:tr>
      <w:tr>
        <w:tc>
          <w:tcPr>
            <w:tcW w:type="dxa" w:w="1000"/>
          </w:tcPr>
          <w:p>
            <w:r>
              <w:rPr>
                <w:b w:val="false"/>
                <w:bCs w:val="false"/>
                <w:sz w:val="20"/>
                <w:szCs w:val="20"/>
              </w:rPr>
              <w:t xml:space="preserve">OI-29-18</w:t>
            </w:r>
          </w:p>
        </w:tc>
        <w:tc>
          <w:tcPr>
            <w:tcW w:type="dxa" w:w="900"/>
          </w:tcPr>
          <w:p>
            <w:r>
              <w:rPr>
                <w:b w:val="false"/>
                <w:bCs w:val="false"/>
                <w:sz w:val="20"/>
                <w:szCs w:val="20"/>
              </w:rPr>
              <w:t xml:space="preserve">10.7.10</w:t>
            </w:r>
          </w:p>
        </w:tc>
        <w:tc>
          <w:tcPr>
            <w:tcW w:type="dxa" w:w="5860"/>
          </w:tcPr>
          <w:p>
            <w:r>
              <w:rPr>
                <w:b w:val="false"/>
                <w:bCs w:val="false"/>
                <w:sz w:val="20"/>
                <w:szCs w:val="20"/>
              </w:rPr>
              <w:t xml:space="preserve">Failover reversibility (auto-revert vs explicit reversion) not specified</w:t>
            </w:r>
          </w:p>
        </w:tc>
        <w:tc>
          <w:tcPr>
            <w:tcW w:type="dxa" w:w="1600"/>
          </w:tcPr>
          <w:p>
            <w:r>
              <w:rPr>
                <w:b w:val="false"/>
                <w:bCs w:val="false"/>
                <w:sz w:val="20"/>
                <w:szCs w:val="20"/>
              </w:rPr>
              <w:t xml:space="preserve">Open — new in R5</w:t>
            </w:r>
          </w:p>
        </w:tc>
      </w:tr>
      <w:tr>
        <w:tc>
          <w:tcPr>
            <w:tcW w:type="dxa" w:w="1000"/>
          </w:tcPr>
          <w:p>
            <w:r>
              <w:rPr>
                <w:b w:val="false"/>
                <w:bCs w:val="false"/>
                <w:sz w:val="20"/>
                <w:szCs w:val="20"/>
              </w:rPr>
              <w:t xml:space="preserve">OI-29-20</w:t>
            </w:r>
          </w:p>
        </w:tc>
        <w:tc>
          <w:tcPr>
            <w:tcW w:type="dxa" w:w="900"/>
          </w:tcPr>
          <w:p>
            <w:r>
              <w:rPr>
                <w:b w:val="false"/>
                <w:bCs w:val="false"/>
                <w:sz w:val="20"/>
                <w:szCs w:val="20"/>
              </w:rPr>
              <w:t xml:space="preserve">10.7.11</w:t>
            </w:r>
          </w:p>
        </w:tc>
        <w:tc>
          <w:tcPr>
            <w:tcW w:type="dxa" w:w="5860"/>
          </w:tcPr>
          <w:p>
            <w:r>
              <w:rPr>
                <w:b w:val="false"/>
                <w:bCs w:val="false"/>
                <w:sz w:val="20"/>
                <w:szCs w:val="20"/>
              </w:rPr>
              <w:t xml:space="preserve">NPU–Matrix command interface (register/signal-level protocol) not specified</w:t>
            </w:r>
          </w:p>
        </w:tc>
        <w:tc>
          <w:tcPr>
            <w:tcW w:type="dxa" w:w="1600"/>
          </w:tcPr>
          <w:p>
            <w:r>
              <w:rPr>
                <w:b w:val="false"/>
                <w:bCs w:val="false"/>
                <w:sz w:val="20"/>
                <w:szCs w:val="20"/>
              </w:rPr>
              <w:t xml:space="preserve">Open — new in R6</w:t>
            </w:r>
          </w:p>
        </w:tc>
      </w:tr>
      <w:tr>
        <w:tc>
          <w:tcPr>
            <w:tcW w:type="dxa" w:w="1000"/>
          </w:tcPr>
          <w:p>
            <w:r>
              <w:rPr>
                <w:b w:val="false"/>
                <w:bCs w:val="false"/>
                <w:sz w:val="20"/>
                <w:szCs w:val="20"/>
              </w:rPr>
              <w:t xml:space="preserve">OI-29-21</w:t>
            </w:r>
          </w:p>
        </w:tc>
        <w:tc>
          <w:tcPr>
            <w:tcW w:type="dxa" w:w="900"/>
          </w:tcPr>
          <w:p>
            <w:r>
              <w:rPr>
                <w:b w:val="false"/>
                <w:bCs w:val="false"/>
                <w:sz w:val="20"/>
                <w:szCs w:val="20"/>
              </w:rPr>
              <w:t xml:space="preserve">10.7.12</w:t>
            </w:r>
          </w:p>
        </w:tc>
        <w:tc>
          <w:tcPr>
            <w:tcW w:type="dxa" w:w="5860"/>
          </w:tcPr>
          <w:p>
            <w:r>
              <w:rPr>
                <w:b w:val="false"/>
                <w:bCs w:val="false"/>
                <w:sz w:val="20"/>
                <w:szCs w:val="20"/>
              </w:rPr>
              <w:t xml:space="preserve">No node-level temperature sensor/feedback interface defined anywhere in the series (distinct from OI-29-06)</w:t>
            </w:r>
          </w:p>
        </w:tc>
        <w:tc>
          <w:tcPr>
            <w:tcW w:type="dxa" w:w="1600"/>
          </w:tcPr>
          <w:p>
            <w:r>
              <w:rPr>
                <w:b w:val="false"/>
                <w:bCs w:val="false"/>
                <w:sz w:val="20"/>
                <w:szCs w:val="20"/>
              </w:rPr>
              <w:t xml:space="preserve">Open — new in R6</w:t>
            </w:r>
          </w:p>
        </w:tc>
      </w:tr>
      <w:tr>
        <w:tc>
          <w:tcPr>
            <w:tcW w:type="dxa" w:w="1000"/>
          </w:tcPr>
          <w:p>
            <w:r>
              <w:rPr>
                <w:b w:val="false"/>
                <w:bCs w:val="false"/>
                <w:sz w:val="20"/>
                <w:szCs w:val="20"/>
              </w:rPr>
              <w:t xml:space="preserve">OI-29-22</w:t>
            </w:r>
          </w:p>
        </w:tc>
        <w:tc>
          <w:tcPr>
            <w:tcW w:type="dxa" w:w="900"/>
          </w:tcPr>
          <w:p>
            <w:r>
              <w:rPr>
                <w:b w:val="false"/>
                <w:bCs w:val="false"/>
                <w:sz w:val="20"/>
                <w:szCs w:val="20"/>
              </w:rPr>
              <w:t xml:space="preserve">4.6</w:t>
            </w:r>
          </w:p>
        </w:tc>
        <w:tc>
          <w:tcPr>
            <w:tcW w:type="dxa" w:w="5860"/>
          </w:tcPr>
          <w:p>
            <w:r>
              <w:rPr>
                <w:b w:val="false"/>
                <w:bCs w:val="false"/>
                <w:sz w:val="20"/>
                <w:szCs w:val="20"/>
              </w:rPr>
              <w:t xml:space="preserve">T4/H6 core-scaling figures not confirmed — pattern extension downward is undecided</w:t>
            </w:r>
          </w:p>
        </w:tc>
        <w:tc>
          <w:tcPr>
            <w:tcW w:type="dxa" w:w="1600"/>
          </w:tcPr>
          <w:p>
            <w:r>
              <w:rPr>
                <w:b w:val="false"/>
                <w:bCs w:val="false"/>
                <w:sz w:val="20"/>
                <w:szCs w:val="20"/>
              </w:rPr>
              <w:t xml:space="preserve">Open — new in R8</w:t>
            </w:r>
          </w:p>
        </w:tc>
      </w:tr>
      <w:tr>
        <w:tc>
          <w:tcPr>
            <w:tcW w:type="dxa" w:w="1000"/>
          </w:tcPr>
          <w:p>
            <w:r>
              <w:rPr>
                <w:b w:val="false"/>
                <w:bCs w:val="false"/>
                <w:sz w:val="20"/>
                <w:szCs w:val="20"/>
              </w:rPr>
              <w:t xml:space="preserve">OI-29-23</w:t>
            </w:r>
          </w:p>
        </w:tc>
        <w:tc>
          <w:tcPr>
            <w:tcW w:type="dxa" w:w="900"/>
          </w:tcPr>
          <w:p>
            <w:r>
              <w:rPr>
                <w:b w:val="false"/>
                <w:bCs w:val="false"/>
                <w:sz w:val="20"/>
                <w:szCs w:val="20"/>
              </w:rPr>
              <w:t xml:space="preserve">4.6 / 10.7.3</w:t>
            </w:r>
          </w:p>
        </w:tc>
        <w:tc>
          <w:tcPr>
            <w:tcW w:type="dxa" w:w="5860"/>
          </w:tcPr>
          <w:p>
            <w:r>
              <w:rPr>
                <w:b w:val="false"/>
                <w:bCs w:val="false"/>
                <w:sz w:val="20"/>
                <w:szCs w:val="20"/>
              </w:rPr>
              <w:t xml:space="preserve">D12/I20 slot-internal allocation (control vs Pass-path split) not scaled from O8's 12+180 pattern</w:t>
            </w:r>
          </w:p>
        </w:tc>
        <w:tc>
          <w:tcPr>
            <w:tcW w:type="dxa" w:w="1600"/>
          </w:tcPr>
          <w:p>
            <w:r>
              <w:rPr>
                <w:b w:val="false"/>
                <w:bCs w:val="false"/>
                <w:sz w:val="20"/>
                <w:szCs w:val="20"/>
              </w:rPr>
              <w:t xml:space="preserve">Open — new in R8, deferred to future session</w:t>
            </w:r>
          </w:p>
        </w:tc>
      </w:tr>
      <w:tr>
        <w:tc>
          <w:tcPr>
            <w:tcW w:type="dxa" w:w="1000"/>
          </w:tcPr>
          <w:p>
            <w:r>
              <w:rPr>
                <w:b w:val="false"/>
                <w:bCs w:val="false"/>
                <w:sz w:val="20"/>
                <w:szCs w:val="20"/>
              </w:rPr>
              <w:t xml:space="preserve">OI-29-24</w:t>
            </w:r>
          </w:p>
        </w:tc>
        <w:tc>
          <w:tcPr>
            <w:tcW w:type="dxa" w:w="900"/>
          </w:tcPr>
          <w:p>
            <w:r>
              <w:rPr>
                <w:b w:val="false"/>
                <w:bCs w:val="false"/>
                <w:sz w:val="20"/>
                <w:szCs w:val="20"/>
              </w:rPr>
              <w:t xml:space="preserve">10.7.10</w:t>
            </w:r>
          </w:p>
        </w:tc>
        <w:tc>
          <w:tcPr>
            <w:tcW w:type="dxa" w:w="5860"/>
          </w:tcPr>
          <w:p>
            <w:r>
              <w:rPr>
                <w:b w:val="false"/>
                <w:bCs w:val="false"/>
                <w:sz w:val="20"/>
                <w:szCs w:val="20"/>
              </w:rPr>
              <w:t xml:space="preserve">Mechanism for checking Mode A/B status before Master/Standby selection (static vs. dynamic) not specified</w:t>
            </w:r>
          </w:p>
        </w:tc>
        <w:tc>
          <w:tcPr>
            <w:tcW w:type="dxa" w:w="1600"/>
          </w:tcPr>
          <w:p>
            <w:r>
              <w:rPr>
                <w:b w:val="false"/>
                <w:bCs w:val="false"/>
                <w:sz w:val="20"/>
                <w:szCs w:val="20"/>
              </w:rPr>
              <w:t xml:space="preserve">Open — new in R10</w:t>
            </w:r>
          </w:p>
        </w:tc>
      </w:tr>
    </w:tbl>
    <w:p>
      <w:pPr>
        <w:spacing w:after="200"/>
      </w:pPr>
      <w:r>
        <w:rPr>
          <w:i/>
          <w:iCs/>
          <w:sz w:val="20"/>
          <w:szCs w:val="20"/>
        </w:rPr>
        <w:t xml:space="preserve">Table 11-1. WP#29 Open Items (22 open items; OI-29-15 note below)</w:t>
      </w:r>
    </w:p>
    <w:p>
      <w:pPr>
        <w:spacing w:after="160"/>
      </w:pPr>
      <w:r>
        <w:rPr>
          <w:b w:val="false"/>
          <w:bCs w:val="false"/>
          <w:i w:val="false"/>
          <w:iCs w:val="false"/>
          <w:sz w:val="22"/>
          <w:szCs w:val="22"/>
        </w:rPr>
        <w:t xml:space="preserve">OI-29-08 (management/diagnostic port) is reinforced rather than duplicated by the R5 operational-layer material — no new management-port item was created; the existing OI-29-08 stands as the single register entry for this gap across both the physical (Section 10.5) and operational (Section 10.7) layers.</w:t>
      </w:r>
    </w:p>
    <w:p>
      <w:pPr>
        <w:spacing w:after="160"/>
      </w:pPr>
      <w:r>
        <w:rPr>
          <w:b/>
          <w:bCs/>
          <w:sz w:val="22"/>
          <w:szCs w:val="22"/>
        </w:rPr>
        <w:t xml:space="preserve">Cross-document note (not an open item within this document — logged for future patch): </w:t>
      </w:r>
      <w:r>
        <w:rPr>
          <w:i/>
          <w:iCs/>
          <w:sz w:val="22"/>
          <w:szCs w:val="22"/>
        </w:rPr>
        <w:t xml:space="preserve">R5-4 sets O8's total core count at 1,536 (8 slots × 192 cores), which is inconsistent with the "O8 = 192 optical cores" figure stated in WP#20 §5.3, WP#24 §5.2/§7.2, WP#25 §B.13.1, and the Velsanet Architecture Compendium. Per 창호's explicit instruction, this revision was made in WP#29 only; the other documents are not modified here. This inconsistency should be recorded in Velsanet_Pending_Updates_Log as a new entry pending 창호's decision on how (or whether) to propagate the 1,536-core figure to the rest of the document series.</w:t>
      </w:r>
    </w:p>
    <w:p>
      <w:pPr>
        <w:pStyle w:val="Heading1"/>
        <w:spacing w:after="160" w:before="280"/>
      </w:pPr>
      <w:r>
        <w:rPr>
          <w:b/>
          <w:bCs/>
        </w:rPr>
        <w:t xml:space="preserve">12. Conclusion and Future Document Proposals</w:t>
      </w:r>
    </w:p>
    <w:p>
      <w:pPr>
        <w:spacing w:after="160"/>
      </w:pPr>
      <w:r>
        <w:rPr>
          <w:b w:val="false"/>
          <w:bCs w:val="false"/>
          <w:i w:val="false"/>
          <w:iCs w:val="false"/>
          <w:sz w:val="22"/>
          <w:szCs w:val="22"/>
        </w:rPr>
        <w:t xml:space="preserve">WP#29 v1.10 completes the two deferrals recorded in WP#25's revision log (R1-4, R1-5), restates the Multi-Layer Multi-Plane Matrix principle at the node-equipment layer, fixes O8/D12/I20 block architecture including hierarchical Schlegel projection and national Velsa orchestration (Section 4.3–4.5), and defines the O8 node's full operational architecture: the Pass function, self-healing, dynamic Mode A/B slot allocation, the O8-only PAI/EAI attachment restriction, and Master-Standby active failover reused from hypercube adjacency (Section 10.7). It also corrects the O8 slot-level core allocation to 1,536 total cores (8 × 192), explicitly flagged against the rest of the document series rather than silently propagated. New in R6, it defines the Node Intelligence NPU as a dedicated, deterministic execution engine — distinct from the Cognition Cube's swappable cubification substrate — that executes accepted cooperation requests and hypercube failover as Matrix commands, and states the physical-constraint feedback loop by which Matrix-reported physical metrics trigger that execution, explicitly preserving the A=f(T) principle that Velsanet's guarantees are physical/structural rather than statistical (Sections 6.2, 10.7.11, 10.7.12). New in R7, WP#30's proposed scope (Table 2-1, Table 12-1) is clarified to explicitly include the Matrix's physical implementation (semiconductor circuit design, FPGA→ASIC process migration, die-level layout), distinguished from WP#32's board-level PCB layout. New in R8, hierarchical core scaling (Section 4.6) supersedes §10.7.8's hardware-uniformity principle: O8, D12, and I20 are now confirmed as distinct physical designs — 8/12/20 faces respectively, with per-face core counts of 192/768/3,072 (1,536/9,216/61,440 total) — rather than one uniform chassis serving all three tiers. New in R9, three Core Stack negotiation message types were added (Section 7.0a) — Release, Release_Ack, and Force_Release — closing a connection-teardown gap surfaced while drafting WP#30's wire-level encoding; Force_Release is confirmed as NPU rule-based execution, consistent with §6.2. New in R10, §10.7.10 now requires Master/Standby nodes to be in Mode B (no PAI/EAI attached) — reusing the existing Mode A/B mechanism, per 창호, rather than introducing a new node-hardware category — since a Mode A node's shared face capacity would compromise its hypercube relay and failover-coordination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shd w:fill="D9D9D9" w:val="clear"/>
          </w:tcPr>
          <w:p>
            <w:r>
              <w:rPr>
                <w:b/>
                <w:bCs/>
                <w:sz w:val="20"/>
                <w:szCs w:val="20"/>
              </w:rPr>
              <w:t xml:space="preserve">Doc No.</w:t>
            </w:r>
          </w:p>
        </w:tc>
        <w:tc>
          <w:tcPr>
            <w:tcW w:type="dxa" w:w="2600"/>
            <w:shd w:fill="D9D9D9" w:val="clear"/>
          </w:tcPr>
          <w:p>
            <w:r>
              <w:rPr>
                <w:b/>
                <w:bCs/>
                <w:sz w:val="20"/>
                <w:szCs w:val="20"/>
              </w:rPr>
              <w:t xml:space="preserve">Title</w:t>
            </w:r>
          </w:p>
        </w:tc>
        <w:tc>
          <w:tcPr>
            <w:tcW w:type="dxa" w:w="3660"/>
            <w:shd w:fill="D9D9D9" w:val="clear"/>
          </w:tcPr>
          <w:p>
            <w:r>
              <w:rPr>
                <w:b/>
                <w:bCs/>
                <w:sz w:val="20"/>
                <w:szCs w:val="20"/>
              </w:rPr>
              <w:t xml:space="preserve">Core Content</w:t>
            </w:r>
          </w:p>
        </w:tc>
        <w:tc>
          <w:tcPr>
            <w:tcW w:type="dxa" w:w="1500"/>
            <w:shd w:fill="D9D9D9" w:val="clear"/>
          </w:tcPr>
          <w:p>
            <w:r>
              <w:rPr>
                <w:b/>
                <w:bCs/>
                <w:sz w:val="20"/>
                <w:szCs w:val="20"/>
              </w:rPr>
              <w:t xml:space="preserve">Status</w:t>
            </w:r>
          </w:p>
        </w:tc>
      </w:tr>
      <w:tr>
        <w:tc>
          <w:tcPr>
            <w:tcW w:type="dxa" w:w="1600"/>
          </w:tcPr>
          <w:p>
            <w:r>
              <w:rPr>
                <w:b w:val="false"/>
                <w:bCs w:val="false"/>
                <w:sz w:val="20"/>
                <w:szCs w:val="20"/>
              </w:rPr>
              <w:t xml:space="preserve">WP #26</w:t>
            </w:r>
          </w:p>
        </w:tc>
        <w:tc>
          <w:tcPr>
            <w:tcW w:type="dxa" w:w="2600"/>
          </w:tcPr>
          <w:p>
            <w:r>
              <w:rPr>
                <w:b w:val="false"/>
                <w:bCs w:val="false"/>
                <w:sz w:val="20"/>
                <w:szCs w:val="20"/>
              </w:rPr>
              <w:t xml:space="preserve">Dedicated Equipment FPGA/ASIC Design Guide</w:t>
            </w:r>
          </w:p>
        </w:tc>
        <w:tc>
          <w:tcPr>
            <w:tcW w:type="dxa" w:w="3660"/>
          </w:tcPr>
          <w:p>
            <w:r>
              <w:rPr>
                <w:b w:val="false"/>
                <w:bCs w:val="false"/>
                <w:sz w:val="20"/>
                <w:szCs w:val="20"/>
              </w:rPr>
              <w:t xml:space="preserve">SEU1/SEU2 RTL engine templates, FPGA→ASIC migration</w:t>
            </w:r>
          </w:p>
        </w:tc>
        <w:tc>
          <w:tcPr>
            <w:tcW w:type="dxa" w:w="1500"/>
          </w:tcPr>
          <w:p>
            <w:r>
              <w:rPr>
                <w:b w:val="false"/>
                <w:bCs w:val="false"/>
                <w:sz w:val="20"/>
                <w:szCs w:val="20"/>
              </w:rPr>
              <w:t xml:space="preserve">Complete — 12 open items</w:t>
            </w:r>
          </w:p>
        </w:tc>
      </w:tr>
      <w:tr>
        <w:tc>
          <w:tcPr>
            <w:tcW w:type="dxa" w:w="1600"/>
          </w:tcPr>
          <w:p>
            <w:r>
              <w:rPr>
                <w:b w:val="false"/>
                <w:bCs w:val="false"/>
                <w:sz w:val="20"/>
                <w:szCs w:val="20"/>
              </w:rPr>
              <w:t xml:space="preserve">WP #27</w:t>
            </w:r>
          </w:p>
        </w:tc>
        <w:tc>
          <w:tcPr>
            <w:tcW w:type="dxa" w:w="2600"/>
          </w:tcPr>
          <w:p>
            <w:r>
              <w:rPr>
                <w:b w:val="false"/>
                <w:bCs w:val="false"/>
                <w:sz w:val="20"/>
                <w:szCs w:val="20"/>
              </w:rPr>
              <w:t xml:space="preserve">PAI AI DC Deployment Guide</w:t>
            </w:r>
          </w:p>
        </w:tc>
        <w:tc>
          <w:tcPr>
            <w:tcW w:type="dxa" w:w="3660"/>
          </w:tcPr>
          <w:p>
            <w:r>
              <w:rPr>
                <w:b w:val="false"/>
                <w:bCs w:val="false"/>
                <w:sz w:val="20"/>
                <w:szCs w:val="20"/>
              </w:rPr>
              <w:t xml:space="preserve">Multi-instance parallel operation, rack wiring, DC power spec</w:t>
            </w:r>
          </w:p>
        </w:tc>
        <w:tc>
          <w:tcPr>
            <w:tcW w:type="dxa" w:w="1500"/>
          </w:tcPr>
          <w:p>
            <w:r>
              <w:rPr>
                <w:b w:val="false"/>
                <w:bCs w:val="false"/>
                <w:sz w:val="20"/>
                <w:szCs w:val="20"/>
              </w:rPr>
              <w:t xml:space="preserve">Complete</w:t>
            </w:r>
          </w:p>
        </w:tc>
      </w:tr>
      <w:tr>
        <w:tc>
          <w:tcPr>
            <w:tcW w:type="dxa" w:w="1600"/>
          </w:tcPr>
          <w:p>
            <w:r>
              <w:rPr>
                <w:b w:val="false"/>
                <w:bCs w:val="false"/>
                <w:sz w:val="20"/>
                <w:szCs w:val="20"/>
              </w:rPr>
              <w:t xml:space="preserve">WP #28</w:t>
            </w:r>
          </w:p>
        </w:tc>
        <w:tc>
          <w:tcPr>
            <w:tcW w:type="dxa" w:w="2600"/>
          </w:tcPr>
          <w:p>
            <w:r>
              <w:rPr>
                <w:b w:val="false"/>
                <w:bCs w:val="false"/>
                <w:sz w:val="20"/>
                <w:szCs w:val="20"/>
              </w:rPr>
              <w:t xml:space="preserve">EAI E2E Center Deployment Guide</w:t>
            </w:r>
          </w:p>
        </w:tc>
        <w:tc>
          <w:tcPr>
            <w:tcW w:type="dxa" w:w="3660"/>
          </w:tcPr>
          <w:p>
            <w:r>
              <w:rPr>
                <w:b w:val="false"/>
                <w:bCs w:val="false"/>
                <w:sz w:val="20"/>
                <w:szCs w:val="20"/>
              </w:rPr>
              <w:t xml:space="preserve">Outdoor install, CH11 independent power, Dual E2E field validation</w:t>
            </w:r>
          </w:p>
        </w:tc>
        <w:tc>
          <w:tcPr>
            <w:tcW w:type="dxa" w:w="1500"/>
          </w:tcPr>
          <w:p>
            <w:r>
              <w:rPr>
                <w:b w:val="false"/>
                <w:bCs w:val="false"/>
                <w:sz w:val="20"/>
                <w:szCs w:val="20"/>
              </w:rPr>
              <w:t xml:space="preserve">Complete</w:t>
            </w:r>
          </w:p>
        </w:tc>
      </w:tr>
      <w:tr>
        <w:tc>
          <w:tcPr>
            <w:tcW w:type="dxa" w:w="1600"/>
          </w:tcPr>
          <w:p>
            <w:r>
              <w:rPr>
                <w:b w:val="false"/>
                <w:bCs w:val="false"/>
                <w:sz w:val="20"/>
                <w:szCs w:val="20"/>
              </w:rPr>
              <w:t xml:space="preserve">WP #29</w:t>
            </w:r>
          </w:p>
        </w:tc>
        <w:tc>
          <w:tcPr>
            <w:tcW w:type="dxa" w:w="2600"/>
          </w:tcPr>
          <w:p>
            <w:r>
              <w:rPr>
                <w:b w:val="false"/>
                <w:bCs w:val="false"/>
                <w:sz w:val="20"/>
                <w:szCs w:val="20"/>
              </w:rPr>
              <w:t xml:space="preserve">Network Equipment SAD (this document)</w:t>
            </w:r>
          </w:p>
        </w:tc>
        <w:tc>
          <w:tcPr>
            <w:tcW w:type="dxa" w:w="3660"/>
          </w:tcPr>
          <w:p>
            <w:r>
              <w:rPr>
                <w:b w:val="false"/>
                <w:bCs w:val="false"/>
                <w:sz w:val="20"/>
                <w:szCs w:val="20"/>
              </w:rPr>
              <w:t xml:space="preserve">O8/D12/I20 block architecture, placement, negotiation protocol, operational architecture, NPU-Matrix execution model</w:t>
            </w:r>
          </w:p>
        </w:tc>
        <w:tc>
          <w:tcPr>
            <w:tcW w:type="dxa" w:w="1500"/>
          </w:tcPr>
          <w:p>
            <w:r>
              <w:rPr>
                <w:b w:val="false"/>
                <w:bCs w:val="false"/>
                <w:sz w:val="20"/>
                <w:szCs w:val="20"/>
              </w:rPr>
              <w:t xml:space="preserve">Complete — v1.10, 22 open items</w:t>
            </w:r>
          </w:p>
        </w:tc>
      </w:tr>
      <w:tr>
        <w:tc>
          <w:tcPr>
            <w:tcW w:type="dxa" w:w="1600"/>
          </w:tcPr>
          <w:p>
            <w:r>
              <w:rPr>
                <w:b w:val="false"/>
                <w:bCs w:val="false"/>
                <w:sz w:val="20"/>
                <w:szCs w:val="20"/>
              </w:rPr>
              <w:t xml:space="preserve">WP #30 (proposed)</w:t>
            </w:r>
          </w:p>
        </w:tc>
        <w:tc>
          <w:tcPr>
            <w:tcW w:type="dxa" w:w="2600"/>
          </w:tcPr>
          <w:p>
            <w:r>
              <w:rPr>
                <w:b w:val="false"/>
                <w:bCs w:val="false"/>
                <w:sz w:val="20"/>
                <w:szCs w:val="20"/>
              </w:rPr>
              <w:t xml:space="preserve">Network Equipment RTL &amp; Physical Design (Switching/Routing)</w:t>
            </w:r>
          </w:p>
        </w:tc>
        <w:tc>
          <w:tcPr>
            <w:tcW w:type="dxa" w:w="3660"/>
          </w:tcPr>
          <w:p>
            <w:r>
              <w:rPr>
                <w:b w:val="false"/>
                <w:bCs w:val="false"/>
                <w:sz w:val="20"/>
                <w:szCs w:val="20"/>
              </w:rPr>
              <w:t xml:space="preserve">Node-to-node switching/routing logic (RTL) + Matrix physical implementation: semiconductor circuit design, FPGA→ASIC process migration, die-level layout — distinct from WP#32's PCB-level layout</w:t>
            </w:r>
          </w:p>
        </w:tc>
        <w:tc>
          <w:tcPr>
            <w:tcW w:type="dxa" w:w="1500"/>
          </w:tcPr>
          <w:p>
            <w:r>
              <w:rPr>
                <w:b w:val="false"/>
                <w:bCs w:val="false"/>
                <w:sz w:val="20"/>
                <w:szCs w:val="20"/>
              </w:rPr>
              <w:t xml:space="preserve">Proposed — next</w:t>
            </w:r>
          </w:p>
        </w:tc>
      </w:tr>
      <w:tr>
        <w:tc>
          <w:tcPr>
            <w:tcW w:type="dxa" w:w="1600"/>
          </w:tcPr>
          <w:p>
            <w:r>
              <w:rPr>
                <w:b w:val="false"/>
                <w:bCs w:val="false"/>
                <w:sz w:val="20"/>
                <w:szCs w:val="20"/>
              </w:rPr>
              <w:t xml:space="preserve">WP #31 (proposed)</w:t>
            </w:r>
          </w:p>
        </w:tc>
        <w:tc>
          <w:tcPr>
            <w:tcW w:type="dxa" w:w="2600"/>
          </w:tcPr>
          <w:p>
            <w:r>
              <w:rPr>
                <w:b w:val="false"/>
                <w:bCs w:val="false"/>
                <w:sz w:val="20"/>
                <w:szCs w:val="20"/>
              </w:rPr>
              <w:t xml:space="preserve">Schematic &amp; BOM</w:t>
            </w:r>
          </w:p>
        </w:tc>
        <w:tc>
          <w:tcPr>
            <w:tcW w:type="dxa" w:w="3660"/>
          </w:tcPr>
          <w:p>
            <w:r>
              <w:rPr>
                <w:b w:val="false"/>
                <w:bCs w:val="false"/>
                <w:sz w:val="20"/>
                <w:szCs w:val="20"/>
              </w:rPr>
              <w:t xml:space="preserve">800G transceiver, FPGA/ASIC, power circuit connections</w:t>
            </w:r>
          </w:p>
        </w:tc>
        <w:tc>
          <w:tcPr>
            <w:tcW w:type="dxa" w:w="1500"/>
          </w:tcPr>
          <w:p>
            <w:r>
              <w:rPr>
                <w:b w:val="false"/>
                <w:bCs w:val="false"/>
                <w:sz w:val="20"/>
                <w:szCs w:val="20"/>
              </w:rPr>
              <w:t xml:space="preserve">Proposed</w:t>
            </w:r>
          </w:p>
        </w:tc>
      </w:tr>
      <w:tr>
        <w:tc>
          <w:tcPr>
            <w:tcW w:type="dxa" w:w="1600"/>
          </w:tcPr>
          <w:p>
            <w:r>
              <w:rPr>
                <w:b w:val="false"/>
                <w:bCs w:val="false"/>
                <w:sz w:val="20"/>
                <w:szCs w:val="20"/>
              </w:rPr>
              <w:t xml:space="preserve">WP #32 (proposed)</w:t>
            </w:r>
          </w:p>
        </w:tc>
        <w:tc>
          <w:tcPr>
            <w:tcW w:type="dxa" w:w="2600"/>
          </w:tcPr>
          <w:p>
            <w:r>
              <w:rPr>
                <w:b w:val="false"/>
                <w:bCs w:val="false"/>
                <w:sz w:val="20"/>
                <w:szCs w:val="20"/>
              </w:rPr>
              <w:t xml:space="preserve">PCB Layout Design</w:t>
            </w:r>
          </w:p>
        </w:tc>
        <w:tc>
          <w:tcPr>
            <w:tcW w:type="dxa" w:w="3660"/>
          </w:tcPr>
          <w:p>
            <w:r>
              <w:rPr>
                <w:b w:val="false"/>
                <w:bCs w:val="false"/>
                <w:sz w:val="20"/>
                <w:szCs w:val="20"/>
              </w:rPr>
              <w:t xml:space="preserve">800G PAM4 board-level placement/routing, thermal design</w:t>
            </w:r>
          </w:p>
        </w:tc>
        <w:tc>
          <w:tcPr>
            <w:tcW w:type="dxa" w:w="1500"/>
          </w:tcPr>
          <w:p>
            <w:r>
              <w:rPr>
                <w:b w:val="false"/>
                <w:bCs w:val="false"/>
                <w:sz w:val="20"/>
                <w:szCs w:val="20"/>
              </w:rPr>
              <w:t xml:space="preserve">Proposed</w:t>
            </w:r>
          </w:p>
        </w:tc>
      </w:tr>
      <w:tr>
        <w:tc>
          <w:tcPr>
            <w:tcW w:type="dxa" w:w="1600"/>
          </w:tcPr>
          <w:p>
            <w:r>
              <w:rPr>
                <w:b w:val="false"/>
                <w:bCs w:val="false"/>
                <w:sz w:val="20"/>
                <w:szCs w:val="20"/>
              </w:rPr>
              <w:t xml:space="preserve">WP #33 (proposed)</w:t>
            </w:r>
          </w:p>
        </w:tc>
        <w:tc>
          <w:tcPr>
            <w:tcW w:type="dxa" w:w="2600"/>
          </w:tcPr>
          <w:p>
            <w:r>
              <w:rPr>
                <w:b w:val="false"/>
                <w:bCs w:val="false"/>
                <w:sz w:val="20"/>
                <w:szCs w:val="20"/>
              </w:rPr>
              <w:t xml:space="preserve">Integration Test Plan</w:t>
            </w:r>
          </w:p>
        </w:tc>
        <w:tc>
          <w:tcPr>
            <w:tcW w:type="dxa" w:w="3660"/>
          </w:tcPr>
          <w:p>
            <w:r>
              <w:rPr>
                <w:b w:val="false"/>
                <w:bCs w:val="false"/>
                <w:sz w:val="20"/>
                <w:szCs w:val="20"/>
              </w:rPr>
              <w:t xml:space="preserve">Node-to-node connectivity, fault recovery, performance testing</w:t>
            </w:r>
          </w:p>
        </w:tc>
        <w:tc>
          <w:tcPr>
            <w:tcW w:type="dxa" w:w="1500"/>
          </w:tcPr>
          <w:p>
            <w:r>
              <w:rPr>
                <w:b w:val="false"/>
                <w:bCs w:val="false"/>
                <w:sz w:val="20"/>
                <w:szCs w:val="20"/>
              </w:rPr>
              <w:t xml:space="preserve">Proposed</w:t>
            </w:r>
          </w:p>
        </w:tc>
      </w:tr>
    </w:tbl>
    <w:p>
      <w:pPr>
        <w:spacing w:after="200"/>
      </w:pPr>
      <w:r>
        <w:rPr>
          <w:i/>
          <w:iCs/>
          <w:sz w:val="20"/>
          <w:szCs w:val="20"/>
        </w:rPr>
        <w:t xml:space="preserve">Table 12-1. Future Document Proposals — Updated at WP#29 v1.10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D9D9D9" w:val="clear"/>
          </w:tcPr>
          <w:p>
            <w:r>
              <w:rPr>
                <w:b/>
                <w:bCs/>
                <w:sz w:val="20"/>
                <w:szCs w:val="20"/>
              </w:rPr>
              <w:t xml:space="preserve">Notice</w:t>
            </w:r>
          </w:p>
        </w:tc>
      </w:tr>
      <w:tr>
        <w:tc>
          <w:tcPr>
            <w:tcW w:type="dxa" w:w="9360"/>
          </w:tcPr>
          <w:p>
            <w:r>
              <w:rPr>
                <w:b w:val="false"/>
                <w:bCs w:val="false"/>
                <w:sz w:val="20"/>
                <w:szCs w:val="20"/>
              </w:rPr>
              <w:t xml:space="preserve">This document is an internal technical design document of the Velsanet Architecture Group. All design specifications are based on software MVP validation results and will be finalized through physical hardware validation.</w:t>
            </w:r>
          </w:p>
        </w:tc>
      </w:tr>
    </w:tbl>
    <w:p>
      <w:pPr>
        <w:spacing w:after="160"/>
      </w:pPr>
      <w:r>
        <w:rPr>
          <w:b w:val="false"/>
          <w:bCs w:val="false"/>
          <w:i w:val="false"/>
          <w:iCs w:val="false"/>
          <w:sz w:val="22"/>
          <w:szCs w:val="22"/>
        </w:rPr>
        <w:t xml:space="preserve"/>
      </w:r>
    </w:p>
    <w:p>
      <w:pPr>
        <w:spacing w:after="160"/>
      </w:pPr>
      <w:r>
        <w:rPr>
          <w:b w:val="false"/>
          <w:bCs w:val="false"/>
          <w:i/>
          <w:iCs/>
          <w:sz w:val="22"/>
          <w:szCs w:val="22"/>
        </w:rPr>
        <w:t xml:space="preserve">Velsanet Architecture Group  —  Internal Technical Document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2026-07-11T08:31:33.697Z</dcterms:created>
  <dcterms:modified xsi:type="dcterms:W3CDTF">2026-07-11T08:31:33.716Z</dcterms:modified>
</cp:coreProperties>
</file>

<file path=docProps/custom.xml><?xml version="1.0" encoding="utf-8"?>
<Properties xmlns="http://schemas.openxmlformats.org/officeDocument/2006/custom-properties" xmlns:vt="http://schemas.openxmlformats.org/officeDocument/2006/docPropsVTypes"/>
</file>