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60" w:before="0"/>
        <w:jc w:val="center"/>
      </w:pPr>
      <w:r>
        <w:rPr>
          <w:rFonts w:ascii="Arial" w:cs="Arial" w:eastAsia="Arial" w:hAnsi="Arial"/>
          <w:b/>
          <w:bCs/>
          <w:color w:val="6B7280"/>
          <w:sz w:val="20"/>
          <w:szCs w:val="20"/>
        </w:rPr>
        <w:t xml:space="preserve">VELSANET ARCHITECTURE GROUP  |  기술 설계 문서</w:t>
      </w:r>
    </w:p>
    <w:p>
      <w:pPr>
        <w:pBdr>
          <w:bottom w:val="single" w:color="2563EB" w:sz="12" w:space="4"/>
        </w:pBdr>
        <w:spacing w:after="160" w:before="0"/>
        <w:jc w:val="center"/>
      </w:pPr>
      <w:r>
        <w:rPr>
          <w:rFonts w:ascii="Arial" w:cs="Arial" w:eastAsia="Arial" w:hAnsi="Arial"/>
          <w:b/>
          <w:bCs/>
          <w:color w:val="1B3A6B"/>
          <w:sz w:val="52"/>
          <w:szCs w:val="52"/>
        </w:rPr>
        <w:t xml:space="preserve">인지 큐브(Cognition Cube) 하드웨어 설계 방안</w:t>
      </w:r>
    </w:p>
    <w:p>
      <w:pPr>
        <w:spacing w:after="80" w:before="160"/>
        <w:jc w:val="center"/>
      </w:pPr>
      <w:r>
        <w:rPr>
          <w:rFonts w:ascii="Arial" w:cs="Arial" w:eastAsia="Arial" w:hAnsi="Arial"/>
          <w:i/>
          <w:iCs/>
          <w:color w:val="2563EB"/>
          <w:sz w:val="26"/>
          <w:szCs w:val="26"/>
        </w:rPr>
        <w:t xml:space="preserve">HBM · HBF 메모리 아키텍처 및 멀티미디어 다채널 설계</w:t>
      </w:r>
    </w:p>
    <w:p>
      <w:pPr>
        <w:spacing w:after="480" w:before="0"/>
        <w:jc w:val="center"/>
      </w:pPr>
      <w:r>
        <w:rPr>
          <w:rFonts w:ascii="Arial" w:cs="Arial" w:eastAsia="Arial" w:hAnsi="Arial"/>
          <w:i/>
          <w:iCs/>
          <w:color w:val="0F766E"/>
          <w:sz w:val="22"/>
          <w:szCs w:val="22"/>
        </w:rPr>
        <w:t xml:space="preserve">— EAI(E2E 센터) / PAI(AI 데이터센터) 분리 배치 아키텍처 기반 —</w:t>
      </w:r>
    </w:p>
    <w:p>
      <w:pPr>
        <w:spacing w:after="40" w:before="40"/>
      </w:pPr>
      <w:r>
        <w:t xml:space="preserve"/>
      </w:r>
    </w:p>
    <w:p>
      <w:pPr>
        <w:spacing w:after="4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none" w:color="FFFFFF" w:sz="0"/>
              <w:left w:val="none" w:color="FFFFFF" w:sz="0"/>
              <w:bottom w:val="none" w:color="FFFFFF" w:sz="0"/>
              <w:right w:val="none" w:color="FFFFFF" w:sz="0"/>
            </w:tcBorders>
            <w:shd w:fill="DBEAFE" w:val="clear"/>
            <w:tcMar>
              <w:top w:type="dxa" w:w="140"/>
              <w:left w:type="dxa" w:w="160"/>
              <w:bottom w:type="dxa" w:w="140"/>
              <w:right w:type="dxa" w:w="160"/>
            </w:tcMar>
          </w:tcPr>
          <w:p>
            <w:pPr>
              <w:jc w:val="center"/>
            </w:pPr>
            <w:r>
              <w:rPr>
                <w:rFonts w:ascii="Arial" w:cs="Arial" w:eastAsia="Arial" w:hAnsi="Arial"/>
                <w:b/>
                <w:bCs/>
                <w:color w:val="1B3A6B"/>
                <w:sz w:val="18"/>
                <w:szCs w:val="18"/>
              </w:rPr>
              <w:t xml:space="preserve">문서 분류</w:t>
            </w:r>
          </w:p>
          <w:p>
            <w:pPr>
              <w:jc w:val="center"/>
            </w:pPr>
            <w:r>
              <w:rPr>
                <w:rFonts w:ascii="Arial" w:cs="Arial" w:eastAsia="Arial" w:hAnsi="Arial"/>
                <w:color w:val="1B3A6B"/>
                <w:sz w:val="18"/>
                <w:szCs w:val="18"/>
              </w:rPr>
              <w:t xml:space="preserve">내부 기술 설계 문서</w:t>
            </w:r>
          </w:p>
        </w:tc>
        <w:tc>
          <w:tcPr>
            <w:tcW w:type="dxa" w:w="2000"/>
            <w:tcBorders>
              <w:top w:val="none" w:color="FFFFFF" w:sz="0"/>
              <w:left w:val="none" w:color="FFFFFF" w:sz="0"/>
              <w:bottom w:val="none" w:color="FFFFFF" w:sz="0"/>
              <w:right w:val="none" w:color="FFFFFF" w:sz="0"/>
            </w:tcBorders>
            <w:shd w:fill="CCFBF1" w:val="clear"/>
            <w:tcMar>
              <w:top w:type="dxa" w:w="140"/>
              <w:left w:type="dxa" w:w="160"/>
              <w:bottom w:type="dxa" w:w="140"/>
              <w:right w:type="dxa" w:w="160"/>
            </w:tcMar>
          </w:tcPr>
          <w:p>
            <w:pPr>
              <w:jc w:val="center"/>
            </w:pPr>
            <w:r>
              <w:rPr>
                <w:rFonts w:ascii="Arial" w:cs="Arial" w:eastAsia="Arial" w:hAnsi="Arial"/>
                <w:b/>
                <w:bCs/>
                <w:color w:val="0F766E"/>
                <w:sz w:val="18"/>
                <w:szCs w:val="18"/>
              </w:rPr>
              <w:t xml:space="preserve">버전</w:t>
            </w:r>
          </w:p>
          <w:p>
            <w:pPr>
              <w:jc w:val="center"/>
            </w:pPr>
            <w:r>
              <w:rPr>
                <w:rFonts w:ascii="Arial" w:cs="Arial" w:eastAsia="Arial" w:hAnsi="Arial"/>
                <w:color w:val="0F766E"/>
                <w:sz w:val="18"/>
                <w:szCs w:val="18"/>
              </w:rPr>
              <w:t xml:space="preserve">v1.1  |  2026</w:t>
            </w:r>
          </w:p>
        </w:tc>
        <w:tc>
          <w:tcPr>
            <w:tcW w:type="dxa" w:w="2000"/>
            <w:tcBorders>
              <w:top w:val="none" w:color="FFFFFF" w:sz="0"/>
              <w:left w:val="none" w:color="FFFFFF" w:sz="0"/>
              <w:bottom w:val="none" w:color="FFFFFF" w:sz="0"/>
              <w:right w:val="none" w:color="FFFFFF" w:sz="0"/>
            </w:tcBorders>
            <w:shd w:fill="FEF3C7" w:val="clear"/>
            <w:tcMar>
              <w:top w:type="dxa" w:w="140"/>
              <w:left w:type="dxa" w:w="160"/>
              <w:bottom w:type="dxa" w:w="140"/>
              <w:right w:type="dxa" w:w="160"/>
            </w:tcMar>
          </w:tcPr>
          <w:p>
            <w:pPr>
              <w:jc w:val="center"/>
            </w:pPr>
            <w:r>
              <w:rPr>
                <w:rFonts w:ascii="Arial" w:cs="Arial" w:eastAsia="Arial" w:hAnsi="Arial"/>
                <w:b/>
                <w:bCs/>
                <w:color w:val="B45309"/>
                <w:sz w:val="18"/>
                <w:szCs w:val="18"/>
              </w:rPr>
              <w:t xml:space="preserve">적용 범위</w:t>
            </w:r>
          </w:p>
          <w:p>
            <w:pPr>
              <w:jc w:val="center"/>
            </w:pPr>
            <w:r>
              <w:rPr>
                <w:rFonts w:ascii="Arial" w:cs="Arial" w:eastAsia="Arial" w:hAnsi="Arial"/>
                <w:color w:val="B45309"/>
                <w:sz w:val="18"/>
                <w:szCs w:val="18"/>
              </w:rPr>
              <w:t xml:space="preserve">EAI E2E / PAI DC</w:t>
            </w:r>
          </w:p>
        </w:tc>
        <w:tc>
          <w:tcPr>
            <w:tcW w:type="dxa" w:w="2000"/>
            <w:tcBorders>
              <w:top w:val="none" w:color="FFFFFF" w:sz="0"/>
              <w:left w:val="none" w:color="FFFFFF" w:sz="0"/>
              <w:bottom w:val="none" w:color="FFFFFF" w:sz="0"/>
              <w:right w:val="none" w:color="FFFFFF" w:sz="0"/>
            </w:tcBorders>
            <w:shd w:fill="EDE9FE" w:val="clear"/>
            <w:tcMar>
              <w:top w:type="dxa" w:w="140"/>
              <w:left w:type="dxa" w:w="160"/>
              <w:bottom w:type="dxa" w:w="140"/>
              <w:right w:type="dxa" w:w="160"/>
            </w:tcMar>
          </w:tcPr>
          <w:p>
            <w:pPr>
              <w:jc w:val="center"/>
            </w:pPr>
            <w:r>
              <w:rPr>
                <w:rFonts w:ascii="Arial" w:cs="Arial" w:eastAsia="Arial" w:hAnsi="Arial"/>
                <w:b/>
                <w:bCs/>
                <w:color w:val="5B21B6"/>
                <w:sz w:val="18"/>
                <w:szCs w:val="18"/>
              </w:rPr>
              <w:t xml:space="preserve">광전송</w:t>
            </w:r>
          </w:p>
          <w:p>
            <w:pPr>
              <w:jc w:val="center"/>
            </w:pPr>
            <w:r>
              <w:rPr>
                <w:rFonts w:ascii="Arial" w:cs="Arial" w:eastAsia="Arial" w:hAnsi="Arial"/>
                <w:color w:val="5B21B6"/>
                <w:sz w:val="18"/>
                <w:szCs w:val="18"/>
              </w:rPr>
              <w:t xml:space="preserve">800Gbps (MOCT 고정형)</w:t>
            </w:r>
          </w:p>
        </w:tc>
      </w:tr>
    </w:tbl>
    <w:p>
      <w:pPr>
        <w:spacing w:after="40" w:before="40"/>
      </w:pPr>
      <w:r>
        <w:t xml:space="preserve"/>
      </w:r>
    </w:p>
    <w:p>
      <w:pPr>
        <w:spacing w:after="40" w:before="40"/>
      </w:pPr>
      <w:r>
        <w:t xml:space="preserve"/>
      </w:r>
    </w:p>
    <w:p>
      <w:pPr>
        <w:jc w:val="center"/>
      </w:pPr>
      <w:r>
        <w:rPr>
          <w:rFonts w:ascii="Arial" w:cs="Arial" w:eastAsia="Arial" w:hAnsi="Arial"/>
          <w:color w:val="6B7280"/>
          <w:sz w:val="18"/>
          <w:szCs w:val="18"/>
        </w:rPr>
        <w:t xml:space="preserve">Republic of Korea  |  Velsanet Architecture Group</w:t>
      </w:r>
    </w:p>
    <w:p>
      <w:r>
        <w:br w:type="page"/>
      </w:r>
    </w:p>
    <w:p>
      <w:pPr>
        <w:sectPr>
          <w:pgSz w:w="12240" w:h="15840" w:orient="portrait"/>
          <w:pgMar w:top="1440" w:right="1440" w:bottom="1440" w:left="1440" w:header="708" w:footer="708" w:gutter="0"/>
          <w:pgNumType/>
          <w:docGrid w:linePitch="360"/>
        </w:sectPr>
      </w:pPr>
    </w:p>
    <w:p>
      <w:pPr>
        <w:pBdr>
          <w:bottom w:val="single" w:color="1B3A6B" w:sz="8" w:space="1"/>
        </w:pBdr>
        <w:spacing w:after="200" w:before="0"/>
      </w:pPr>
      <w:r>
        <w:rPr>
          <w:rFonts w:ascii="Arial" w:cs="Arial" w:eastAsia="Arial" w:hAnsi="Arial"/>
          <w:b/>
          <w:bCs/>
          <w:color w:val="1B3A6B"/>
          <w:sz w:val="36"/>
          <w:szCs w:val="36"/>
        </w:rPr>
        <w:t xml:space="preserve">목  차</w:t>
      </w:r>
    </w:p>
    <w:p>
      <w:pPr>
        <w:spacing w:after="40" w:before="40"/>
      </w:pPr>
      <w:r>
        <w:t xml:space="preserve"/>
      </w:r>
    </w:p>
    <w:p>
      <w:pPr>
        <w:tabs>
          <w:tab w:val="right" w:pos="9000" w:leader="dot"/>
        </w:tabs>
        <w:spacing w:after="60" w:before="120"/>
      </w:pPr>
      <w:r>
        <w:rPr>
          <w:rFonts w:ascii="Arial" w:cs="Arial" w:eastAsia="Arial" w:hAnsi="Arial"/>
          <w:b/>
          <w:bCs/>
          <w:color w:val="1B3A6B"/>
          <w:sz w:val="24"/>
          <w:szCs w:val="24"/>
        </w:rPr>
        <w:t xml:space="preserve">1.  아키텍처 전제 및 설계 맥락</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1.1  EAI와 PAI의 배치 위치 구분</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1.2  FG-EAI-I-011R1 대비 본 문서의 추가 정의 — 배치 위치 아키텍처</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1.3  큐브화 방법론의 실행 기반 독립성 원칙</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1.4  고정형 리본케이블(MOCT)의 설계 함의</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1.5  물리 전송 속도 정정: 1Tbps → 800Gbps</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2.  전체 하드웨어 아키텍처 — 5계층 스택</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2.1  5계층 하드웨어 스택 비교</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2.2  대역폭 요건 재산출 (800Gbps 기준)</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3.  HBM — Raw Memory Layer 하드웨어 설계</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3.1  WORM 컨트롤러 설계 — 공통 구조</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3.2  EAI HBM — 16채널 사양 (E2E 센터 배치)</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3.3  PAI HBM — 8채널 사양 (AI 데이터센터 배치)</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4.  HBF — Cube Memory Layer 하드웨어 설계</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4.1  5축 하드웨어 접근 권한 매트릭스</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4.2  EAI vs PAI의 HBF 운용 차이</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5.  Dedicated Equipment — 변환 엔진 하드웨어 설계</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5.1  3단 하드웨어 블록 구조</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5.2  Block A — DEMUX Engine 핵심 설계</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5.3  EAI 전용 — 16채널 Dual E2E 물리 격리</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6.  멀티미디어 다채널 SEU 동기화 하드웨어</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6.1  SEU 동기화 파이프라인 (4단계)</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6.2  적응형 SEU 윈도우 크기 제어</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7.  PAI AI 데이터센터 전용 설계 고려사항</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7.1  설계 차이점: EAI vs PAI</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7.2  다수 PAI 인스턴스 병렬 운용 아키텍처</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8.  하드웨어 검증 전략</w:t>
      </w:r>
      <w:r>
        <w:rPr>
          <w:rFonts w:ascii="Arial" w:cs="Arial" w:eastAsia="Arial" w:hAnsi="Arial"/>
          <w:sz w:val="24"/>
          <w:szCs w:val="24"/>
        </w:rPr>
        <w:t xml:space="preserve">	</w:t>
      </w:r>
    </w:p>
    <w:p>
      <w:pPr>
        <w:tabs>
          <w:tab w:val="right" w:pos="9000" w:leader="dot"/>
        </w:tabs>
        <w:spacing w:after="60" w:before="120"/>
      </w:pPr>
      <w:r>
        <w:rPr>
          <w:rFonts w:ascii="Arial" w:cs="Arial" w:eastAsia="Arial" w:hAnsi="Arial"/>
          <w:b/>
          <w:bCs/>
          <w:color w:val="1B3A6B"/>
          <w:sz w:val="24"/>
          <w:szCs w:val="24"/>
        </w:rPr>
        <w:t xml:space="preserve">9.  결론 및 차기 문서 제안</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9.1  차기 문서 제안</w:t>
      </w:r>
      <w:r>
        <w:rPr>
          <w:rFonts w:ascii="Arial" w:cs="Arial" w:eastAsia="Arial" w:hAnsi="Arial"/>
          <w:sz w:val="22"/>
          <w:szCs w:val="22"/>
        </w:rPr>
        <w:t xml:space="preserve">	</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 아키텍처 전제 및 설계 맥락</w:t>
      </w:r>
    </w:p>
    <w:p>
      <w:pPr>
        <w:spacing w:after="80" w:before="80"/>
        <w:jc w:val="both"/>
      </w:pPr>
      <w:r>
        <w:rPr>
          <w:rFonts w:ascii="Arial" w:cs="Arial" w:eastAsia="Arial" w:hAnsi="Arial"/>
          <w:color w:val="111827"/>
          <w:sz w:val="22"/>
          <w:szCs w:val="22"/>
        </w:rPr>
        <w:t xml:space="preserve">본 문서는 Velsanet 장비를 통한 유입을 전제로 한 시스템 아키텍처 설계다. 대상 시스템은 EAI(Embodied AI)와 PAI(Personal AI)라는 두 가지 분산 인지 네트워크 노드이며, 각각 서로 다른 물리적 위치에 배치된다. 모든 광 연결은 MOCT 고정형 리본케이블을 기반으로 하며, 플러그블 모듈이나 패치패널은 사용하지 않는다.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1.1 EAI와 PAI의 배치 위치 구분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DBEAFE" w:val="clear"/>
            <w:tcMar>
              <w:top w:type="dxa" w:w="120"/>
              <w:left w:type="dxa" w:w="280"/>
              <w:bottom w:type="dxa" w:w="120"/>
              <w:right w:type="dxa" w:w="160"/>
            </w:tcMar>
          </w:tcPr>
          <w:p>
            <w:pPr>
              <w:jc w:val="both"/>
            </w:pPr>
            <w:r>
              <w:rPr>
                <w:rFonts w:ascii="Arial" w:cs="Arial" w:eastAsia="Arial" w:hAnsi="Arial"/>
                <w:color w:val="111827"/>
                <w:sz w:val="21"/>
                <w:szCs w:val="21"/>
              </w:rPr>
              <w:t xml:space="preserve">핵심 전제: EAI는 E2E 센터(도시/지역 단위)에 배치되며, PAI는 AI 데이터센터에 배치된다. 두 시스템 모두 Velsanet 고정형 리본케이블로 연결되나, 물리적 위치·처리 목적·채널 구성이 상이하다.</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2000"/>
        <w:gridCol w:w="19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구분</w:t>
            </w:r>
          </w:p>
        </w:tc>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배치 위치</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노드 타입</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Cognition Cube 역할</w:t>
            </w:r>
          </w:p>
        </w:tc>
        <w:tc>
          <w:tcPr>
            <w:tcW w:type="dxa" w:w="1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광전송 기반</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EAI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E2E 센터 (도시/지역)</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 도시 E2E / D12 — 지역 E2E</w:t>
            </w:r>
          </w:p>
        </w:tc>
        <w:tc>
          <w:tcPr>
            <w:tcW w:type="dxa" w:w="2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16채널 Dual E2E (지각+제어 평면)</w:t>
            </w:r>
          </w:p>
        </w:tc>
        <w:tc>
          <w:tcPr>
            <w:tcW w:type="dxa" w:w="1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고정형 리본케이블</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AI 데이터센터</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노드 내부 전용 인프라</w:t>
            </w:r>
          </w:p>
        </w:tc>
        <w:tc>
          <w:tcPr>
            <w:tcW w:type="dxa" w:w="2000"/>
            <w:tcBorders>
              <w:top w:val="single" w:color="E5E7EB" w:sz="1"/>
              <w:left w:val="single" w:color="E5E7EB" w:sz="1"/>
              <w:bottom w:val="single" w:color="E5E7EB" w:sz="1"/>
              <w:right w:val="single" w:color="E5E7EB" w:sz="1"/>
            </w:tcBorders>
            <w:shd w:fill="EDE9FE" w:val="clear"/>
            <w:tcMar>
              <w:top w:type="dxa" w:w="80"/>
              <w:left w:type="dxa" w:w="100"/>
              <w:bottom w:type="dxa" w:w="80"/>
              <w:right w:type="dxa" w:w="100"/>
            </w:tcMar>
            <w:vAlign w:val="center"/>
          </w:tcPr>
          <w:p>
            <w:r>
              <w:rPr>
                <w:rFonts w:ascii="Arial" w:cs="Arial" w:eastAsia="Arial" w:hAnsi="Arial"/>
                <w:color w:val="111827"/>
                <w:sz w:val="19"/>
                <w:szCs w:val="19"/>
              </w:rPr>
              <w:t xml:space="preserve">8채널 인지 큐브 (DIKWEI 순환 처리)</w:t>
            </w:r>
          </w:p>
        </w:tc>
        <w:tc>
          <w:tcPr>
            <w:tcW w:type="dxa" w:w="1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고정형 리본케이블</w:t>
            </w:r>
          </w:p>
        </w:tc>
      </w:tr>
    </w:tbl>
    <w:p>
      <w:pPr>
        <w:spacing w:after="120" w:before="60"/>
        <w:jc w:val="center"/>
      </w:pPr>
      <w:r>
        <w:rPr>
          <w:rFonts w:ascii="Arial" w:cs="Arial" w:eastAsia="Arial" w:hAnsi="Arial"/>
          <w:i/>
          <w:iCs/>
          <w:color w:val="6B7280"/>
          <w:sz w:val="18"/>
          <w:szCs w:val="18"/>
        </w:rPr>
        <w:t xml:space="preserve">표 1-1. EAI와 PAI의 배치 위치 및 역할 구분</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1.2 FG-EAI-I-011R1 대비 본 문서의 추가 정의 — 배치 위치 아키텍처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DBEAFE" w:val="clear"/>
            <w:tcMar>
              <w:top w:type="dxa" w:w="120"/>
              <w:left w:type="dxa" w:w="280"/>
              <w:bottom w:type="dxa" w:w="120"/>
              <w:right w:type="dxa" w:w="160"/>
            </w:tcMar>
          </w:tcPr>
          <w:p>
            <w:pPr>
              <w:jc w:val="both"/>
            </w:pPr>
            <w:r>
              <w:rPr>
                <w:rFonts w:ascii="Arial" w:cs="Arial" w:eastAsia="Arial" w:hAnsi="Arial"/>
                <w:color w:val="111827"/>
                <w:sz w:val="21"/>
                <w:szCs w:val="21"/>
              </w:rPr>
              <w:t xml:space="preserve">포지셔닝 포인트: FG-EAI-I-011R1(Work Items F–I)은 EAI와 PAI의 역할과 인터페이스를 정의하지만, 두 시스템의 물리적 배치 위치(deployment location)는 명시하지 않는다. 본 하드웨어 설계 문서는 ITU 기여 문서보다 한 단계 더 구체화하여, EAI는 E2E 센터(O8/D12 노드)에, PAI는 AI 데이터센터에 배치됨을 아키텍처 수준에서 명시적으로 정의한다. 이는 구현 가능한 배치 아키텍처를 제시함으로써 표준화 논의를 실질적인 엔지니어링 수준으로 끌어내린 기여다.</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항목</w:t>
            </w:r>
          </w:p>
        </w:tc>
        <w:tc>
          <w:tcPr>
            <w:tcW w:type="dxa" w:w="3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FG-EAI-I-011R1 (ITU 기여 문서)</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본 하드웨어 설계 문서 (추가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EAI 배치 위치</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명시 없음 (역할만 정의)</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센터 (O8 도시 / D12 지역) — 명시적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PAI 배치 위치</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명시 없음 (역할만 정의)</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AI 데이터센터 — 명시적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광 연결 기반</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MOCT 언급 (하드웨어 세부 미정의)</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고정형 리본케이블 800Gbps — 구현 수준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EAI 채널 구성</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16채널 Dual E2E 정의 (배치 위치 미정)</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센터 내 물리 격리 코어 그룹 — 구체적 배선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PAI 다중 인스턴스</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단일 PAI 개념 정의</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Node_8 내 N개 병렬 인스턴스 운용 아키텍처 정의</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Work Item I (Human Projection)</w:t>
            </w:r>
          </w:p>
        </w:tc>
        <w:tc>
          <w:tcPr>
            <w:tcW w:type="dxa" w:w="3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추출·전이 시퀀스 정의 (WG4 범위)</w:t>
            </w:r>
          </w:p>
        </w:tc>
        <w:tc>
          <w:tcPr>
            <w:tcW w:type="dxa" w:w="33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별도 독립 시퀀스 — 후속 문서에서 정의 예정</w:t>
            </w:r>
          </w:p>
        </w:tc>
      </w:tr>
    </w:tbl>
    <w:p>
      <w:pPr>
        <w:spacing w:after="120" w:before="60"/>
        <w:jc w:val="center"/>
      </w:pPr>
      <w:r>
        <w:rPr>
          <w:rFonts w:ascii="Arial" w:cs="Arial" w:eastAsia="Arial" w:hAnsi="Arial"/>
          <w:i/>
          <w:iCs/>
          <w:color w:val="6B7280"/>
          <w:sz w:val="18"/>
          <w:szCs w:val="18"/>
        </w:rPr>
        <w:t xml:space="preserve">표 1-2. FG-EAI-I-011R1 대비 본 문서의 확장 정의 비교</w:t>
      </w:r>
    </w:p>
    <w:p>
      <w:pPr>
        <w:spacing w:after="40" w:before="40"/>
      </w:pPr>
      <w:r>
        <w:t xml:space="preserve"/>
      </w:r>
    </w:p>
    <w:p>
      <w:pPr>
        <w:spacing w:after="80" w:before="80"/>
        <w:jc w:val="both"/>
      </w:pPr>
      <w:r>
        <w:rPr>
          <w:rFonts w:ascii="Arial" w:cs="Arial" w:eastAsia="Arial" w:hAnsi="Arial"/>
          <w:color w:val="111827"/>
          <w:sz w:val="22"/>
          <w:szCs w:val="22"/>
        </w:rPr>
        <w:t xml:space="preserve">발표 시 청중에게 다음과 같이 설명할 수 있다: FG-EAI-I-011R1이 무엇을 표준화할 것인가(What)를 정의한다면, 본 하드웨어 설계 문서는 어떻게, 어디에 구현하는가(How &amp; Where)를 정의한다. 두 문서는 충돌하지 않으며, 본 문서는 ITU 기여 문서의 구현 가능성을 실증하는 엔지니어링 레이어다.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1.3 큐브화 방법론의 실행 기반 독립성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8"/>
              <w:bottom w:val="none" w:color="FFFFFF" w:sz="0"/>
              <w:right w:val="none" w:color="FFFFFF" w:sz="0"/>
            </w:tcBorders>
            <w:shd w:fill="CCFBF1" w:val="clear"/>
            <w:tcMar>
              <w:top w:type="dxa" w:w="120"/>
              <w:left w:type="dxa" w:w="280"/>
              <w:bottom w:type="dxa" w:w="120"/>
              <w:right w:type="dxa" w:w="160"/>
            </w:tcMar>
          </w:tcPr>
          <w:p>
            <w:pPr>
              <w:jc w:val="both"/>
            </w:pPr>
            <w:r>
              <w:rPr>
                <w:rFonts w:ascii="Arial" w:cs="Arial" w:eastAsia="Arial" w:hAnsi="Arial"/>
                <w:color w:val="111827"/>
                <w:sz w:val="21"/>
                <w:szCs w:val="21"/>
              </w:rPr>
              <w:t xml:space="preserve">핵심 원칙: GPU → NPU → TPU → 미래의 XYZ 가속기 — 어떤 실행 기반을 사용하든, 큐브화(Cubification)의 방법론, 즉 '어떻게 큐브화할 것인가'에 대한 알고리즘과 파이프라인은 동일해야 한다. 실행 도구가 바뀌면 처리 속도만 바뀔 뿐, 방법론 자체는 실행 기반에 독립적(substrate-independent)이다. 이것은 Work Item F/G가 표준화할 수 있는 구조적 근거이기도 하다.</w:t>
            </w:r>
          </w:p>
        </w:tc>
      </w:tr>
    </w:tbl>
    <w:p>
      <w:pPr>
        <w:spacing w:after="40" w:before="40"/>
      </w:pPr>
      <w:r>
        <w:t xml:space="preserve"/>
      </w:r>
    </w:p>
    <w:p>
      <w:pPr>
        <w:spacing w:after="80" w:before="80"/>
        <w:jc w:val="both"/>
      </w:pPr>
      <w:r>
        <w:rPr>
          <w:rFonts w:ascii="Arial" w:cs="Arial" w:eastAsia="Arial" w:hAnsi="Arial"/>
          <w:color w:val="111827"/>
          <w:sz w:val="22"/>
          <w:szCs w:val="22"/>
        </w:rPr>
        <w:t xml:space="preserve">이 독립성 원칙이 성립하는 이유는 큐브화 파이프라인이 다음 다섯 가지 질문에 대한 답을 정의하고, 각 답이 특정 실행 기반을 전제하지 않기 때문이다:</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질문 (방법론)</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답 (알고리즘/파이프라인)</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실행 기반 의존 여부</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Q1</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무엇을 캡처할 것인가</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8채널 SEU 정의 (CH1–CH8 채널 독립 저장)</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없음 — 채널 정의는 가속기에 무관</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언제 경계를 자를 것인가</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SEU 시간 창 0.8~1.5초 (적응형 슬롯 경계)</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없음 — 시간 창은 클럭 독립적</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Q3</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어떻게 채널 독립성을 보존할 것인가</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파티션 + 채널별 독립 타임스탬프 큐</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없음 — 논리 게이트 수준 정의</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어떻게 시맨틱 축으로 합성할 것인가</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T/C/I/E Meta Abstraction Layer (순서 정의, 실행 단위 미지정)</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없음 — 연산 순서만 정의</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Q5</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어떻게 불변성을 보장할 것인가</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Logic Gate + T-Axis 하드웨어 앵커</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없음 — 물리 보호는 반도체 공정 독립적</w:t>
            </w:r>
          </w:p>
        </w:tc>
      </w:tr>
    </w:tbl>
    <w:p>
      <w:pPr>
        <w:spacing w:after="120" w:before="60"/>
        <w:jc w:val="center"/>
      </w:pPr>
      <w:r>
        <w:rPr>
          <w:rFonts w:ascii="Arial" w:cs="Arial" w:eastAsia="Arial" w:hAnsi="Arial"/>
          <w:i/>
          <w:iCs/>
          <w:color w:val="6B7280"/>
          <w:sz w:val="18"/>
          <w:szCs w:val="18"/>
        </w:rPr>
        <w:t xml:space="preserve">표 1-3. 큐브화 방법론 5대 질문과 실행 기반 독립성 확인</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방법론 레이어 (불변 — 표준화 대상)</w:t>
            </w:r>
          </w:p>
        </w:tc>
        <w:tc>
          <w:tcPr>
            <w:tcW w:type="dxa" w:w="468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실행 레이어 (가변 — 구현 선택)</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SEU 경계 정의 및 8채널 분해</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GPU / NPU / TPU / 광자 컴퓨터</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채널 독립성 불변량 (structural invariant)</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특정 메모리 계층 (HBM3 / LPDDR6 / ...)</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T/C/I/E 축 합성 순서 및 포맷</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CUDA / OpenCL / 커스텀 ISA</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WORM 불변성 보장 로직</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공정 노드 (7nm / 3nm / 광자 집적 회로)</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Meta Abstraction 포맷 (시맨틱 요약 / 신뢰도 / 근거 참조)</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병렬화 방식 (데이터 병렬 / 파이프라인 / 웨이브프론트)</w:t>
            </w:r>
          </w:p>
        </w:tc>
      </w:tr>
    </w:tbl>
    <w:p>
      <w:pPr>
        <w:spacing w:after="120" w:before="60"/>
        <w:jc w:val="center"/>
      </w:pPr>
      <w:r>
        <w:rPr>
          <w:rFonts w:ascii="Arial" w:cs="Arial" w:eastAsia="Arial" w:hAnsi="Arial"/>
          <w:i/>
          <w:iCs/>
          <w:color w:val="6B7280"/>
          <w:sz w:val="18"/>
          <w:szCs w:val="18"/>
        </w:rPr>
        <w:t xml:space="preserve">표 1-4. 방법론 레이어(불변)와 실행 레이어(가변)의 분리</w:t>
      </w:r>
    </w:p>
    <w:p>
      <w:pPr>
        <w:spacing w:after="40" w:before="40"/>
      </w:pPr>
      <w:r>
        <w:t xml:space="preserve"/>
      </w:r>
    </w:p>
    <w:p>
      <w:pPr>
        <w:spacing w:after="80" w:before="80"/>
        <w:jc w:val="both"/>
      </w:pPr>
      <w:r>
        <w:rPr>
          <w:rFonts w:ascii="Arial" w:cs="Arial" w:eastAsia="Arial" w:hAnsi="Arial"/>
          <w:color w:val="111827"/>
          <w:sz w:val="22"/>
          <w:szCs w:val="22"/>
        </w:rPr>
        <w:t xml:space="preserve">이 분리 원칙이 깨지는 순간은 파이프라인 설계가 특정 메모리 계층(예: GPU HBM의 특정 대역폭)이나 특정 병렬화 방식(예: CUDA 스레드 모델)을 전제할 때다. 현재 Velsanet 큐브화 파이프라인은 그러한 가정을 두지 않는다. SEU Assembly Engine은 특정 칩 아키텍처를 가정하지 않고, Meta Abstraction Layer는 연산 순서만 정의하며 실행 단위를 지정하지 않고, WORM 컨트롤러는 논리 게이트 수준으로 정의되어 어떤 반도체 공정에도 독립적이다.</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jc w:val="center"/>
            </w:pPr>
            <w:r>
              <w:rPr>
                <w:rFonts w:ascii="Arial" w:cs="Arial" w:eastAsia="Arial" w:hAnsi="Arial"/>
                <w:b/>
                <w:bCs/>
                <w:color w:val="1B3A6B"/>
                <w:sz w:val="22"/>
                <w:szCs w:val="22"/>
              </w:rPr>
              <w:t xml:space="preserve">Work Item F/G = 큐브화 방법론의 표준화 (What &amp; How)  |  본 하드웨어 설계 문서 = 그 방법론의 현재 시점 구현 예시 (Where &amp; With What)  |  실행 기반이 바뀌어도 방법론은 동일 — 이것이 표준화 가능한 이유다.</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1.4 고정형 리본케이블(MOCT)의 설계 함의</w:t>
      </w:r>
    </w:p>
    <w:p>
      <w:pPr>
        <w:spacing w:after="80" w:before="80"/>
        <w:jc w:val="both"/>
      </w:pPr>
      <w:r>
        <w:rPr>
          <w:rFonts w:ascii="Arial" w:cs="Arial" w:eastAsia="Arial" w:hAnsi="Arial"/>
          <w:color w:val="111827"/>
          <w:sz w:val="22"/>
          <w:szCs w:val="22"/>
        </w:rPr>
        <w:t xml:space="preserve">본 문서의 모든 광 연결 설계는 MOCT 고정형 리본케이블을 물리 기반으로 한다. 기존 플러그블 광 시스템(SFP/QSFP)과 근본적으로 다른 설계 철학이며, 세 가지 구조적 의미를 갖는다:</w:t>
      </w:r>
    </w:p>
    <w:p>
      <w:pPr>
        <w:pStyle w:val="ListParagraph"/>
        <w:numPr>
          <w:ilvl w:val="0"/>
          <w:numId w:val="2"/>
        </w:numPr>
        <w:spacing w:after="60" w:before="60"/>
      </w:pPr>
      <w:r>
        <w:rPr>
          <w:rFonts w:ascii="Arial" w:cs="Arial" w:eastAsia="Arial" w:hAnsi="Arial"/>
          <w:color w:val="111827"/>
          <w:sz w:val="22"/>
          <w:szCs w:val="22"/>
        </w:rPr>
        <w:t xml:space="preserve">단일 연결점, 분기 없음: 각 노드는 제조 시점에 영구 융착된 리본케이블 하나만 가진다. 패치패널, 어댑터, 커넥터 없음.</w:t>
      </w:r>
    </w:p>
    <w:p>
      <w:pPr>
        <w:pStyle w:val="ListParagraph"/>
        <w:numPr>
          <w:ilvl w:val="0"/>
          <w:numId w:val="2"/>
        </w:numPr>
        <w:spacing w:after="60" w:before="60"/>
      </w:pPr>
      <w:r>
        <w:rPr>
          <w:rFonts w:ascii="Arial" w:cs="Arial" w:eastAsia="Arial" w:hAnsi="Arial"/>
          <w:color w:val="111827"/>
          <w:sz w:val="22"/>
          <w:szCs w:val="22"/>
        </w:rPr>
        <w:t xml:space="preserve">코어 번호 관리 불필요: 케이블이 고정이므로 코어의 정체성은 '어느 리본, 어느 디바이스'로 완전히 결정된다.</w:t>
      </w:r>
    </w:p>
    <w:p>
      <w:pPr>
        <w:pStyle w:val="ListParagraph"/>
        <w:numPr>
          <w:ilvl w:val="0"/>
          <w:numId w:val="2"/>
        </w:numPr>
        <w:spacing w:after="60" w:before="60"/>
      </w:pPr>
      <w:r>
        <w:rPr>
          <w:rFonts w:ascii="Arial" w:cs="Arial" w:eastAsia="Arial" w:hAnsi="Arial"/>
          <w:color w:val="111827"/>
          <w:sz w:val="22"/>
          <w:szCs w:val="22"/>
        </w:rPr>
        <w:t xml:space="preserve">삽입 손실 제로: 커넥터 없음으로 삽입 손실 변동, 먼지 오염, 기계적 마모 구조적으로 불가.</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1.5 물리 전송 속도 정정: 1Tbps → 800Gbps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수정 사항: 이전 버전에서 '1Tbps/코어'로 기술된 수치는 IMT-2030 피크 요구 조건이지, 현재 구현 가능한 물리 전송 속도가 아니다. 현실적 설계 기준은 800Gbps이며, 이는 현재 상용 800G 플러그블 광통신 기술 범위 내에 있다. 고정형 리본케이블의 비커넥터 설계에서는 삽입 손실이 0dB이므로 800Gbps 구현이 더욱 안정적이다.</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항목</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이전 기술 (오류)</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수정 기술 (정확)</w:t>
            </w:r>
          </w:p>
        </w:tc>
        <w:tc>
          <w:tcPr>
            <w:tcW w:type="dxa" w:w="2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근거</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코어당 물리 전송 속도</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1Tbps</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800Gbps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현재 상용 800G 플러그블 범위</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기준 성격</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구현 목표값으로 기술</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피크 요구 조건 (임계치)</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IMT-2030 M.2160 정의</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고정형 리본 적용 시</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커넥터 손실 미고려</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0dB 삽입 손실 적용</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비커넥터 구조</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집계 대역폭 (192코어)</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192Tbps (오류)</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153.6Tbps (800G×192)</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현실적 설계 기준</w:t>
            </w:r>
          </w:p>
        </w:tc>
      </w:tr>
    </w:tbl>
    <w:p>
      <w:pPr>
        <w:spacing w:after="120" w:before="60"/>
        <w:jc w:val="center"/>
      </w:pPr>
      <w:r>
        <w:rPr>
          <w:rFonts w:ascii="Arial" w:cs="Arial" w:eastAsia="Arial" w:hAnsi="Arial"/>
          <w:i/>
          <w:iCs/>
          <w:color w:val="6B7280"/>
          <w:sz w:val="18"/>
          <w:szCs w:val="18"/>
        </w:rPr>
        <w:t xml:space="preserve">표 1-5. 물리 전송 속도 수정 사항</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2. 전체 하드웨어 아키텍처 — 5계층 스택</w:t>
      </w:r>
    </w:p>
    <w:p>
      <w:pPr>
        <w:spacing w:after="80" w:before="80"/>
        <w:jc w:val="both"/>
      </w:pPr>
      <w:r>
        <w:rPr>
          <w:rFonts w:ascii="Arial" w:cs="Arial" w:eastAsia="Arial" w:hAnsi="Arial"/>
          <w:color w:val="111827"/>
          <w:sz w:val="22"/>
          <w:szCs w:val="22"/>
        </w:rPr>
        <w:t xml:space="preserve">인지 큐브 하드웨어는 EAI(E2E 센터)와 PAI(AI 데이터센터) 양측에 공통으로 적용되는 5계층 구조를 따른다. 각 계층의 구현 세부사항은 배치 환경에 따라 달라진다.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2.1 5계층 하드웨어 스택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2400"/>
        <w:gridCol w:w="2460"/>
      </w:tblGrid>
      <w:tr>
        <w:trPr>
          <w:tblHeader/>
        </w:trPr>
        <w:tc>
          <w:tcPr>
            <w:tcW w:type="dxa" w:w="7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계층</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명칭</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핵심 컴포넌트</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센터)</w:t>
            </w:r>
          </w:p>
        </w:tc>
        <w:tc>
          <w:tcPr>
            <w:tcW w:type="dxa" w:w="24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데이터센터)</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L5</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AI 인지 평면</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PAI·AAI·AsAI</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EAI 지각+제어 엔진</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PAI DIKWEI 순환 엔진</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L4</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HBF 큐브 패브릭</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Cube Memory (T·C·I·E·M)</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미션 경험 누적 (M-Axis)</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개인 인텐트 축적 (I-Axis)</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L3</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변환 엔진</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Dedicated Equipment</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384→8 DEMUX + 16ch Dual E2E</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384→8 DEMUX + 인지 순환</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L2</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HBM 원본 메모리</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WORM Storage (채널별 독립)</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16채널 지각+제어 스트림</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8채널 멀티모달 스트림</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L1</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물리 전송 계층</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MOCT 고정형 리본케이블</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800Gbps/코어 × 고정형</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800Gbps/코어 × 고정형</w:t>
            </w:r>
          </w:p>
        </w:tc>
      </w:tr>
    </w:tbl>
    <w:p>
      <w:pPr>
        <w:spacing w:after="120" w:before="60"/>
        <w:jc w:val="center"/>
      </w:pPr>
      <w:r>
        <w:rPr>
          <w:rFonts w:ascii="Arial" w:cs="Arial" w:eastAsia="Arial" w:hAnsi="Arial"/>
          <w:i/>
          <w:iCs/>
          <w:color w:val="6B7280"/>
          <w:sz w:val="18"/>
          <w:szCs w:val="18"/>
        </w:rPr>
        <w:t xml:space="preserve">표 2-1. 인지 큐브 5계층 하드웨어 스택 (EAI/PAI 비교)</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2.2 대역폭 요건 재산출 (800Gbps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구간</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(E2E센터)</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DC)</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비고</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L1→L2 (MOCT→HBM)</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192 × 800G = 153.6Tbps</w:t>
            </w:r>
          </w:p>
        </w:tc>
        <w:tc>
          <w:tcPr>
            <w:tcW w:type="dxa" w:w="2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192 × 800G = 153.6Tbps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고정형 리본, 0dB 손실</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L2→L3 (HBM→DEMUX)</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16채널 합계 ≈ 12Gbps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8채널 합계 ≈ 6Gbps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채널 독립 병렬 처리</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처리 성능 요건</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40Gbps+ FPGA/ASIC</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40Gbps+ FPGA/ASIC</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Dedicated Equipment 기준</w:t>
            </w:r>
          </w:p>
        </w:tc>
      </w:tr>
    </w:tbl>
    <w:p>
      <w:pPr>
        <w:spacing w:after="120" w:before="60"/>
        <w:jc w:val="center"/>
      </w:pPr>
      <w:r>
        <w:rPr>
          <w:rFonts w:ascii="Arial" w:cs="Arial" w:eastAsia="Arial" w:hAnsi="Arial"/>
          <w:i/>
          <w:iCs/>
          <w:color w:val="6B7280"/>
          <w:sz w:val="18"/>
          <w:szCs w:val="18"/>
        </w:rPr>
        <w:t xml:space="preserve">표 2-2. 800Gbps 기준 대역폭 요건 재산출</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3. HBM — Raw Memory Layer 하드웨어 설계</w:t>
      </w:r>
    </w:p>
    <w:p>
      <w:pPr>
        <w:spacing w:after="80" w:before="80"/>
        <w:jc w:val="both"/>
      </w:pPr>
      <w:r>
        <w:rPr>
          <w:rFonts w:ascii="Arial" w:cs="Arial" w:eastAsia="Arial" w:hAnsi="Arial"/>
          <w:color w:val="111827"/>
          <w:sz w:val="22"/>
          <w:szCs w:val="22"/>
        </w:rPr>
        <w:t xml:space="preserve">Raw Memory Layer(HBM)의 핵심 원칙은 불변성의 하드웨어 보장이다. WORM 컨트롤러를 통해 물리 회로 수준에서 덮어쓰기를 차단한다. EAI와 PAI 모두 동일한 WORM 원칙을 따르되, 채널 수와 데이터 특성이 다르다.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3.1 WORM 컨트롤러 설계 — 공통 구조</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[SEU 입력 버스 — EAI:16채널 / PAI:8채널 병렬 동기]</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[WORM Logic Gate] - Sector Lock Register: 1회 쓰기 완료 시 해당 섹터 비트 SET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재쓰기 시도 → INTERRUPT + 불변 감사 로그   - DMA-only 경로: CPU/OS 접근 물리 차단</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ECC 레이어 내장 (비트 오류 자동 정정)</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[채널별 독립 스토리지 파티션]</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EAI: CH1-CH8 지각 파티션 + CH9-CH16 제어 파티션 (물리 격리)</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 CH1-CH8 멀티모달 파티션 (인지 큐브 합성 전용)</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[T-Axis Timestamp Engine]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SEU_ID = { NodeID[16] : Timestamp_ns[48] : ChannelHash[16]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채널 간 동기화 오차 목표: &lt; 1μs (PTP IEEE 1588v2 기반)</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3.2 EAI HBM — 16채널 사양 (E2E 센터 배치)</w:t>
      </w:r>
    </w:p>
    <w:p>
      <w:pPr>
        <w:spacing w:after="80" w:before="80"/>
        <w:jc w:val="both"/>
      </w:pPr>
      <w:r>
        <w:rPr>
          <w:rFonts w:ascii="Arial" w:cs="Arial" w:eastAsia="Arial" w:hAnsi="Arial"/>
          <w:color w:val="111827"/>
          <w:sz w:val="22"/>
          <w:szCs w:val="22"/>
        </w:rPr>
        <w:t xml:space="preserve">EAI의 HBM은 지각 평면(E2E #1, CH1-CH8)과 제어 평면(E2E #2, CH9-CH16)을 물리적으로 분리된 두 파티션으로 저장한다. E2E #1 장애 시에도 E2E #2 파티션은 독립적으로 동작한다.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100"/>
        <w:gridCol w:w="900"/>
        <w:gridCol w:w="1400"/>
        <w:gridCol w:w="1500"/>
        <w:gridCol w:w="2500"/>
      </w:tblGrid>
      <w:tr>
        <w:trPr>
          <w:tblHeader/>
        </w:trPr>
        <w:tc>
          <w:tcPr>
            <w:tcW w:type="dxa" w:w="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CH</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채널명</w:t>
            </w:r>
          </w:p>
        </w:tc>
        <w:tc>
          <w:tcPr>
            <w:tcW w:type="dxa" w:w="11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데이터 율</w:t>
            </w:r>
          </w:p>
        </w:tc>
        <w:tc>
          <w:tcPr>
            <w:tcW w:type="dxa" w:w="9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스토리지</w:t>
            </w:r>
          </w:p>
        </w:tc>
        <w:tc>
          <w:tcPr>
            <w:tcW w:type="dxa" w:w="1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인터페이스</w:t>
            </w:r>
          </w:p>
        </w:tc>
        <w:tc>
          <w:tcPr>
            <w:tcW w:type="dxa" w:w="2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비고</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Video Frames</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~2Gbps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고밀도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MIPI CSI-2</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4K/60fps, HDR</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CH2</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Audio Stream</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~3Mbps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 Ring</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I2S/PDM</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192kHz 24-bit</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CH3</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Spatial-Temporal</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NVMe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UART/SPI</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GPS+IMU 9-DOF</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CH4</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Biometric</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~1Mbps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Secure Enclave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SPI/I2C</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TEE 암호화 격리</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CH5</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Text/Linguistic</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가변</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PCIe Gen4</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Unicode 처리</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CH6</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Activity/Motion</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SPI/CAN</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6-DOF IMU</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CH7</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Device Interface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~1Gbps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PCIe NVMe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CAN FD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액추에이터 FB</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CH8</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Environment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지각</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ADC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I2C/ADC</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온도/가스/근접</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CH9</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Command Input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암호화</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암호화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전용 채널</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PAI→EAI 명령</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CH10</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Actuation Output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&lt; 1ms</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 버퍼</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실시간 PWM</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모터/브레이크</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CH11</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Safety Override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독립 전원</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전용 WORM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하드와이어 릴레이</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긴급정지 독립</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CH12</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Auth/Identity</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인증</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HSM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서명 검증</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운영자 권한</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CH13</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Mission State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지속</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NVMe 실시간</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미션 로그</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태스크 진행</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CH14</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AAI Coordination</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저지연</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메시 링크</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다중 EAI 조정</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CH15</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Audit/Evidence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불변</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WORM 전용</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법적 기록</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추적성</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CH16</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Redundancy Link</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핫스탠바이</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제어</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백업 경로</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장애 복구</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CH 백업</w:t>
            </w:r>
          </w:p>
        </w:tc>
      </w:tr>
    </w:tbl>
    <w:p>
      <w:pPr>
        <w:spacing w:after="120" w:before="60"/>
        <w:jc w:val="center"/>
      </w:pPr>
      <w:r>
        <w:rPr>
          <w:rFonts w:ascii="Arial" w:cs="Arial" w:eastAsia="Arial" w:hAnsi="Arial"/>
          <w:i/>
          <w:iCs/>
          <w:color w:val="6B7280"/>
          <w:sz w:val="18"/>
          <w:szCs w:val="18"/>
        </w:rPr>
        <w:t xml:space="preserve">표 3-1. EAI HBM — 16채널 스토리지 사양 (E2E 센터)</w:t>
      </w:r>
    </w:p>
    <w:p>
      <w:r>
        <w:br w:type="page"/>
      </w:r>
    </w:p>
    <w:p>
      <w:pPr>
        <w:pStyle w:val="Heading2"/>
        <w:spacing w:after="140" w:before="300"/>
      </w:pPr>
      <w:r>
        <w:rPr>
          <w:rFonts w:ascii="Arial" w:cs="Arial" w:eastAsia="Arial" w:hAnsi="Arial"/>
          <w:b/>
          <w:bCs/>
          <w:color w:val="2563EB"/>
          <w:sz w:val="28"/>
          <w:szCs w:val="28"/>
        </w:rPr>
        <w:t xml:space="preserve">3.3 PAI HBM — 8채널 사양 (AI 데이터센터 배치)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100"/>
        <w:gridCol w:w="1600"/>
        <w:gridCol w:w="1600"/>
        <w:gridCol w:w="2500"/>
        <w:gridCol w:w="600"/>
      </w:tblGrid>
      <w:tr>
        <w:trPr>
          <w:tblHeader/>
        </w:trPr>
        <w:tc>
          <w:tcPr>
            <w:tcW w:type="dxa" w:w="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CH</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채널명</w:t>
            </w:r>
          </w:p>
        </w:tc>
        <w:tc>
          <w:tcPr>
            <w:tcW w:type="dxa" w:w="11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데이터 율</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스토리지</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인터페이스</w:t>
            </w:r>
          </w:p>
        </w:tc>
        <w:tc>
          <w:tcPr>
            <w:tcW w:type="dxa" w:w="2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특수 요건</w:t>
            </w:r>
          </w:p>
        </w:tc>
        <w:tc>
          <w:tcPr>
            <w:tcW w:type="dxa" w:w="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태그</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CH1</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Video Frames</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~2Gbps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고밀도 Flash</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MIPI CSI-2</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4K/60fps, HDR 지원</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영상</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CH2</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Audio Stream</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~3Mbps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DRAM Ring</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I2S/PDM</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192kHz 24-bit PCM</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음성</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CH3</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Spatial-Temporal</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NVMe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UART/SPI</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GPS NMEA, IMU 9-DOF</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위치</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CH4</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Biometric</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~1Mbps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Secure Enclave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SPI/I2C</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HW 암호화, TEE 격리</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생체</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CH5</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Text/NLP</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가변</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Flash+DRAM</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PCIe Gen4</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Unicode, 압축 인코딩</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텍스트</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CH6</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Activity/Motion</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DRAM 연속</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SPI/CAN</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가속도·자이로·패턴</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활동</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CH7</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Device Interface</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~1Gbps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PCIe NVMe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CAN/Ethernet</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CAN FD, 액추에이터 FB</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디바이스</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CH8</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Environment</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ADC Flash</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I2C/ADC</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온도·가스·근접</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환경</w:t>
            </w:r>
          </w:p>
        </w:tc>
      </w:tr>
    </w:tbl>
    <w:p>
      <w:pPr>
        <w:spacing w:after="120" w:before="60"/>
        <w:jc w:val="center"/>
      </w:pPr>
      <w:r>
        <w:rPr>
          <w:rFonts w:ascii="Arial" w:cs="Arial" w:eastAsia="Arial" w:hAnsi="Arial"/>
          <w:i/>
          <w:iCs/>
          <w:color w:val="6B7280"/>
          <w:sz w:val="18"/>
          <w:szCs w:val="18"/>
        </w:rPr>
        <w:t xml:space="preserve">표 3-2. PAI HBM — 8채널 스토리지 사양 (AI 데이터센터)</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4. HBF — Cube Memory Layer 하드웨어 설계</w:t>
      </w:r>
    </w:p>
    <w:p>
      <w:pPr>
        <w:spacing w:after="80" w:before="80"/>
        <w:jc w:val="both"/>
      </w:pPr>
      <w:r>
        <w:rPr>
          <w:rFonts w:ascii="Arial" w:cs="Arial" w:eastAsia="Arial" w:hAnsi="Arial"/>
          <w:color w:val="111827"/>
          <w:sz w:val="22"/>
          <w:szCs w:val="22"/>
        </w:rPr>
        <w:t xml:space="preserve">Cube Memory Layer(HBF)는 T·C·I·E·M 5축 시맨틱 패브릭으로, T-Axis만 불변이고 나머지는 AI 계층에 의해 동적으로 갱신된다. EAI는 M-Axis에 미션 경험이 누적되고, PAI는 I-Axis(인텐트)에 집중된다.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4.1 5축 하드웨어 접근 권한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2000"/>
        <w:gridCol w:w="1660"/>
      </w:tblGrid>
      <w:tr>
        <w:trPr>
          <w:tblHeader/>
        </w:trPr>
        <w:tc>
          <w:tcPr>
            <w:tcW w:type="dxa" w:w="1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Cube 축</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권한</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AAI 권한</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AsAI 권한</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물리 보호</w:t>
            </w:r>
          </w:p>
        </w:tc>
        <w:tc>
          <w:tcPr>
            <w:tcW w:type="dxa" w:w="16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갱신 주체</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T-Axis (시간)</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r>
              <w:rPr>
                <w:rFonts w:ascii="Arial" w:cs="Arial" w:eastAsia="Arial" w:hAnsi="Arial"/>
                <w:color w:val="991B1B"/>
                <w:sz w:val="18"/>
                <w:szCs w:val="18"/>
              </w:rPr>
              <w:t xml:space="preserve">WORM 하드와이어</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SEU 타임스탬프 엔진</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C-Axis (컨텍스트)</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컨텍스트 엔진</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I-Axis (인텐트)</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(PAI+AAI)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의도 추출 모듈</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E-Axis (감정)</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감정 인식 모듈</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M-Axis (메타)</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r>
              <w:rPr>
                <w:rFonts w:ascii="Arial" w:cs="Arial" w:eastAsia="Arial" w:hAnsi="Arial"/>
                <w:color w:val="111827"/>
                <w:sz w:val="18"/>
                <w:szCs w:val="18"/>
              </w:rPr>
              <w:t xml:space="preserve">계층 잠금 (AAI+AsAI)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AAI·AsAI 메타 엔진</w:t>
            </w:r>
          </w:p>
        </w:tc>
      </w:tr>
    </w:tbl>
    <w:p>
      <w:pPr>
        <w:spacing w:after="120" w:before="60"/>
        <w:jc w:val="center"/>
      </w:pPr>
      <w:r>
        <w:rPr>
          <w:rFonts w:ascii="Arial" w:cs="Arial" w:eastAsia="Arial" w:hAnsi="Arial"/>
          <w:i/>
          <w:iCs/>
          <w:color w:val="6B7280"/>
          <w:sz w:val="18"/>
          <w:szCs w:val="18"/>
        </w:rPr>
        <w:t xml:space="preserve">표 4-1. HBF 5축 하드웨어 접근 권한 매트릭스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4.2 EAI vs PAI의 HBF 운용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축</w:t>
            </w:r>
          </w:p>
        </w:tc>
        <w:tc>
          <w:tcPr>
            <w:tcW w:type="dxa" w:w="3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센터) 운용</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데이터센터) 운용</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T-Axis</w:t>
            </w:r>
          </w:p>
        </w:tc>
        <w:tc>
          <w:tcPr>
            <w:tcW w:type="dxa" w:w="38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미션 타임라인 앵커 (불변 물리 사건 기록)</w:t>
            </w:r>
          </w:p>
        </w:tc>
        <w:tc>
          <w:tcPr>
            <w:tcW w:type="dxa" w:w="3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개인 경험 타임라인 앵커</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필드 환경·장애물·공간 컨텍스트</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사용자 위치·주변 환경·상황 컨텍스트</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I-Axis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미션 목표·경로 계획·행동 의도</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개인 의도·검색·학습·의사결정</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위험 감지 긴급도·시스템 상태 중요도</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감정 상태·우선순위 가중치</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M-Axis</w:t>
            </w:r>
          </w:p>
        </w:tc>
        <w:tc>
          <w:tcPr>
            <w:tcW w:type="dxa" w:w="38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미션 경험 누적·자율성 성장 기반</w:t>
            </w:r>
          </w:p>
        </w:tc>
        <w:tc>
          <w:tcPr>
            <w:tcW w:type="dxa" w:w="3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해석 태그·정책 업데이트·유기적 성장</w:t>
            </w:r>
          </w:p>
        </w:tc>
      </w:tr>
    </w:tbl>
    <w:p>
      <w:pPr>
        <w:spacing w:after="120" w:before="60"/>
        <w:jc w:val="center"/>
      </w:pPr>
      <w:r>
        <w:rPr>
          <w:rFonts w:ascii="Arial" w:cs="Arial" w:eastAsia="Arial" w:hAnsi="Arial"/>
          <w:i/>
          <w:iCs/>
          <w:color w:val="6B7280"/>
          <w:sz w:val="18"/>
          <w:szCs w:val="18"/>
        </w:rPr>
        <w:t xml:space="preserve">표 4-2. HBF 5축 운용 비교 (EAI vs PAI)</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5. Dedicated Equipment — 변환 엔진 하드웨어 설계</w:t>
      </w:r>
    </w:p>
    <w:p>
      <w:pPr>
        <w:spacing w:after="80" w:before="80"/>
        <w:jc w:val="both"/>
      </w:pPr>
      <w:r>
        <w:rPr>
          <w:rFonts w:ascii="Arial" w:cs="Arial" w:eastAsia="Arial" w:hAnsi="Arial"/>
          <w:color w:val="111827"/>
          <w:sz w:val="22"/>
          <w:szCs w:val="22"/>
        </w:rPr>
        <w:t xml:space="preserve">Dedicated Equipment는 HBM(물리 레인)과 HBF(시맨틱 패브릭) 사이의 핵심 변환 엔진이다. EAI(E2E 센터)와 PAI(AI 데이터센터) 양측에 모두 존재하며, 동일한 3단 블록 구조를 따른다.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5.1 3단 하드웨어 블록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블록</w:t>
            </w:r>
          </w:p>
        </w:tc>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명칭</w:t>
            </w:r>
          </w:p>
        </w:tc>
        <w:tc>
          <w:tcPr>
            <w:tcW w:type="dxa" w:w="3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기능</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구현 방식</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Block 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DEMUX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384 광코어 레인 → PAI 8ch (또는 EAI 16ch) 역다중화</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FPGA (Xilinx UltraScale+ 권장)</w:t>
            </w:r>
          </w:p>
        </w:tc>
      </w:tr>
      <w:tr>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Block B</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MUX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8/16ch 출력 → 24-core Bundle (PAI/EAI → AAI)</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FPGA 또는 커스텀 ASIC</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Block C</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Cube Write-Back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AsAI 결과 → HBF Cube 주소 매핑 및 M-Axis 기록</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커스텀 ASIC 권장</w:t>
            </w:r>
          </w:p>
        </w:tc>
      </w:tr>
    </w:tbl>
    <w:p>
      <w:pPr>
        <w:spacing w:after="120" w:before="60"/>
        <w:jc w:val="center"/>
      </w:pPr>
      <w:r>
        <w:rPr>
          <w:rFonts w:ascii="Arial" w:cs="Arial" w:eastAsia="Arial" w:hAnsi="Arial"/>
          <w:i/>
          <w:iCs/>
          <w:color w:val="6B7280"/>
          <w:sz w:val="18"/>
          <w:szCs w:val="18"/>
        </w:rPr>
        <w:t xml:space="preserve">표 5-1. Dedicated Equipment 3단 하드웨어 블록</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5.2 Block A — DEMUX Engine 핵심 설계</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[Node_8 Face B: 192 광코어 × 800Gbps]  [Node_8 Face C: 192 광코어 × 800Gbps]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고정형 리본케이블 (커넥터 없음, 공장 융착) → DEMUX Engine (FPGA)</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레인 그룹핑: 48레인/채널 × 8그룹  |  EAI 확장: 24레인/채널 × 16그룹</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채널별 독립 클럭 도메인 (PLL 기반)  |  비충돌: Core(ri) ∩ Core(rj) =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처리 지연 목표: &lt; 2ns (하드와이어 경로)  |  오류 코어 자동 제외</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출력 → PAI: [8채널 인지 버스]  또는  EAI: [16채널 Dual E2E 버스]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5.3 EAI 전용 — 16채널 Dual E2E 물리 격리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EAI(E2E 센터)에만 적용: 지각 평면(E2E #1, CH1-CH8)과 제어 평면(E2E #2, CH9-CH16)은 동일 MOCT 리본 내 별도 코어 그룹으로 물리 격리된다. E2E #1 장애가 E2E #2로 전파되지 않는다. CH11(Safety Override)은 독립 전원 + 하드와이어 릴레이로 구현한다.</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격리 항목</w:t>
            </w:r>
          </w:p>
        </w:tc>
        <w:tc>
          <w:tcPr>
            <w:tcW w:type="dxa" w:w="3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 #1 지각 평면</w:t>
            </w:r>
          </w:p>
        </w:tc>
        <w:tc>
          <w:tcPr>
            <w:tcW w:type="dxa" w:w="38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 #2 제어 평면</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광코어 할당</w:t>
            </w:r>
          </w:p>
        </w:tc>
        <w:tc>
          <w:tcPr>
            <w:tcW w:type="dxa" w:w="35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코어 #1–#24 (리본 상단군)</w:t>
            </w:r>
          </w:p>
        </w:tc>
        <w:tc>
          <w:tcPr>
            <w:tcW w:type="dxa" w:w="38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코어 #25–#48 (리본 하단군)</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전원 공급</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Main PSU</w:t>
            </w:r>
          </w:p>
        </w:tc>
        <w:tc>
          <w:tcPr>
            <w:tcW w:type="dxa" w:w="38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Backup UPS + 슈퍼커패시터 병렬</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클럭 소스</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PTP 마스터 클럭</w:t>
            </w:r>
          </w:p>
        </w:tc>
        <w:tc>
          <w:tcPr>
            <w:tcW w:type="dxa" w:w="38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독립 Crystal OSC</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장애 전파</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E2E #1 독립 장애 허용</w:t>
            </w:r>
          </w:p>
        </w:tc>
        <w:tc>
          <w:tcPr>
            <w:tcW w:type="dxa" w:w="38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#2 독립 유지 (구조적 보장)</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CH11 독립성</w:t>
            </w:r>
          </w:p>
        </w:tc>
        <w:tc>
          <w:tcPr>
            <w:tcW w:type="dxa" w:w="35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해당 없음</w:t>
            </w:r>
          </w:p>
        </w:tc>
        <w:tc>
          <w:tcPr>
            <w:tcW w:type="dxa" w:w="386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독립 전원 + 30초 이상 자립 동작</w:t>
            </w:r>
          </w:p>
        </w:tc>
      </w:tr>
    </w:tbl>
    <w:p>
      <w:pPr>
        <w:spacing w:after="120" w:before="60"/>
        <w:jc w:val="center"/>
      </w:pPr>
      <w:r>
        <w:rPr>
          <w:rFonts w:ascii="Arial" w:cs="Arial" w:eastAsia="Arial" w:hAnsi="Arial"/>
          <w:i/>
          <w:iCs/>
          <w:color w:val="6B7280"/>
          <w:sz w:val="18"/>
          <w:szCs w:val="18"/>
        </w:rPr>
        <w:t xml:space="preserve">표 5-2. EAI Dual E2E 물리 격리 요건</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6. 멀티미디어 다채널 SEU 동기화 하드웨어</w:t>
      </w:r>
    </w:p>
    <w:p>
      <w:pPr>
        <w:spacing w:after="80" w:before="80"/>
        <w:jc w:val="both"/>
      </w:pPr>
      <w:r>
        <w:rPr>
          <w:rFonts w:ascii="Arial" w:cs="Arial" w:eastAsia="Arial" w:hAnsi="Arial"/>
          <w:color w:val="111827"/>
          <w:sz w:val="22"/>
          <w:szCs w:val="22"/>
        </w:rPr>
        <w:t xml:space="preserve">8채널(PAI) 또는 16채널(EAI) SEU를 단일 인지 객체로 통합하기 위한 4단계 동기화 파이프라인이다. 각 채널은 데이터 율·지연 특성·인터페이스가 이질적이므로 공통 타임 슬롯 동기화 계층이 필수적이다.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6.1 SEU 동기화 파이프라인 (4단계)</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[1단계] 마스터 클럭: PTP IEEE 1588v2 — Grand Master → 각 채널 수신기 (정확도 &lt; 100ns)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[2단계] SEU Window Generator: 0.8~1.5초 슬롯 경계 신호 생성 (적응형)</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각 채널 수신 버퍼에 슬롯 타임스탬프 주입  |  CH1 프레임 경계와 정렬</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[3단계] 채널별 독립 수신 버퍼 (8개 또는 16개 병렬)</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FIFO + 타임스탬프 큐  |  슬롯 경계 도달 시 플러시  |  누락 채널: null + MISSING_FLAG</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[4단계] SEU Assembly Engine → HBM DMA 직접 기록 → Meta Abstraction → HBF Cube 합성</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SEU_ID = { NodeID : Timestamp_ns : ChannelHash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M-Axis: 초기 공(empty), AAI/AsAI가 이후 채움</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6.2 적응형 SEU 윈도우 크기 제어</w:t>
      </w:r>
    </w:p>
    <w:p>
      <w:pPr>
        <w:pStyle w:val="ListParagraph"/>
        <w:numPr>
          <w:ilvl w:val="0"/>
          <w:numId w:val="2"/>
        </w:numPr>
        <w:spacing w:after="60" w:before="60"/>
      </w:pPr>
      <w:r>
        <w:rPr>
          <w:rFonts w:ascii="Arial" w:cs="Arial" w:eastAsia="Arial" w:hAnsi="Arial"/>
          <w:color w:val="111827"/>
          <w:sz w:val="22"/>
          <w:szCs w:val="22"/>
        </w:rPr>
        <w:t xml:space="preserve">기본: 1.0초 (정적 모드)</w:t>
      </w:r>
    </w:p>
    <w:p>
      <w:pPr>
        <w:pStyle w:val="ListParagraph"/>
        <w:numPr>
          <w:ilvl w:val="0"/>
          <w:numId w:val="2"/>
        </w:numPr>
        <w:spacing w:after="60" w:before="60"/>
      </w:pPr>
      <w:r>
        <w:rPr>
          <w:rFonts w:ascii="Arial" w:cs="Arial" w:eastAsia="Arial" w:hAnsi="Arial"/>
          <w:color w:val="111827"/>
          <w:sz w:val="22"/>
          <w:szCs w:val="22"/>
        </w:rPr>
        <w:t xml:space="preserve">CH4 Biometric 급변 감지 시 → 0.8초 단축 (고해상도 이벤트 포착)</w:t>
      </w:r>
    </w:p>
    <w:p>
      <w:pPr>
        <w:pStyle w:val="ListParagraph"/>
        <w:numPr>
          <w:ilvl w:val="0"/>
          <w:numId w:val="2"/>
        </w:numPr>
        <w:spacing w:after="60" w:before="60"/>
      </w:pPr>
      <w:r>
        <w:rPr>
          <w:rFonts w:ascii="Arial" w:cs="Arial" w:eastAsia="Arial" w:hAnsi="Arial"/>
          <w:color w:val="111827"/>
          <w:sz w:val="22"/>
          <w:szCs w:val="22"/>
        </w:rPr>
        <w:t xml:space="preserve">전 채널 변화율 &lt; 임계값 시 → 1.5초 연장 (불필요 큐브 생성 방지)</w:t>
      </w:r>
    </w:p>
    <w:p>
      <w:pPr>
        <w:pStyle w:val="ListParagraph"/>
        <w:numPr>
          <w:ilvl w:val="0"/>
          <w:numId w:val="2"/>
        </w:numPr>
        <w:spacing w:after="60" w:before="60"/>
      </w:pPr>
      <w:r>
        <w:rPr>
          <w:rFonts w:ascii="Arial" w:cs="Arial" w:eastAsia="Arial" w:hAnsi="Arial"/>
          <w:color w:val="111827"/>
          <w:sz w:val="22"/>
          <w:szCs w:val="22"/>
        </w:rPr>
        <w:t xml:space="preserve">EAI 제어 평면(CH9-CH16): 별도 독립 윈도우 — 지각 윈도우와 무관하게 동작</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7. PAI AI 데이터센터 전용 설계 고려사항</w:t>
      </w:r>
    </w:p>
    <w:p>
      <w:pPr>
        <w:spacing w:after="80" w:before="80"/>
        <w:jc w:val="both"/>
      </w:pPr>
      <w:r>
        <w:rPr>
          <w:rFonts w:ascii="Arial" w:cs="Arial" w:eastAsia="Arial" w:hAnsi="Arial"/>
          <w:color w:val="111827"/>
          <w:sz w:val="22"/>
          <w:szCs w:val="22"/>
        </w:rPr>
        <w:t xml:space="preserve">PAI가 AI 데이터센터에 배치될 경우 EAI 전용 요소(CH11 Safety Override, 방수 인클로저 등)는 적용하지 않으며, 고밀도 처리 및 다수 PAI 인스턴스의 동시 운용에 최적화된 설계가 필요하다.</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7.1 설계 차이점: EAI vs PAI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설계 항목</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센터)</w:t>
            </w:r>
          </w:p>
        </w:tc>
        <w:tc>
          <w:tcPr>
            <w:tcW w:type="dxa" w:w="41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데이터센터)</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채널 수</w:t>
            </w:r>
          </w:p>
        </w:tc>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16채널 Dual E2E</w:t>
            </w:r>
          </w:p>
        </w:tc>
        <w:tc>
          <w:tcPr>
            <w:tcW w:type="dxa" w:w="41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8채널 단일 E2E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Safety Override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CH11 독립 전원+릴레이 필수</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미적용 (안전 임계 환경 아님)</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환경 내성</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IP54+, -10°C~+60°C</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데이터센터 표준 (20~25°C)</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리본케이블 길이</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5m 이상 (야외 폴 설치)</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1~3m (서버랙 내부 배선)</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병렬 인스턴스</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로봇/드론 단위 (1:1 할당)</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PAI-1, PAI-2, ... N개 동시</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주요 M-Axis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미션 경험 누적, 자율성 성장</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정책 업데이트, 해석 태그</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전원</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PoE++ 또는 독립 DC + UPS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데이터센터 PDU 표준 전원</w:t>
            </w:r>
          </w:p>
        </w:tc>
      </w:tr>
    </w:tbl>
    <w:p>
      <w:pPr>
        <w:spacing w:after="120" w:before="60"/>
        <w:jc w:val="center"/>
      </w:pPr>
      <w:r>
        <w:rPr>
          <w:rFonts w:ascii="Arial" w:cs="Arial" w:eastAsia="Arial" w:hAnsi="Arial"/>
          <w:i/>
          <w:iCs/>
          <w:color w:val="6B7280"/>
          <w:sz w:val="18"/>
          <w:szCs w:val="18"/>
        </w:rPr>
        <w:t xml:space="preserve">표 7-1. EAI(E2E 센터) vs PAI(AI 데이터센터) 설계 차이점</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7.2 다수 PAI 인스턴스 병렬 운용 아키텍처</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[Node_8 Face B/C: 192 광코어 × 2면 = 384 Cube 레인]</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각 레인 → 독립 PAI 인스턴스 할당</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인스턴스 간 비충돌: Core(ri) ∩ Core(rj) = ∅ 물리 보장</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PAI-1, PAI-2, ..., PAI-N (독립 8채널 각각, 독립 T-Axis + M-Axis)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각 PAI → 24-core Bundle → D12 AAI 노드</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8. 하드웨어 검증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rPr>
          <w:tblHeader/>
        </w:trPr>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검증 계층</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항목</w:t>
            </w:r>
          </w:p>
        </w:tc>
        <w:tc>
          <w:tcPr>
            <w:tcW w:type="dxa" w:w="2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합격 기준</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방법론</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WORM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덮어쓰기 차단</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100% 물리 차단</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Fault Injection Test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타이밍</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채널 간 동기화</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&lt; 1μs (99.99%)</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오실로스코프 + PTP 분석</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HBF ACL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접근 권한 위반</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0건 (1억회 테스트)</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형식 검증 + 퍼징</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DEMUX 비충돌</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Core 격리 보장</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수학적 증명 + 실측</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충돌 탐지 로직 삽입</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SEU 완전성</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누락 채널</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선택채널 외 0% 누락</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8/16채널 동시 주입</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CH11 독립 (EAI)</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전원 장애 시</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30초+ 독립 동작</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전원 차단 시나리오</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E2E 격리 (EAI)</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평면 간 격리</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 완전 장애 시 #2 독립</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단계적 장애 주입</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800G 안정성</w:t>
            </w:r>
          </w:p>
        </w:tc>
        <w:tc>
          <w:tcPr>
            <w:tcW w:type="dxa" w:w="2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물리 전송 BER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BER &lt; 10⁻¹²</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BERT 측정기 72시간+</w:t>
            </w:r>
          </w:p>
        </w:tc>
      </w:tr>
    </w:tbl>
    <w:p>
      <w:pPr>
        <w:spacing w:after="120" w:before="60"/>
        <w:jc w:val="center"/>
      </w:pPr>
      <w:r>
        <w:rPr>
          <w:rFonts w:ascii="Arial" w:cs="Arial" w:eastAsia="Arial" w:hAnsi="Arial"/>
          <w:i/>
          <w:iCs/>
          <w:color w:val="6B7280"/>
          <w:sz w:val="18"/>
          <w:szCs w:val="18"/>
        </w:rPr>
        <w:t xml:space="preserve">표 8-1. 계층별 핵심 검증 항목 및 합격 기준</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9. 결론 및 차기 문서 제안</w:t>
      </w:r>
    </w:p>
    <w:p>
      <w:pPr>
        <w:spacing w:after="80" w:before="80"/>
        <w:jc w:val="both"/>
      </w:pPr>
      <w:r>
        <w:rPr>
          <w:rFonts w:ascii="Arial" w:cs="Arial" w:eastAsia="Arial" w:hAnsi="Arial"/>
          <w:color w:val="111827"/>
          <w:sz w:val="22"/>
          <w:szCs w:val="22"/>
        </w:rPr>
        <w:t xml:space="preserve">본 문서는 세 가지 핵심 수정 및 보강 사항을 통해 인지 큐브 하드웨어 설계를 구체화하였다:</w:t>
      </w:r>
    </w:p>
    <w:p>
      <w:pPr>
        <w:pStyle w:val="ListParagraph"/>
        <w:numPr>
          <w:ilvl w:val="0"/>
          <w:numId w:val="3"/>
        </w:numPr>
        <w:spacing w:after="60" w:before="60"/>
      </w:pPr>
      <w:r>
        <w:rPr>
          <w:rFonts w:ascii="Arial" w:cs="Arial" w:eastAsia="Arial" w:hAnsi="Arial"/>
          <w:color w:val="111827"/>
          <w:sz w:val="22"/>
          <w:szCs w:val="22"/>
        </w:rPr>
        <w:t xml:space="preserve">물리 전송 속도 수정: 1Tbps(피크 요구 조건) → 800Gbps(현실 구현 기준, 800G 플러그블 기술 범위 내)</w:t>
      </w:r>
    </w:p>
    <w:p>
      <w:pPr>
        <w:pStyle w:val="ListParagraph"/>
        <w:numPr>
          <w:ilvl w:val="0"/>
          <w:numId w:val="3"/>
        </w:numPr>
        <w:spacing w:after="60" w:before="60"/>
      </w:pPr>
      <w:r>
        <w:rPr>
          <w:rFonts w:ascii="Arial" w:cs="Arial" w:eastAsia="Arial" w:hAnsi="Arial"/>
          <w:color w:val="111827"/>
          <w:sz w:val="22"/>
          <w:szCs w:val="22"/>
        </w:rPr>
        <w:t xml:space="preserve">배치 위치 명확화: EAI는 E2E 센터(O8/D12 노드), PAI는 AI 데이터센터 — 두 시스템의 설계 기준을 아키텍처 수준에서 분리 정의</w:t>
      </w:r>
    </w:p>
    <w:p>
      <w:pPr>
        <w:pStyle w:val="ListParagraph"/>
        <w:numPr>
          <w:ilvl w:val="0"/>
          <w:numId w:val="3"/>
        </w:numPr>
        <w:spacing w:after="60" w:before="60"/>
      </w:pPr>
      <w:r>
        <w:rPr>
          <w:rFonts w:ascii="Arial" w:cs="Arial" w:eastAsia="Arial" w:hAnsi="Arial"/>
          <w:color w:val="111827"/>
          <w:sz w:val="22"/>
          <w:szCs w:val="22"/>
        </w:rPr>
        <w:t xml:space="preserve">고정형 리본케이블 전제 반영: 커넥터 없음(0dB 삽입 손실), 단일 연결점, 분기 불가 — HBM/HBF 설계 전반에 적용</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9.1 차기 문서 제안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문서 번호</w:t>
            </w:r>
          </w:p>
        </w:tc>
        <w:tc>
          <w:tcPr>
            <w:tcW w:type="dxa" w:w="3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제목</w:t>
            </w:r>
          </w:p>
        </w:tc>
        <w:tc>
          <w:tcPr>
            <w:tcW w:type="dxa" w:w="4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핵심 내용</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#24</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Cognition Cube Physical Spec (HBM/HBF)</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WORM 레지스터 맵, HBF ACL 비트필드, 전기 인터페이스</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#25</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SEU Synchronization Protocol Spec</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SEU 패킷 포맷, PTP 동기화 프로파일, 채널 완전성 검증</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#26</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Dedicated Equipment FPGA/ASIC Design</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DEMUX/MUX RTL, 타이밍 분석, 800G 광 인터페이스</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#27</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PAI AI DC Deployment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다수 PAI 병렬 운용, 서버랙 배선, DC 전원 사양</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#28</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EAI E2E Center Deployment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야외 설치, CH11 독립 전원, Dual E2E 격리 현장 검증</w:t>
            </w:r>
          </w:p>
        </w:tc>
      </w:tr>
    </w:tbl>
    <w:p>
      <w:pPr>
        <w:spacing w:after="120" w:before="60"/>
        <w:jc w:val="center"/>
      </w:pPr>
      <w:r>
        <w:rPr>
          <w:rFonts w:ascii="Arial" w:cs="Arial" w:eastAsia="Arial" w:hAnsi="Arial"/>
          <w:i/>
          <w:iCs/>
          <w:color w:val="6B7280"/>
          <w:sz w:val="18"/>
          <w:szCs w:val="18"/>
        </w:rPr>
        <w:t xml:space="preserve">표 9-1. 차기 문서 제안 목록</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6B7280"/>
                <w:sz w:val="22"/>
                <w:szCs w:val="22"/>
              </w:rPr>
              <w:t xml:space="preserve">본 문서는 Velsanet Architecture Group 내부 기술 설계 문서입니다.
모든 설계 방안은 소프트웨어 MVP 검증 결과를 기반으로 하며, 실제 하드웨어 구현 시 물리 검증을 통해 확정됩니다.</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6B7280"/>
        <w:sz w:val="18"/>
        <w:szCs w:val="18"/>
      </w:rPr>
      <w:t xml:space="preserve">Velsanet Architecture Group  —  내부 기술 문서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rFonts w:ascii="Arial" w:cs="Arial" w:eastAsia="Arial" w:hAnsi="Arial"/>
        <w:color w:val="6B7280"/>
        <w:sz w:val="18"/>
        <w:szCs w:val="18"/>
      </w:rPr>
      <w:t xml:space="preserve">VELSANET  |  인지 큐브 하드웨어 설계 방안  v1.1  |  EAI E2E센터 / PAI AI데이터센터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766E"/>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2026-05-27T12:36:51.369Z</dcterms:created>
  <dcterms:modified xsi:type="dcterms:W3CDTF">2026-05-27T12:36:51.369Z</dcterms:modified>
</cp:coreProperties>
</file>

<file path=docProps/custom.xml><?xml version="1.0" encoding="utf-8"?>
<Properties xmlns="http://schemas.openxmlformats.org/officeDocument/2006/custom-properties" xmlns:vt="http://schemas.openxmlformats.org/officeDocument/2006/docPropsVTypes"/>
</file>