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jc w:val="center"/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1189"/>
        <w:gridCol w:w="540"/>
        <w:gridCol w:w="3374"/>
        <w:gridCol w:w="881"/>
        <w:gridCol w:w="3655"/>
      </w:tblGrid>
      <w:tr w:rsidR="00164069" w:rsidRPr="00E03557" w14:paraId="791456E3" w14:textId="77777777" w:rsidTr="006F5AB1">
        <w:trPr>
          <w:cantSplit/>
          <w:jc w:val="center"/>
        </w:trPr>
        <w:tc>
          <w:tcPr>
            <w:tcW w:w="617" w:type="pct"/>
            <w:vMerge w:val="restart"/>
            <w:vAlign w:val="center"/>
          </w:tcPr>
          <w:p w14:paraId="124B97E0" w14:textId="6CB481B2" w:rsidR="00164069" w:rsidRPr="00E03557" w:rsidRDefault="00164069" w:rsidP="00164069">
            <w:pPr>
              <w:jc w:val="center"/>
              <w:rPr>
                <w:sz w:val="20"/>
                <w:szCs w:val="20"/>
              </w:rPr>
            </w:pPr>
            <w:bookmarkStart w:id="0" w:name="dnum" w:colFirst="2" w:colLast="2"/>
            <w:bookmarkStart w:id="1" w:name="dsg" w:colFirst="1" w:colLast="1"/>
            <w:bookmarkStart w:id="2" w:name="dtableau" w:colFirst="0" w:colLast="2"/>
            <w:r>
              <w:rPr>
                <w:noProof/>
              </w:rPr>
              <w:drawing>
                <wp:inline distT="0" distB="0" distL="0" distR="0" wp14:anchorId="63E06A65" wp14:editId="335E91B7">
                  <wp:extent cx="647700" cy="705600"/>
                  <wp:effectExtent l="0" t="0" r="0" b="0"/>
                  <wp:docPr id="5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-202" t="-200" r="-202" b="-309"/>
                          <a:stretch/>
                        </pic:blipFill>
                        <pic:spPr bwMode="auto">
                          <a:xfrm>
                            <a:off x="0" y="0"/>
                            <a:ext cx="650318" cy="70845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30" w:type="pct"/>
            <w:gridSpan w:val="2"/>
            <w:vMerge w:val="restart"/>
          </w:tcPr>
          <w:p w14:paraId="4E08D7F8" w14:textId="77777777" w:rsidR="00164069" w:rsidRPr="00B02E11" w:rsidRDefault="00164069" w:rsidP="00164069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INTERNATIONAL TELECOMMUNICATION UNION</w:t>
            </w:r>
          </w:p>
          <w:p w14:paraId="445231AA" w14:textId="77777777" w:rsidR="00164069" w:rsidRPr="00B02E11" w:rsidRDefault="00164069" w:rsidP="00164069">
            <w:pPr>
              <w:rPr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TELECOMMUNICATION</w:t>
              <w:br/>
              <w:t>STANDARDIZATION SECTOR</w:t>
            </w:r>
          </w:p>
          <w:p w14:paraId="06747B51" w14:textId="2048282B" w:rsidR="00164069" w:rsidRPr="00E03557" w:rsidRDefault="00164069" w:rsidP="0016406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STUDY PERIOD </w:t>
            </w:r>
            <w:r>
              <w:rPr>
                <w:sz w:val="20"/>
              </w:rPr>
              <w:t>2025-2028</w:t>
            </w:r>
          </w:p>
        </w:tc>
        <w:tc>
          <w:tcPr>
            <w:tcW w:w="2353" w:type="pct"/>
            <w:gridSpan w:val="2"/>
            <w:vAlign w:val="center"/>
          </w:tcPr>
          <w:p w14:paraId="3DAB8B86" w14:textId="433386F4" w:rsidR="00164069" w:rsidRPr="00852AAD" w:rsidRDefault="00164069" w:rsidP="00164069">
            <w:pPr>
              <w:pStyle w:val="Docnumber"/>
            </w:pPr>
            <w:r>
              <w:t>FG-EAI-I-011R2</w:t>
            </w:r>
          </w:p>
        </w:tc>
      </w:tr>
      <w:bookmarkEnd w:id="0"/>
      <w:tr w:rsidR="00E16960" w:rsidRPr="00E03557" w14:paraId="4B7429D8" w14:textId="77777777" w:rsidTr="006F5AB1">
        <w:trPr>
          <w:cantSplit/>
          <w:jc w:val="center"/>
        </w:trPr>
        <w:tc>
          <w:tcPr>
            <w:tcW w:w="617" w:type="pct"/>
            <w:vMerge/>
          </w:tcPr>
          <w:p w14:paraId="1C56400C" w14:textId="77777777" w:rsidR="00E16960" w:rsidRPr="00E03557" w:rsidRDefault="00E16960" w:rsidP="007E3D50">
            <w:pPr>
              <w:rPr>
                <w:smallCaps/>
                <w:sz w:val="20"/>
              </w:rPr>
            </w:pPr>
          </w:p>
        </w:tc>
        <w:tc>
          <w:tcPr>
            <w:tcW w:w="2030" w:type="pct"/>
            <w:gridSpan w:val="2"/>
            <w:vMerge/>
          </w:tcPr>
          <w:p w14:paraId="33E3D052" w14:textId="77777777" w:rsidR="00E16960" w:rsidRPr="00E03557" w:rsidRDefault="00E16960" w:rsidP="007E3D50">
            <w:pPr>
              <w:rPr>
                <w:smallCaps/>
                <w:sz w:val="20"/>
              </w:rPr>
            </w:pPr>
            <w:bookmarkStart w:id="3" w:name="ddate" w:colFirst="2" w:colLast="2"/>
          </w:p>
        </w:tc>
        <w:tc>
          <w:tcPr>
            <w:tcW w:w="2353" w:type="pct"/>
            <w:gridSpan w:val="2"/>
          </w:tcPr>
          <w:p w14:paraId="45BBA9F6" w14:textId="6C3230B2" w:rsidR="00E16960" w:rsidRPr="00E03557" w:rsidRDefault="00E16960" w:rsidP="007058C0">
            <w:pPr>
              <w:ind w:left="432"/>
              <w:jc w:val="righ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Focus Group on Embodied AI for Multimedia Technologies</w:t>
            </w:r>
          </w:p>
        </w:tc>
      </w:tr>
      <w:tr w:rsidR="00E16960" w:rsidRPr="00E03557" w14:paraId="40F1C620" w14:textId="77777777" w:rsidTr="006F5AB1">
        <w:trPr>
          <w:cantSplit/>
          <w:jc w:val="center"/>
        </w:trPr>
        <w:tc>
          <w:tcPr>
            <w:tcW w:w="617" w:type="pct"/>
            <w:vMerge/>
            <w:tcBorders>
              <w:bottom w:val="single" w:sz="12" w:space="0" w:color="auto"/>
            </w:tcBorders>
          </w:tcPr>
          <w:p w14:paraId="42761763" w14:textId="77777777" w:rsidR="00E16960" w:rsidRPr="00E03557" w:rsidRDefault="00E16960" w:rsidP="007E3D50">
            <w:pPr>
              <w:rPr>
                <w:b/>
                <w:bCs/>
                <w:sz w:val="26"/>
              </w:rPr>
            </w:pPr>
          </w:p>
        </w:tc>
        <w:tc>
          <w:tcPr>
            <w:tcW w:w="2030" w:type="pct"/>
            <w:gridSpan w:val="2"/>
            <w:vMerge/>
            <w:tcBorders>
              <w:bottom w:val="single" w:sz="12" w:space="0" w:color="auto"/>
            </w:tcBorders>
          </w:tcPr>
          <w:p w14:paraId="476C1B96" w14:textId="77777777" w:rsidR="00E16960" w:rsidRPr="00E03557" w:rsidRDefault="00E16960" w:rsidP="007E3D50">
            <w:pPr>
              <w:rPr>
                <w:b/>
                <w:bCs/>
                <w:sz w:val="26"/>
              </w:rPr>
            </w:pPr>
            <w:bookmarkStart w:id="4" w:name="dorlang" w:colFirst="2" w:colLast="2"/>
            <w:bookmarkEnd w:id="3"/>
          </w:p>
        </w:tc>
        <w:tc>
          <w:tcPr>
            <w:tcW w:w="2353" w:type="pct"/>
            <w:gridSpan w:val="2"/>
            <w:tcBorders>
              <w:bottom w:val="single" w:sz="12" w:space="0" w:color="auto"/>
            </w:tcBorders>
            <w:vAlign w:val="center"/>
          </w:tcPr>
          <w:p w14:paraId="196B358B" w14:textId="77777777" w:rsidR="00E16960" w:rsidRPr="00E03557" w:rsidRDefault="00E16960" w:rsidP="007E3D50">
            <w:pPr>
              <w:jc w:val="righ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Original: English</w:t>
            </w:r>
          </w:p>
        </w:tc>
      </w:tr>
      <w:tr w:rsidR="00E16960" w:rsidRPr="00E03557" w14:paraId="655598F6" w14:textId="77777777" w:rsidTr="006F5AB1">
        <w:trPr>
          <w:cantSplit/>
          <w:jc w:val="center"/>
        </w:trPr>
        <w:tc>
          <w:tcPr>
            <w:tcW w:w="897" w:type="pct"/>
            <w:gridSpan w:val="2"/>
          </w:tcPr>
          <w:p w14:paraId="164A8F0C" w14:textId="77777777" w:rsidR="00E16960" w:rsidRPr="00E03557" w:rsidRDefault="00E16960" w:rsidP="007E3D50">
            <w:pPr>
              <w:rPr>
                <w:b/>
                <w:bCs/>
              </w:rPr>
            </w:pPr>
            <w:bookmarkStart w:id="5" w:name="dbluepink" w:colFirst="1" w:colLast="1"/>
            <w:bookmarkStart w:id="6" w:name="dmeeting" w:colFirst="2" w:colLast="2"/>
            <w:bookmarkEnd w:id="1"/>
            <w:bookmarkEnd w:id="4"/>
            <w:r>
              <w:rPr>
                <w:b/>
                <w:bCs/>
              </w:rPr>
              <w:t>WG(s):</w:t>
            </w:r>
          </w:p>
        </w:tc>
        <w:tc>
          <w:tcPr>
            <w:tcW w:w="1750" w:type="pct"/>
            <w:vAlign w:val="center"/>
          </w:tcPr>
          <w:p w14:paraId="455E7588" w14:textId="4787B86C" w:rsidR="00E16960" w:rsidRPr="00A63FB7" w:rsidRDefault="00E16960" w:rsidP="007E3D50">
            <w:r>
              <w:t>WG 1 / WG 4</w:t>
            </w:r>
          </w:p>
        </w:tc>
        <w:tc>
          <w:tcPr>
            <w:tcW w:w="2353" w:type="pct"/>
            <w:gridSpan w:val="2"/>
            <w:vAlign w:val="center"/>
          </w:tcPr>
          <w:p w14:paraId="53CFC8C2" w14:textId="67D72AA4" w:rsidR="00E16960" w:rsidRPr="00A26CE7" w:rsidRDefault="00A26CE7" w:rsidP="00A26CE7">
            <w:pPr>
              <w:jc w:val="right"/>
            </w:pPr>
            <w:r>
              <w:t>ITU Headquarters, Geneva, 11 July 2026</w:t>
            </w:r>
          </w:p>
        </w:tc>
      </w:tr>
      <w:tr w:rsidR="00E16960" w:rsidRPr="00E03557" w14:paraId="070272B2" w14:textId="77777777" w:rsidTr="006F5AB1">
        <w:trPr>
          <w:cantSplit/>
          <w:jc w:val="center"/>
        </w:trPr>
        <w:tc>
          <w:tcPr>
            <w:tcW w:w="5000" w:type="pct"/>
            <w:gridSpan w:val="5"/>
          </w:tcPr>
          <w:p w14:paraId="1FD9F115" w14:textId="77777777" w:rsidR="00E16960" w:rsidRPr="00E03557" w:rsidRDefault="00E16960" w:rsidP="007E3D50">
            <w:pPr>
              <w:jc w:val="center"/>
              <w:rPr>
                <w:b/>
                <w:bCs/>
              </w:rPr>
            </w:pPr>
            <w:bookmarkStart w:id="7" w:name="dtitle" w:colFirst="0" w:colLast="0"/>
            <w:bookmarkEnd w:id="5"/>
            <w:bookmarkEnd w:id="6"/>
            <w:r>
              <w:rPr>
                <w:b/>
                <w:bCs/>
              </w:rPr>
              <w:t>INPUT DOCUMENT</w:t>
            </w:r>
          </w:p>
        </w:tc>
      </w:tr>
      <w:tr w:rsidR="00A26CE7" w:rsidRPr="00E03557" w14:paraId="6F53F431" w14:textId="77777777" w:rsidTr="005D3990">
        <w:trPr>
          <w:cantSplit/>
          <w:jc w:val="center"/>
        </w:trPr>
        <w:tc>
          <w:tcPr>
            <w:tcW w:w="897" w:type="pct"/>
            <w:gridSpan w:val="2"/>
          </w:tcPr>
          <w:p w14:paraId="03F6D5C2" w14:textId="77777777" w:rsidR="00A26CE7" w:rsidRPr="00E03557" w:rsidRDefault="00A26CE7" w:rsidP="00A26CE7">
            <w:pPr>
              <w:rPr>
                <w:b/>
                <w:bCs/>
              </w:rPr>
            </w:pPr>
            <w:bookmarkStart w:id="8" w:name="dsource" w:colFirst="1" w:colLast="1"/>
            <w:bookmarkEnd w:id="7"/>
            <w:r>
              <w:rPr>
                <w:b/>
                <w:bCs/>
              </w:rPr>
              <w:t>Source:</w:t>
            </w:r>
          </w:p>
        </w:tc>
        <w:tc>
          <w:tcPr>
            <w:tcW w:w="4103" w:type="pct"/>
            <w:gridSpan w:val="3"/>
          </w:tcPr>
          <w:p w14:paraId="2F7324B5" w14:textId="7FEF143C" w:rsidR="00A26CE7" w:rsidRPr="00123B21" w:rsidRDefault="00A26CE7" w:rsidP="00A26CE7">
            <w:r>
              <w:t>Changho Song (individual)</w:t>
            </w:r>
          </w:p>
        </w:tc>
      </w:tr>
      <w:tr w:rsidR="00A26CE7" w:rsidRPr="00E03557" w14:paraId="23ACEAB5" w14:textId="77777777" w:rsidTr="005D3990">
        <w:trPr>
          <w:cantSplit/>
          <w:jc w:val="center"/>
        </w:trPr>
        <w:tc>
          <w:tcPr>
            <w:tcW w:w="897" w:type="pct"/>
            <w:gridSpan w:val="2"/>
          </w:tcPr>
          <w:p w14:paraId="02CBDDBC" w14:textId="77777777" w:rsidR="00A26CE7" w:rsidRPr="00E03557" w:rsidRDefault="00A26CE7" w:rsidP="00A26CE7">
            <w:bookmarkStart w:id="9" w:name="dtitle1" w:colFirst="1" w:colLast="1"/>
            <w:bookmarkEnd w:id="8"/>
            <w:r>
              <w:rPr>
                <w:b/>
                <w:bCs/>
              </w:rPr>
              <w:t>Title:</w:t>
            </w:r>
          </w:p>
        </w:tc>
        <w:tc>
          <w:tcPr>
            <w:tcW w:w="4103" w:type="pct"/>
            <w:gridSpan w:val="3"/>
          </w:tcPr>
          <w:p w14:paraId="6206385B" w14:textId="6DB36E17" w:rsidR="00A26CE7" w:rsidRPr="00123B21" w:rsidRDefault="00A26CE7" w:rsidP="00A26CE7">
            <w:r>
              <w:t>Integrated EAI Architecture: Multimodal Cognition, Dual E2E Control, and Human Projection (Work Items F–I)</w:t>
            </w:r>
          </w:p>
        </w:tc>
      </w:tr>
      <w:bookmarkEnd w:id="9"/>
      <w:tr w:rsidR="00A26CE7" w:rsidRPr="000E2B13" w14:paraId="52849E50" w14:textId="77777777" w:rsidTr="00C9548F">
        <w:trPr>
          <w:cantSplit/>
          <w:jc w:val="center"/>
        </w:trPr>
        <w:tc>
          <w:tcPr>
            <w:tcW w:w="897" w:type="pct"/>
            <w:gridSpan w:val="2"/>
            <w:tcBorders>
              <w:top w:val="single" w:sz="6" w:space="0" w:color="auto"/>
              <w:bottom w:val="single" w:sz="6" w:space="0" w:color="auto"/>
            </w:tcBorders>
          </w:tcPr>
          <w:p w14:paraId="672FA719" w14:textId="77777777" w:rsidR="00A26CE7" w:rsidRPr="00E03557" w:rsidRDefault="00A26CE7" w:rsidP="00A26CE7">
            <w:pPr>
              <w:rPr>
                <w:b/>
                <w:bCs/>
              </w:rPr>
            </w:pPr>
            <w:r>
              <w:rPr>
                <w:b/>
                <w:bCs/>
              </w:rPr>
              <w:t>Contact:</w:t>
            </w:r>
          </w:p>
        </w:tc>
        <w:tc>
          <w:tcPr>
            <w:tcW w:w="2207" w:type="pct"/>
            <w:gridSpan w:val="2"/>
            <w:tcBorders>
              <w:top w:val="single" w:sz="6" w:space="0" w:color="auto"/>
              <w:bottom w:val="single" w:sz="6" w:space="0" w:color="auto"/>
            </w:tcBorders>
          </w:tcPr>
          <w:p w14:paraId="2A2A49FE" w14:textId="0A09012B" w:rsidR="00A26CE7" w:rsidRPr="00BC1D31" w:rsidRDefault="00A26CE7" w:rsidP="00A26CE7">
            <w:pPr>
              <w:rPr>
                <w:highlight w:val="yellow"/>
              </w:rPr>
            </w:pPr>
            <w:r>
              <w:t>Changho Song</w:t>
            </w:r>
          </w:p>
        </w:tc>
        <w:tc>
          <w:tcPr>
            <w:tcW w:w="1896" w:type="pct"/>
            <w:tcBorders>
              <w:top w:val="single" w:sz="6" w:space="0" w:color="auto"/>
              <w:bottom w:val="single" w:sz="6" w:space="0" w:color="auto"/>
            </w:tcBorders>
          </w:tcPr>
          <w:p w14:paraId="112BE9E9" w14:textId="77777777" w:rsidR="00A26CE7" w:rsidRPr="0096520A" w:rsidRDefault="00A26CE7" w:rsidP="00A26CE7">
            <w:pPr>
              <w:rPr>
                <w:highlight w:val="yellow"/>
                <w:lang w:val="es-ES"/>
              </w:rPr>
            </w:pPr>
            <w:r>
              <w:rPr>
                <w:lang w:val="pt-PT"/>
              </w:rPr>
              <w:t xml:space="preserve">Tel: </w:t>
              <w:tab/>
              <w:t>+82-10-5614-8965</w:t>
            </w:r>
          </w:p>
          <w:p w14:paraId="33655BEF" w14:textId="5CB937BB" w:rsidR="00A26CE7" w:rsidRPr="00A26CE7" w:rsidRDefault="00A26CE7" w:rsidP="00A26CE7">
            <w:pPr>
              <w:rPr>
                <w:highlight w:val="yellow"/>
                <w:lang w:val="pt-PT"/>
              </w:rPr>
            </w:pPr>
            <w:r>
              <w:rPr>
                <w:lang w:val="pt-PT"/>
              </w:rPr>
              <w:t xml:space="preserve">E-mail: </w:t>
            </w:r>
            <w:hyperlink r:id="rId11" w:history="1">
              <w:r>
                <w:rPr>
                  <w:rStyle w:val="Hyperlink"/>
                  <w:lang w:val="pt-PT"/>
                </w:rPr>
                <w:t>joa337@gmail.com</w:t>
              </w:r>
            </w:hyperlink>
          </w:p>
        </w:tc>
      </w:tr>
      <w:bookmarkEnd w:id="2"/>
    </w:tbl>
    <w:p w14:paraId="5C534AAF" w14:textId="77777777" w:rsidR="00E16960" w:rsidRPr="001A0A97" w:rsidRDefault="00E16960" w:rsidP="00E16960">
      <w:pPr>
        <w:rPr>
          <w:lang w:val="fr-FR"/>
        </w:rPr>
      </w:pPr>
    </w:p>
    <w:tbl>
      <w:tblPr>
        <w:tblW w:w="5000" w:type="pct"/>
        <w:jc w:val="center"/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1677"/>
        <w:gridCol w:w="7962"/>
      </w:tblGrid>
      <w:tr w:rsidR="00E16960" w:rsidRPr="00E03557" w14:paraId="2AB05E6E" w14:textId="77777777" w:rsidTr="006F5AB1">
        <w:trPr>
          <w:cantSplit/>
          <w:jc w:val="center"/>
        </w:trPr>
        <w:tc>
          <w:tcPr>
            <w:tcW w:w="870" w:type="pct"/>
          </w:tcPr>
          <w:p w14:paraId="0265114A" w14:textId="77777777" w:rsidR="00E16960" w:rsidRPr="00E03557" w:rsidRDefault="00E16960" w:rsidP="007E3D50">
            <w:pPr>
              <w:rPr>
                <w:b/>
                <w:bCs/>
              </w:rPr>
            </w:pPr>
            <w:r>
              <w:rPr>
                <w:b/>
                <w:bCs/>
              </w:rPr>
              <w:t>Abstract:</w:t>
            </w:r>
          </w:p>
        </w:tc>
        <w:tc>
          <w:tcPr>
            <w:tcW w:w="4130" w:type="pct"/>
          </w:tcPr>
          <w:p w14:paraId="7A550511" w14:textId="6EB97EB4" w:rsidR="00E16960" w:rsidRPr="00A26CE7" w:rsidRDefault="00A26CE7" w:rsidP="00A26CE7">
            <w:r>
              <w:t>This revised contribution (R1) extends FG-EAI-I-011 by incorporating Work Items H and I into the original submission. Work Items F and G — proposed in the original submission and unchanged — address the structural cognition layer: multimodal signal decomposition into an 8-channel SEU pipeline and four-axis Cognition Cube synthesis. This revision adds Work Item H (Dual E2E Control Architecture for Predictive Action) and Work Item I (Human Projection-Based Cognitive Interface), which define the system integration and inter-component interface dimensions of the same architecture. The four Work Items form a single, continuous, and structurally interdependent architecture: F decomposes multimodal signals; G synthesises perceptual outputs into a Cognition Cube (T/C/I/E); H extends the architecture to 16 channels by physically separating the Perception Plane (CH1–CH8, E2E #1) from the Control Plane (CH9–CH16, E2E #2), enabling pre-cognitive action; and I defines the Human Projection interface through which operator expertise is structurally transferred into the EAI system via PAI-EAI cognitive bridging. This revision demonstrates that Work Items F and G fall within WG 1 scope (Foundational Architecture), while Work Items H and I fall within WG 4 scope (Systems Integration and Interfaces). A cross-WG coordination mechanism is required to preserve the structural coherence of this integrated architecture. R2 addition: This second revision (R2) adds a single new sub-section, “Cube Interpretation via Structural OLAP Operations” (Section 3.4), defining how the multi-axis Cognition Cube is queried and reasoned over — slice, dice, roll-up, drill-down, and pivot — as deterministic structural operations rather than learned-weight inference. This makes structural explainability (drill-down to originating channel/SEU evidence) an intrinsic cube operation and confirms that per-subject, event-driven EAI cognition is a structural-transformation problem, not a batch-inference problem. Work Items F, G, H, and I are otherwise unchanged; the Work Item G scope is extended to include the structural OLAP interpretation model. No WG assignment is altered.</w:t>
            </w:r>
          </w:p>
        </w:tc>
      </w:tr>
    </w:tbl>
    <w:p>
      <w:pPr>
        <w:pStyle w:val="Heading1"/>
      </w:pPr>
      <w:r>
        <w:t>Revision Note (R2)</w:t>
      </w:r>
    </w:p>
    <w:p>
      <w:r>
        <w:t xml:space="preserve">This revision (R2) extends FG-EAI-I-011R1 in two respects. First, it adds a new technical sub-section (§3.4, “Cube Interpretation via Structural OLAP Operations”) identified as a gap in R1. Second, in preparing this addition for submission, a review of R1 identified four further points where R1’s supporting material had not kept pace with its own core claim — that Work Items F, G, H, and I form a single integrated architecture requiring cross-WG coordination. R2 therefore also corrects these points. No Work Item scope (F, G, H, I) is removed or re-assigned across working groups, and no prior technical claim is reversed; all R1 content is preserved, either unchanged or extended. Each item below states what changed and why.</w:t>
      </w:r>
    </w:p>
    <w:tbl>
      <w:tblPr>
        <w:tblW w:w="9923" w:type="dxa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600"/>
        <w:gridCol w:w="1600"/>
        <w:gridCol w:w="3200"/>
        <w:gridCol w:w="4523"/>
      </w:tblGrid>
      <w:tr>
        <w:tc>
          <w:tcPr>
            <w:tcW w:w="600" w:type="dxa"/>
            <w:shd w:val="clear" w:color="auto" w:fill="1E3A6E"/>
          </w:tcPr>
          <w:p>
            <w:r>
              <w:rPr>
                <w:b/>
                <w:color w:val="FFFFFF"/>
                <w:sz w:val="18"/>
              </w:rPr>
              <w:t xml:space="preserve">#</w:t>
            </w:r>
          </w:p>
        </w:tc>
        <w:tc>
          <w:tcPr>
            <w:tcW w:w="1600" w:type="dxa"/>
            <w:shd w:val="clear" w:color="auto" w:fill="1E3A6E"/>
          </w:tcPr>
          <w:p>
            <w:r>
              <w:rPr>
                <w:b/>
                <w:color w:val="FFFFFF"/>
                <w:sz w:val="18"/>
              </w:rPr>
              <w:t xml:space="preserve">Item</w:t>
            </w:r>
          </w:p>
        </w:tc>
        <w:tc>
          <w:tcPr>
            <w:tcW w:w="3200" w:type="dxa"/>
            <w:shd w:val="clear" w:color="auto" w:fill="1E3A6E"/>
          </w:tcPr>
          <w:p>
            <w:r>
              <w:rPr>
                <w:b/>
                <w:color w:val="FFFFFF"/>
                <w:sz w:val="18"/>
              </w:rPr>
              <w:t xml:space="preserve">Change</w:t>
            </w:r>
          </w:p>
        </w:tc>
        <w:tc>
          <w:tcPr>
            <w:tcW w:w="4523" w:type="dxa"/>
            <w:shd w:val="clear" w:color="auto" w:fill="1E3A6E"/>
          </w:tcPr>
          <w:p>
            <w:r>
              <w:rPr>
                <w:b/>
                <w:color w:val="FFFFFF"/>
                <w:sz w:val="18"/>
              </w:rPr>
              <w:t xml:space="preserve">Rationale</w:t>
            </w:r>
          </w:p>
        </w:tc>
      </w:tr>
      <w:tr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1600" w:type="dxa"/>
          </w:tcPr>
          <w:p>
            <w:r>
              <w:rPr>
                <w:sz w:val="18"/>
              </w:rPr>
              <w:t xml:space="preserve">§3.4 Cube Interpretation (new)</w:t>
            </w:r>
          </w:p>
        </w:tc>
        <w:tc>
          <w:tcPr>
            <w:tcW w:w="3200" w:type="dxa"/>
          </w:tcPr>
          <w:p>
            <w:r>
              <w:rPr>
                <w:sz w:val="18"/>
              </w:rPr>
              <w:t xml:space="preserve">Adds OLAP-based interpretation model (slice / dice / roll-up / drill-down / pivot) for the Cognition Cube</w:t>
            </w:r>
          </w:p>
        </w:tc>
        <w:tc>
          <w:tcPr>
            <w:tcW w:w="4523" w:type="dxa"/>
          </w:tcPr>
          <w:p>
            <w:r>
              <w:rPr>
                <w:sz w:val="18"/>
              </w:rPr>
              <w:t xml:space="preserve">R1 defined how the Cube is constructed but not how it is interpreted</w:t>
            </w:r>
          </w:p>
        </w:tc>
      </w:tr>
      <w:tr>
        <w:tc>
          <w:tcPr>
            <w:tcW w:w="600" w:type="dxa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tcW w:w="1600" w:type="dxa"/>
          </w:tcPr>
          <w:p>
            <w:r>
              <w:rPr>
                <w:sz w:val="18"/>
              </w:rPr>
              <w:t xml:space="preserve">Conclusion</w:t>
            </w:r>
          </w:p>
        </w:tc>
        <w:tc>
          <w:tcPr>
            <w:tcW w:w="3200" w:type="dxa"/>
          </w:tcPr>
          <w:p>
            <w:r>
              <w:rPr>
                <w:sz w:val="18"/>
              </w:rPr>
              <w:t xml:space="preserve">Corrected to reference all four Work Items (F/G/H/I) and the cross-WG coordination request</w:t>
            </w:r>
          </w:p>
        </w:tc>
        <w:tc>
          <w:tcPr>
            <w:tcW w:w="4523" w:type="dxa"/>
          </w:tcPr>
          <w:p>
            <w:r>
              <w:rPr>
                <w:sz w:val="18"/>
              </w:rPr>
              <w:t xml:space="preserve">Original Conclusion was carried over unchanged from single-WG I-011 (F/G only); contradicted R1’s own Abstract</w:t>
            </w:r>
          </w:p>
        </w:tc>
      </w:tr>
      <w:tr>
        <w:tc>
          <w:tcPr>
            <w:tcW w:w="600" w:type="dxa"/>
          </w:tcPr>
          <w:p>
            <w:r>
              <w:rPr>
                <w:sz w:val="18"/>
              </w:rPr>
              <w:t xml:space="preserve">3</w:t>
            </w:r>
          </w:p>
        </w:tc>
        <w:tc>
          <w:tcPr>
            <w:tcW w:w="1600" w:type="dxa"/>
          </w:tcPr>
          <w:p>
            <w:r>
              <w:rPr>
                <w:sz w:val="18"/>
              </w:rPr>
              <w:t xml:space="preserve">Gap Analysis</w:t>
            </w:r>
          </w:p>
        </w:tc>
        <w:tc>
          <w:tcPr>
            <w:tcW w:w="3200" w:type="dxa"/>
          </w:tcPr>
          <w:p>
            <w:r>
              <w:rPr>
                <w:sz w:val="18"/>
              </w:rPr>
              <w:t xml:space="preserve">Extended to cover Work Items H and I against existing standards</w:t>
            </w:r>
          </w:p>
        </w:tc>
        <w:tc>
          <w:tcPr>
            <w:tcW w:w="4523" w:type="dxa"/>
          </w:tcPr>
          <w:p>
            <w:r>
              <w:rPr>
                <w:sz w:val="18"/>
              </w:rPr>
              <w:t xml:space="preserve">Original gap analysis justified only F/G; H/I address WG 4 with no corresponding justification</w:t>
            </w:r>
          </w:p>
        </w:tc>
      </w:tr>
      <w:tr>
        <w:tc>
          <w:tcPr>
            <w:tcW w:w="600" w:type="dxa"/>
          </w:tcPr>
          <w:p>
            <w:r>
              <w:rPr>
                <w:sz w:val="18"/>
              </w:rPr>
              <w:t xml:space="preserve">4</w:t>
            </w:r>
          </w:p>
        </w:tc>
        <w:tc>
          <w:tcPr>
            <w:tcW w:w="1600" w:type="dxa"/>
          </w:tcPr>
          <w:p>
            <w:r>
              <w:rPr>
                <w:sz w:val="18"/>
              </w:rPr>
              <w:t xml:space="preserve">WG Assignment</w:t>
            </w:r>
          </w:p>
        </w:tc>
        <w:tc>
          <w:tcPr>
            <w:tcW w:w="3200" w:type="dxa"/>
          </w:tcPr>
          <w:p>
            <w:r>
              <w:rPr>
                <w:sz w:val="18"/>
              </w:rPr>
              <w:t xml:space="preserve">Stated consistently in each Work Item’s Formal Scope block</w:t>
            </w:r>
          </w:p>
        </w:tc>
        <w:tc>
          <w:tcPr>
            <w:tcW w:w="4523" w:type="dxa"/>
          </w:tcPr>
          <w:p>
            <w:r>
              <w:rPr>
                <w:sz w:val="18"/>
              </w:rPr>
              <w:t xml:space="preserve">Abstract states the WG 1 / WG 4 split, but per-item scope blocks did not uniformly restate it</w:t>
            </w:r>
          </w:p>
        </w:tc>
      </w:tr>
      <w:tr>
        <w:tc>
          <w:tcPr>
            <w:tcW w:w="600" w:type="dxa"/>
          </w:tcPr>
          <w:p>
            <w:r>
              <w:rPr>
                <w:sz w:val="18"/>
              </w:rPr>
              <w:t xml:space="preserve">5</w:t>
            </w:r>
          </w:p>
        </w:tc>
        <w:tc>
          <w:tcPr>
            <w:tcW w:w="1600" w:type="dxa"/>
          </w:tcPr>
          <w:p>
            <w:r>
              <w:rPr>
                <w:sz w:val="18"/>
              </w:rPr>
              <w:t xml:space="preserve">M-Axis</w:t>
            </w:r>
          </w:p>
        </w:tc>
        <w:tc>
          <w:tcPr>
            <w:tcW w:w="3200" w:type="dxa"/>
          </w:tcPr>
          <w:p>
            <w:r>
              <w:rPr>
                <w:sz w:val="18"/>
              </w:rPr>
              <w:t xml:space="preserve">Formal definition added</w:t>
            </w:r>
          </w:p>
        </w:tc>
        <w:tc>
          <w:tcPr>
            <w:tcW w:w="4523" w:type="dxa"/>
          </w:tcPr>
          <w:p>
            <w:r>
              <w:rPr>
                <w:sz w:val="18"/>
              </w:rPr>
              <w:t xml:space="preserve">Referenced repeatedly in H, I, and §3.4 but never defined anywhere in the document</w:t>
            </w:r>
          </w:p>
        </w:tc>
      </w:tr>
    </w:tbl>
    <w:p/>
    <w:p>
      <w:r>
        <w:rPr>
          <w:b/>
        </w:rPr>
        <w:t xml:space="preserve">Item 1 — §3.4 Cube Interpretation. Rationale: </w:t>
      </w:r>
      <w:r>
        <w:t xml:space="preserve">R1 defined how the Cognition Cube is constructed (multimodal decomposition into T/C/I/E axes) but did not define how the cube is interpreted once synthesised. R2 closes this gap by mapping the five canonical OLAP operations (slice, dice, roll-up, drill-down, pivot) onto cube cognition, establishing that interpretation proceeds by deterministic structural operations over a multi-axis index rather than by re-running model inference. This directly supports two claims already implicit in R1: (i) structural explainability is realised as drill-down to originating evidence; (ii) cube interpretation is not a learned-weight inference task and therefore does not depend on GPU batch parallelism for its efficiency. The addition is wholly within WG 1 scope, as it specifies how the Work Item G cube is read and reasoned over.</w:t>
      </w:r>
    </w:p>
    <w:p>
      <w:r>
        <w:rPr>
          <w:b/>
        </w:rPr>
        <w:t xml:space="preserve">Item 2 — Conclusion. Rationale: </w:t>
      </w:r>
      <w:r>
        <w:t xml:space="preserve">R1’s Abstract states that Work Items F, G, H, and I form a single integrated architecture requiring a cross-WG coordination mechanism. The Conclusion, however, was carried over verbatim from the original single-WG submission (I-011, F/G only) and was never updated to reflect this. This left the document’s closing request inconsistent with its own opening claim. R2 corrects the Conclusion to state the request accurately.</w:t>
      </w:r>
    </w:p>
    <w:p>
      <w:r>
        <w:rPr>
          <w:b/>
        </w:rPr>
        <w:t xml:space="preserve">Item 3 — Gap Analysis. Rationale: </w:t>
      </w:r>
      <w:r>
        <w:t xml:space="preserve">The gap analysis in the original I-011 justified Work Items F and G only. Work Items H and I, introduced in R1, are addressed to WG 4 — a different working group and a different technical scope (system integration, control-plane architecture, human-AI interface) — and had no corresponding standardization gap justification. R2 adds this analysis so that H and I are supported on the same basis as F and G.</w:t>
      </w:r>
    </w:p>
    <w:p>
      <w:r>
        <w:rPr>
          <w:b/>
        </w:rPr>
        <w:t xml:space="preserve">Item 4 — WG Assignment. Rationale: </w:t>
      </w:r>
      <w:r>
        <w:t xml:space="preserve">The Abstract states the WG 1 / WG 4 split, but the “Formal Scope” block for each Work Item did not uniformly restate its WG assignment. R2 aligns the per-Work-Item scope statements with the Abstract so the WG split is unambiguous at every point a reader encounters a Work Item.</w:t>
      </w:r>
    </w:p>
    <w:p>
      <w:r>
        <w:rPr>
          <w:b/>
        </w:rPr>
        <w:t xml:space="preserve">Item 5 — M-Axis. Rationale: </w:t>
      </w:r>
      <w:r>
        <w:t xml:space="preserve">Work Items H and I, and §3.4, reference the “M-Axis” of the Cognition Cube as an established element, but no prior section of this document defines it. R2 adds a formal definition so the term is traceable on first use, consistent with the four-axis (T/C/I/E) definitions already given for Work Item G.</w:t>
      </w:r>
    </w:p>
    <w:p w14:paraId="1D1D21DB" w14:textId="1D1D21DB" w:rsidR="00A26CE7" w:rsidRDefault="00A26CE7" w:rsidP="00A26CE7">
      <w:pPr>
        <w:pStyle w:val="Heading1"/>
      </w:pPr>
      <w:r>
        <w:t>Revision Note (R1)</w:t>
      </w:r>
    </w:p>
    <w:p w14:paraId="1E839535" w14:textId="1E839535" w:rsidR="00A26CE7" w:rsidRDefault="00A26CE7" w:rsidP="00A26CE7">
      <w:r>
        <w:t>This revision extends FG-EAI-I-011 (submitted to the 1st FG-EAI Meeting, May 2026) to incorporate Work Items H and I. Work Items F and G are unchanged. The revision is submitted to demonstrate that these four Work Items constitute a single integrated architecture spanning WG 1 and WG 4 scopes, and to request a cross-WG coordination mechanism to preserve the structural coherence of this architecture.</w:t>
      </w:r>
    </w:p>
    <w:p w14:paraId="09970C94" w14:textId="09970C94" w:rsidR="00A26CE7" w:rsidRDefault="00A26CE7" w:rsidP="00A26CE7">
      <w:r>
        <w:t xml:space="preserve">Work Items F through I are structurally connected to Work Items A through E, previously submitted to FG-AINN as FG-AINN-I-236R1 and FG-AINN-I-237R2, which define the network-layer structural foundation including multi-channel E2E, AI-native topology, and structural governance. These contributions were presented at the 7th FG-AINN meeting and are recorded in the meeting report FG-AINN-I-258-R1. Together, Work Items A through I form a complete end-to-end architecture from network infrastructure (A–E, FG-AINN) to EAI multimodal cognition (F–G), system integration (H), and human-EAI cognitive interface (I). The FG-EAI Work Items cannot be fully evaluated without understanding their relationship to the network-layer Work Items in FG-AINN — they are not standalone proposals but components of a single architectural system.</w:t>
      </w:r>
    </w:p>
    <w:p w14:paraId="36F6F741" w14:textId="36F6F741" w:rsidR="00A26CE7" w:rsidRDefault="00A26CE7" w:rsidP="00A26CE7">
      <w:r>
        <w:t xml:space="preserve">The four Work Items span two WG scopes: Work Items F and G address the foundational cognition layer (WG 1 — Foundational Architecture and Terminology); Work Items H and I address the system integration and interface layer (WG 4 — Systems Integration and Interfaces). Since the four Work Items are structurally interdependent, fragmenting them across WGs without a formal coordination mechanism will produce interface inconsistencies that cannot be resolved at the system level.</w:t>
      </w:r>
    </w:p>
    <w:p w14:paraId="47F64494" w14:textId="47F64494" w:rsidR="00A26CE7" w:rsidRDefault="00A26CE7" w:rsidP="00A26CE7">
      <w:r>
        <w:rPr>
          <w:b/>
        </w:rPr>
        <w:t xml:space="preserve">What this contribution does NOT claim: </w:t>
      </w:r>
      <w:r>
        <w:t>This contribution does not claim that the entire A–I architecture must be adopted in full by FG-EAI. It claims that if FG-EAI decides to work on perception (F, G) or system integration (H, I), these topics are structurally connected. Fragmenting them across WGs without a coordination mechanism will produce inconsistent results regardless of which specific architecture is adopted. The author requests a process solution (cross-WG coordination), not the mandatory adoption of this specific architecture.</w:t>
      </w:r>
    </w:p>
    <w:p w14:paraId="06B13DB5" w14:textId="06B13DB5" w:rsidR="00A26CE7" w:rsidRDefault="00A26CE7" w:rsidP="00A26CE7">
      <w:pPr>
        <w:pStyle w:val="Heading1"/>
      </w:pPr>
      <w:r>
        <w:t>Table of Contents</w:t>
      </w:r>
    </w:p>
    <w:p w14:paraId="73A24806" w14:textId="73A24806" w:rsidR="00A26CE7" w:rsidRDefault="00A26CE7" w:rsidP="00A26CE7">
      <w:r>
        <w:rPr>
          <w:sz w:val="18"/>
        </w:rPr>
        <w:t>1. Motivation .............................................................. 2</w:t>
      </w:r>
    </w:p>
    <w:p w14:paraId="6A24BC2C" w14:textId="6A24BC2C" w:rsidR="00A26CE7" w:rsidRDefault="00A26CE7" w:rsidP="00A26CE7">
      <w:r>
        <w:rPr>
          <w:sz w:val="18"/>
        </w:rPr>
        <w:t>2. The Velsanet Cognition Cube System (Work Items F and G) ............. 3</w:t>
      </w:r>
    </w:p>
    <w:p w14:paraId="24D2950F" w14:textId="24D2950F" w:rsidR="00A26CE7" w:rsidRDefault="00A26CE7" w:rsidP="00A26CE7">
      <w:r>
        <w:rPr>
          <w:sz w:val="18"/>
        </w:rPr>
        <w:t>3. Relevance to Embodied AI for Multimedia ............................. 6</w:t>
      </w:r>
    </w:p>
    <w:p>
      <w:pPr>
        <w:ind w:left="426"/>
      </w:pPr>
      <w:r>
        <w:rPr>
          <w:sz w:val="18"/>
        </w:rPr>
        <w:t xml:space="preserve">3.4 Cube Interpretation via Structural OLAP Operations (new in R2) ... 7</w:t>
      </w:r>
    </w:p>
    <w:p w14:paraId="737FADA6" w14:textId="737FADA6" w:rsidR="00A26CE7" w:rsidRDefault="00A26CE7" w:rsidP="00A26CE7">
      <w:r>
        <w:rPr>
          <w:sz w:val="18"/>
        </w:rPr>
        <w:t>4. Proposed Work Items F and G .......................................... 7</w:t>
      </w:r>
    </w:p>
    <w:p w14:paraId="6CE4A8AE" w14:textId="6CE4A8AE" w:rsidR="00A26CE7" w:rsidRDefault="00A26CE7" w:rsidP="00A26CE7">
      <w:r>
        <w:rPr>
          <w:sz w:val="18"/>
        </w:rPr>
        <w:t>5. Work Item H — Dual E2E Control Architecture (WG 4) .................. 9</w:t>
      </w:r>
    </w:p>
    <w:p w14:paraId="7B0BBD8C" w14:textId="7B0BBD8C" w:rsidR="00A26CE7" w:rsidRDefault="00A26CE7" w:rsidP="00A26CE7">
      <w:r>
        <w:rPr>
          <w:sz w:val="18"/>
        </w:rPr>
        <w:t>6. Work Item I — Human Projection-Based Cognitive Interface (WG 4) .... 12</w:t>
      </w:r>
    </w:p>
    <w:p w14:paraId="7760880D" w14:textId="7760880D" w:rsidR="00A26CE7" w:rsidRDefault="00A26CE7" w:rsidP="00A26CE7">
      <w:r>
        <w:rPr>
          <w:sz w:val="18"/>
        </w:rPr>
        <w:t>7. Cross-WG Coordination Requirement ................................... 14</w:t>
      </w:r>
    </w:p>
    <w:p w14:paraId="0942561E" w14:textId="0942561E" w:rsidR="00A26CE7" w:rsidRDefault="00A26CE7" w:rsidP="00A26CE7">
      <w:r>
        <w:rPr>
          <w:sz w:val="18"/>
        </w:rPr>
        <w:t>8. Conclusion .............................................................. 15</w:t>
      </w:r>
    </w:p>
    <w:p w14:paraId="763202CB" w14:textId="763202CB" w:rsidR="00A26CE7" w:rsidRDefault="00A26CE7" w:rsidP="00A26CE7">
      <w:r>
        <w:rPr>
          <w:sz w:val="18"/>
        </w:rPr>
        <w:t>References ................................................................. 15</w:t>
      </w:r>
    </w:p>
    <w:p w14:paraId="1B01D0AF" w14:textId="433B607F" w:rsidR="00A26CE7" w:rsidRDefault="00A26CE7" w:rsidP="00A26CE7">
      <w:pPr>
        <w:pStyle w:val="Heading1"/>
      </w:pPr>
      <w:r>
        <w:t>Motivation</w:t>
      </w:r>
    </w:p>
    <w:p w14:paraId="2FAF9B3F" w14:textId="3A3C33A4" w:rsidR="00A26CE7" w:rsidRDefault="00A26CE7" w:rsidP="00A26CE7">
      <w:pPr>
        <w:pStyle w:val="Heading2"/>
      </w:pPr>
      <w:r>
        <w:t>The Structural Gap in Embodied AI Perception</w:t>
      </w:r>
    </w:p>
    <w:p w14:paraId="7EE39946" w14:textId="77777777" w:rsidR="00A26CE7" w:rsidRDefault="00A26CE7" w:rsidP="00A26CE7">
      <w:r>
        <w:t>Embodied AI systems are increasingly required to operate in open, dynamic environments where multimodal perception — integrating vision, audio, spatial, biometric, and behavioral signals — is fundamental. However, current approaches to multimodal AI processing share a critical structural weakness: signals from different modalities are merged into unified vector spaces or flat data pipelines before any structural meaning is established. This approach introduces three structural problems:</w:t>
      </w:r>
    </w:p>
    <w:p w14:paraId="7C7C0704" w14:textId="77777777" w:rsidR="00A26CE7" w:rsidRDefault="00A26CE7" w:rsidP="00A26CE7">
      <w:r>
        <w:rPr>
          <w:b/>
        </w:rPr>
        <w:t xml:space="preserve">Loss of channel independence: </w:t>
      </w:r>
      <w:r>
        <w:t>When modalities are merged early, the distinct semantic properties of each channel are collapsed into a shared representation, losing traceability.</w:t>
      </w:r>
    </w:p>
    <w:p w14:paraId="3D261692" w14:textId="77777777" w:rsidR="00A26CE7" w:rsidRDefault="00A26CE7" w:rsidP="00A26CE7">
      <w:r>
        <w:rPr>
          <w:b/>
        </w:rPr>
        <w:t xml:space="preserve">Absence of intent-centric organization: </w:t>
      </w:r>
      <w:r>
        <w:t>Current systems organize perception around data content, not around the purpose or intent of the embodied agent, limiting adaptive behavior in human-AI co-presence scenarios.</w:t>
      </w:r>
    </w:p>
    <w:p w14:paraId="793CAB17" w14:textId="77777777" w:rsidR="00A26CE7" w:rsidRDefault="00A26CE7" w:rsidP="00A26CE7">
      <w:r>
        <w:rPr>
          <w:b/>
        </w:rPr>
        <w:t xml:space="preserve">Weak explainability: </w:t>
      </w:r>
      <w:r>
        <w:t>Without structural decomposition, it is not possible to determine which modality contributed to a given AI decision, making EAI systems opaque in safety-critical multimedia applications.</w:t>
      </w:r>
    </w:p>
    <w:p w14:paraId="277C7935" w14:textId="1ABC8691" w:rsidR="00A26CE7" w:rsidRDefault="00A26CE7" w:rsidP="00A26CE7">
      <w:pPr>
        <w:pStyle w:val="Heading2"/>
      </w:pPr>
      <w:r>
        <w:lastRenderedPageBreak/>
        <w:t>Alignment with FG-EAI Objectives</w:t>
      </w:r>
    </w:p>
    <w:p w14:paraId="6D42B6CD" w14:textId="77777777" w:rsidR="00A26CE7" w:rsidRDefault="00A26CE7" w:rsidP="00A26CE7">
      <w:r>
        <w:t>FG-EAI seeks to define standards for multimodal frameworks, spatio-temporal synchronization, and human-AI collaboration in embodied multimedia contexts. The Velsanet Cognition Cube System directly addresses these objectives by providing a structural cognition pipeline that operates before model-level reasoning — ensuring that multimodal signals are organized, preserved, and made traceable from the point of sensing to the point of action.</w:t>
      </w:r>
    </w:p>
    <w:p w14:paraId="336BBA6E" w14:textId="0E3391BA" w:rsidR="00A26CE7" w:rsidRDefault="00A26CE7" w:rsidP="00A26CE7">
      <w:pPr>
        <w:pStyle w:val="Heading2"/>
      </w:pPr>
      <w:r>
        <w:t>Standardization Landscape and Gap Analysis</w:t>
      </w:r>
    </w:p>
    <w:p w14:paraId="46DBCD6D" w14:textId="77777777" w:rsidR="00A26CE7" w:rsidRDefault="00A26CE7" w:rsidP="00A26CE7">
      <w:r>
        <w:t>To justify the need for Work Items F and G, this section surveys existing standardization activities across major international bodies and identifies structural gaps that the proposed Cognition Cube System is uniquely positioned to address.</w:t>
      </w:r>
    </w:p>
    <w:tbl>
      <w:tblPr>
        <w:tblW w:w="9923" w:type="dxa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1800"/>
        <w:gridCol w:w="2000"/>
        <w:gridCol w:w="2000"/>
        <w:gridCol w:w="4123"/>
      </w:tblGrid>
      <w:tr w:rsidR="00A26CE7" w14:paraId="712C849C" w14:textId="77777777" w:rsidTr="008C0825">
        <w:tc>
          <w:tcPr>
            <w:tcW w:w="1800" w:type="dxa"/>
            <w:shd w:val="clear" w:color="auto" w:fill="1E3A6E"/>
          </w:tcPr>
          <w:p w14:paraId="7964A2AA" w14:textId="77777777" w:rsidR="00A26CE7" w:rsidRDefault="00A26CE7" w:rsidP="008C0825">
            <w:r>
              <w:rPr>
                <w:b/>
                <w:color w:val="FFFFFF"/>
                <w:sz w:val="18"/>
              </w:rPr>
              <w:t>Organization / Standard</w:t>
            </w:r>
          </w:p>
        </w:tc>
        <w:tc>
          <w:tcPr>
            <w:tcW w:w="2000" w:type="dxa"/>
            <w:shd w:val="clear" w:color="auto" w:fill="1E3A6E"/>
          </w:tcPr>
          <w:p w14:paraId="24C14C52" w14:textId="77777777" w:rsidR="00A26CE7" w:rsidRDefault="00A26CE7" w:rsidP="008C0825">
            <w:r>
              <w:rPr>
                <w:b/>
                <w:color w:val="FFFFFF"/>
                <w:sz w:val="18"/>
              </w:rPr>
              <w:t>Scope of Coverage</w:t>
            </w:r>
          </w:p>
        </w:tc>
        <w:tc>
          <w:tcPr>
            <w:tcW w:w="2000" w:type="dxa"/>
            <w:shd w:val="clear" w:color="auto" w:fill="1E3A6E"/>
          </w:tcPr>
          <w:p w14:paraId="2699A34F" w14:textId="77777777" w:rsidR="00A26CE7" w:rsidRDefault="00A26CE7" w:rsidP="008C0825">
            <w:r>
              <w:rPr>
                <w:b/>
                <w:color w:val="FFFFFF"/>
                <w:sz w:val="18"/>
              </w:rPr>
              <w:t>Multimodal Structure</w:t>
            </w:r>
          </w:p>
        </w:tc>
        <w:tc>
          <w:tcPr>
            <w:tcW w:w="4123" w:type="dxa"/>
            <w:shd w:val="clear" w:color="auto" w:fill="1E3A6E"/>
          </w:tcPr>
          <w:p w14:paraId="6F1AC60B" w14:textId="77777777" w:rsidR="00A26CE7" w:rsidRDefault="00A26CE7" w:rsidP="008C0825">
            <w:r>
              <w:rPr>
                <w:b/>
                <w:color w:val="FFFFFF"/>
                <w:sz w:val="18"/>
              </w:rPr>
              <w:t>Gap vs. Cognition Cube</w:t>
            </w:r>
          </w:p>
        </w:tc>
      </w:tr>
      <w:tr w:rsidR="00A26CE7" w14:paraId="44F76740" w14:textId="77777777" w:rsidTr="008C0825">
        <w:tc>
          <w:tcPr>
            <w:tcW w:w="1800" w:type="dxa"/>
          </w:tcPr>
          <w:p w14:paraId="53E8552C" w14:textId="77777777" w:rsidR="00A26CE7" w:rsidRPr="00E902A9" w:rsidRDefault="00A26CE7" w:rsidP="008C0825">
            <w:pPr>
              <w:rPr>
                <w:lang w:val="it-IT"/>
              </w:rPr>
            </w:pPr>
            <w:r>
              <w:rPr>
                <w:sz w:val="18"/>
                <w:lang w:val="it-IT"/>
              </w:rPr>
              <w:t>3GPP Rel-19 (AI/ML in RAN)</w:t>
            </w:r>
          </w:p>
        </w:tc>
        <w:tc>
          <w:tcPr>
            <w:tcW w:w="2000" w:type="dxa"/>
          </w:tcPr>
          <w:p w14:paraId="1318669C" w14:textId="77777777" w:rsidR="00A26CE7" w:rsidRDefault="00A26CE7" w:rsidP="008C0825">
            <w:r>
              <w:rPr>
                <w:sz w:val="18"/>
              </w:rPr>
              <w:t>AI-based radio channel estimation &amp; interference management</w:t>
            </w:r>
          </w:p>
        </w:tc>
        <w:tc>
          <w:tcPr>
            <w:tcW w:w="2000" w:type="dxa"/>
          </w:tcPr>
          <w:p w14:paraId="2A25182F" w14:textId="77777777" w:rsidR="00A26CE7" w:rsidRDefault="00A26CE7" w:rsidP="008C0825">
            <w:r>
              <w:rPr>
                <w:sz w:val="18"/>
              </w:rPr>
              <w:t>Single-modal (radio signal only)</w:t>
            </w:r>
          </w:p>
        </w:tc>
        <w:tc>
          <w:tcPr>
            <w:tcW w:w="4123" w:type="dxa"/>
          </w:tcPr>
          <w:p w14:paraId="6C1D8EAD" w14:textId="77777777" w:rsidR="00A26CE7" w:rsidRDefault="00A26CE7" w:rsidP="008C0825">
            <w:r>
              <w:rPr>
                <w:sz w:val="18"/>
              </w:rPr>
              <w:t>No channel-independent multimodal decomposition; no intent/emotion axes; no SEU primitive</w:t>
            </w:r>
          </w:p>
        </w:tc>
      </w:tr>
      <w:tr w:rsidR="00A26CE7" w14:paraId="6E63BD9E" w14:textId="77777777" w:rsidTr="008C0825">
        <w:tc>
          <w:tcPr>
            <w:tcW w:w="1800" w:type="dxa"/>
            <w:shd w:val="clear" w:color="auto" w:fill="F0F4FA"/>
          </w:tcPr>
          <w:p w14:paraId="6240EB5F" w14:textId="77777777" w:rsidR="00A26CE7" w:rsidRDefault="00A26CE7" w:rsidP="008C0825">
            <w:r>
              <w:rPr>
                <w:sz w:val="18"/>
              </w:rPr>
              <w:t>ETSI ENI GS ENI 005</w:t>
            </w:r>
          </w:p>
        </w:tc>
        <w:tc>
          <w:tcPr>
            <w:tcW w:w="2000" w:type="dxa"/>
            <w:shd w:val="clear" w:color="auto" w:fill="F0F4FA"/>
          </w:tcPr>
          <w:p w14:paraId="6F9295A4" w14:textId="77777777" w:rsidR="00A26CE7" w:rsidRDefault="00A26CE7" w:rsidP="008C0825">
            <w:r>
              <w:rPr>
                <w:sz w:val="18"/>
              </w:rPr>
              <w:t>Closed-loop AI for network management via context policies</w:t>
            </w:r>
          </w:p>
        </w:tc>
        <w:tc>
          <w:tcPr>
            <w:tcW w:w="2000" w:type="dxa"/>
            <w:shd w:val="clear" w:color="auto" w:fill="F0F4FA"/>
          </w:tcPr>
          <w:p w14:paraId="6583B7A0" w14:textId="77777777" w:rsidR="00A26CE7" w:rsidRDefault="00A26CE7" w:rsidP="008C0825">
            <w:r>
              <w:rPr>
                <w:sz w:val="18"/>
              </w:rPr>
              <w:t>System-level, not signal-level</w:t>
            </w:r>
          </w:p>
        </w:tc>
        <w:tc>
          <w:tcPr>
            <w:tcW w:w="4123" w:type="dxa"/>
            <w:shd w:val="clear" w:color="auto" w:fill="F0F4FA"/>
          </w:tcPr>
          <w:p w14:paraId="0928697E" w14:textId="77777777" w:rsidR="00A26CE7" w:rsidRDefault="00A26CE7" w:rsidP="008C0825">
            <w:r>
              <w:rPr>
                <w:sz w:val="18"/>
              </w:rPr>
              <w:t>No structural cognition layer; no spatio-temporal signal sync; no raw/semantic memory separation</w:t>
            </w:r>
          </w:p>
        </w:tc>
      </w:tr>
      <w:tr w:rsidR="00A26CE7" w14:paraId="613C7552" w14:textId="77777777" w:rsidTr="008C0825">
        <w:tc>
          <w:tcPr>
            <w:tcW w:w="1800" w:type="dxa"/>
          </w:tcPr>
          <w:p w14:paraId="036E551B" w14:textId="77777777" w:rsidR="00A26CE7" w:rsidRDefault="00A26CE7" w:rsidP="008C0825">
            <w:r>
              <w:rPr>
                <w:sz w:val="18"/>
              </w:rPr>
              <w:t>IEEE 2830-2021</w:t>
            </w:r>
          </w:p>
        </w:tc>
        <w:tc>
          <w:tcPr>
            <w:tcW w:w="2000" w:type="dxa"/>
          </w:tcPr>
          <w:p w14:paraId="3AC3A647" w14:textId="77777777" w:rsidR="00A26CE7" w:rsidRDefault="00A26CE7" w:rsidP="008C0825">
            <w:r>
              <w:rPr>
                <w:sz w:val="18"/>
              </w:rPr>
              <w:t>Standardized data formats for collaborative ML training</w:t>
            </w:r>
          </w:p>
        </w:tc>
        <w:tc>
          <w:tcPr>
            <w:tcW w:w="2000" w:type="dxa"/>
          </w:tcPr>
          <w:p w14:paraId="7ECED7D7" w14:textId="77777777" w:rsidR="00A26CE7" w:rsidRDefault="00A26CE7" w:rsidP="008C0825">
            <w:r>
              <w:rPr>
                <w:sz w:val="18"/>
              </w:rPr>
              <w:t>Data format only</w:t>
            </w:r>
          </w:p>
        </w:tc>
        <w:tc>
          <w:tcPr>
            <w:tcW w:w="4123" w:type="dxa"/>
          </w:tcPr>
          <w:p w14:paraId="603B6271" w14:textId="77777777" w:rsidR="00A26CE7" w:rsidRDefault="00A26CE7" w:rsidP="008C0825">
            <w:r>
              <w:rPr>
                <w:sz w:val="18"/>
              </w:rPr>
              <w:t>Does not address real-time multimodal decomposition or EAI perception frameworks</w:t>
            </w:r>
          </w:p>
        </w:tc>
      </w:tr>
      <w:tr w:rsidR="00A26CE7" w14:paraId="6824FCCE" w14:textId="77777777" w:rsidTr="008C0825">
        <w:tc>
          <w:tcPr>
            <w:tcW w:w="1800" w:type="dxa"/>
            <w:shd w:val="clear" w:color="auto" w:fill="F0F4FA"/>
          </w:tcPr>
          <w:p w14:paraId="676DB6AF" w14:textId="77777777" w:rsidR="00A26CE7" w:rsidRDefault="00A26CE7" w:rsidP="008C0825">
            <w:r>
              <w:rPr>
                <w:sz w:val="18"/>
              </w:rPr>
              <w:t>ITU-T Y.3172</w:t>
            </w:r>
          </w:p>
        </w:tc>
        <w:tc>
          <w:tcPr>
            <w:tcW w:w="2000" w:type="dxa"/>
            <w:shd w:val="clear" w:color="auto" w:fill="F0F4FA"/>
          </w:tcPr>
          <w:p w14:paraId="770646FD" w14:textId="77777777" w:rsidR="00A26CE7" w:rsidRDefault="00A26CE7" w:rsidP="008C0825">
            <w:r>
              <w:rPr>
                <w:sz w:val="18"/>
              </w:rPr>
              <w:t>End-to-end ML pipeline for network automation</w:t>
            </w:r>
          </w:p>
        </w:tc>
        <w:tc>
          <w:tcPr>
            <w:tcW w:w="2000" w:type="dxa"/>
            <w:shd w:val="clear" w:color="auto" w:fill="F0F4FA"/>
          </w:tcPr>
          <w:p w14:paraId="46DE5BEF" w14:textId="77777777" w:rsidR="00A26CE7" w:rsidRDefault="00A26CE7" w:rsidP="008C0825">
            <w:r>
              <w:rPr>
                <w:sz w:val="18"/>
              </w:rPr>
              <w:t>Single-purpose inference pipeline</w:t>
            </w:r>
          </w:p>
        </w:tc>
        <w:tc>
          <w:tcPr>
            <w:tcW w:w="4123" w:type="dxa"/>
            <w:shd w:val="clear" w:color="auto" w:fill="F0F4FA"/>
          </w:tcPr>
          <w:p w14:paraId="5B79BBC3" w14:textId="77777777" w:rsidR="00A26CE7" w:rsidRDefault="00A26CE7" w:rsidP="008C0825">
            <w:r>
              <w:rPr>
                <w:sz w:val="18"/>
              </w:rPr>
              <w:t>No structural multi-channel decomposition; AI is an overlay, not network-native cognition</w:t>
            </w:r>
          </w:p>
        </w:tc>
      </w:tr>
      <w:tr w:rsidR="00A26CE7" w14:paraId="65274E52" w14:textId="77777777" w:rsidTr="008C0825">
        <w:tc>
          <w:tcPr>
            <w:tcW w:w="1800" w:type="dxa"/>
          </w:tcPr>
          <w:p w14:paraId="6E036A49" w14:textId="77777777" w:rsidR="00A26CE7" w:rsidRDefault="00A26CE7" w:rsidP="008C0825">
            <w:r>
              <w:rPr>
                <w:sz w:val="18"/>
              </w:rPr>
              <w:t>ISO/IEC JTC1 SC42</w:t>
            </w:r>
          </w:p>
        </w:tc>
        <w:tc>
          <w:tcPr>
            <w:tcW w:w="2000" w:type="dxa"/>
          </w:tcPr>
          <w:p w14:paraId="1411719A" w14:textId="77777777" w:rsidR="00A26CE7" w:rsidRDefault="00A26CE7" w:rsidP="008C0825">
            <w:r>
              <w:rPr>
                <w:sz w:val="18"/>
              </w:rPr>
              <w:t>AI trustworthiness, bias, and governance</w:t>
            </w:r>
          </w:p>
        </w:tc>
        <w:tc>
          <w:tcPr>
            <w:tcW w:w="2000" w:type="dxa"/>
          </w:tcPr>
          <w:p w14:paraId="7C3FD6D1" w14:textId="77777777" w:rsidR="00A26CE7" w:rsidRDefault="00A26CE7" w:rsidP="008C0825">
            <w:r>
              <w:rPr>
                <w:sz w:val="18"/>
              </w:rPr>
              <w:t>AI system level only</w:t>
            </w:r>
          </w:p>
        </w:tc>
        <w:tc>
          <w:tcPr>
            <w:tcW w:w="4123" w:type="dxa"/>
          </w:tcPr>
          <w:p w14:paraId="382100C5" w14:textId="77777777" w:rsidR="00A26CE7" w:rsidRDefault="00A26CE7" w:rsidP="008C0825">
            <w:r>
              <w:rPr>
                <w:sz w:val="18"/>
              </w:rPr>
              <w:t>No signal-level structural primitives; no EAI-specific multimodal perception framework</w:t>
            </w:r>
          </w:p>
        </w:tc>
      </w:tr>
      <w:tr w:rsidR="00A26CE7" w14:paraId="327C119E" w14:textId="77777777" w:rsidTr="008C0825">
        <w:tc>
          <w:tcPr>
            <w:tcW w:w="1800" w:type="dxa"/>
            <w:shd w:val="clear" w:color="auto" w:fill="D6E4F5"/>
          </w:tcPr>
          <w:p w14:paraId="2FF487F1" w14:textId="77777777" w:rsidR="00A26CE7" w:rsidRDefault="00A26CE7" w:rsidP="008C0825">
            <w:r>
              <w:rPr>
                <w:b/>
                <w:sz w:val="18"/>
              </w:rPr>
              <w:t>THIS CONTRIBUTION (Velsanet Cognition Cube)</w:t>
            </w:r>
          </w:p>
        </w:tc>
        <w:tc>
          <w:tcPr>
            <w:tcW w:w="2000" w:type="dxa"/>
            <w:shd w:val="clear" w:color="auto" w:fill="D6E4F5"/>
          </w:tcPr>
          <w:p w14:paraId="530FEE75" w14:textId="77777777" w:rsidR="00A26CE7" w:rsidRDefault="00A26CE7" w:rsidP="008C0825">
            <w:r>
              <w:rPr>
                <w:b/>
                <w:sz w:val="18"/>
              </w:rPr>
              <w:t>Structural signal decomposition + four-axis cognitive synthesis for EAI</w:t>
            </w:r>
          </w:p>
        </w:tc>
        <w:tc>
          <w:tcPr>
            <w:tcW w:w="2000" w:type="dxa"/>
            <w:shd w:val="clear" w:color="auto" w:fill="D6E4F5"/>
          </w:tcPr>
          <w:p w14:paraId="253BEA67" w14:textId="77777777" w:rsidR="00A26CE7" w:rsidRDefault="00A26CE7" w:rsidP="008C0825">
            <w:r>
              <w:rPr>
                <w:b/>
                <w:sz w:val="18"/>
              </w:rPr>
              <w:t>8-channel independent decomposition + T/C/I/E axes</w:t>
            </w:r>
          </w:p>
        </w:tc>
        <w:tc>
          <w:tcPr>
            <w:tcW w:w="4123" w:type="dxa"/>
            <w:shd w:val="clear" w:color="auto" w:fill="D6E4F5"/>
          </w:tcPr>
          <w:p w14:paraId="069C3A7A" w14:textId="77777777" w:rsidR="00A26CE7" w:rsidRDefault="00A26CE7" w:rsidP="008C0825">
            <w:r>
              <w:rPr>
                <w:b/>
                <w:sz w:val="18"/>
              </w:rPr>
              <w:t>Addresses all identified gaps: SEU primitive, channel independence, intent-centric cognition, dual-layer memory</w:t>
            </w:r>
          </w:p>
        </w:tc>
      </w:tr>
    </w:tbl>
    <w:p w14:paraId="5CBCB62F" w14:textId="77777777" w:rsidR="00A26CE7" w:rsidRDefault="00A26CE7" w:rsidP="00A26CE7">
      <w:r>
        <w:t xml:space="preserve">Key observations: </w:t>
      </w:r>
    </w:p>
    <w:p w14:paraId="4EA61678" w14:textId="77777777" w:rsidR="00A26CE7" w:rsidRDefault="00A26CE7" w:rsidP="00A26CE7">
      <w:r>
        <w:t xml:space="preserve">(1) No existing standard defines a signal-level SEU primitive for EAI multimodal perception. </w:t>
      </w:r>
    </w:p>
    <w:p w14:paraId="54B8DAED" w14:textId="77777777" w:rsidR="00A26CE7" w:rsidRDefault="00A26CE7" w:rsidP="00A26CE7">
      <w:r>
        <w:t xml:space="preserve">(2) No existing standard specifies channel-independent decomposition with preserved traceability. (3) Intent-centric (I-axis) and emotion-aware (E-axis) cognition axes are absent from all surveyed frameworks. </w:t>
      </w:r>
    </w:p>
    <w:p w14:paraId="52B38E10" w14:textId="77777777" w:rsidR="00A26CE7" w:rsidRDefault="00A26CE7" w:rsidP="00A26CE7">
      <w:r>
        <w:t>(4) The dual-layer memory architecture is not addressed by any current ITU, ETSI, 3GPP, or IEEE standard. These gaps confirm that Work Items F and G address unmet standardization needs not duplicated by any ongoing work item.</w:t>
      </w:r>
    </w:p>
    <w:p w14:paraId="4D5DDF10" w14:textId="4D5DDF10" w:rsidR="00A26CE7" w:rsidRDefault="00A26CE7" w:rsidP="00A26CE7">
      <w:r>
        <w:t xml:space="preserve">[R2 addition] The same landscape review extends to Work Items H and I, introduced in R1. No surveyed standard (3GPP Rel-19, ETSI GS ENI 005, IEEE 2830-2021, ITU-T Y.3172, ISO/IEC JTC1/SC42) specifies a physically isolated dual-plane (perception/control) E2E architecture with a safety-override channel that executes independently of perceptual availability — the gap addressed by Work Item H. Nor does any surveyed standard define a structural interface for real-time human cognitive projection into an AI system’s perception pipeline, or a mechanism for progressive autonomy driven by accumulated human-expert context — the gap addressed by Work Item I. These two gaps are structurally connected to, but distinct from, the Work Item F/G gaps above: Work Item H extends the Work Item F channel model into a control plane, and Work Item I extends the Work Item F perception interface to accept projected human cognition, as detailed in the corresponding Work Item sections below.</w:t>
      </w:r>
    </w:p>
    <w:p w14:paraId="4D5DDF18" w14:textId="36055477" w:rsidR="00A26CE7" w:rsidRDefault="00A26CE7" w:rsidP="00A26CE7">
      <w:pPr>
        <w:pStyle w:val="Heading1"/>
      </w:pPr>
      <w:r>
        <w:t>The Velsanet Cognition Cube System</w:t>
      </w:r>
    </w:p>
    <w:p w14:paraId="2544690C" w14:textId="11CB824E" w:rsidR="00A26CE7" w:rsidRDefault="00A26CE7" w:rsidP="00A26CE7">
      <w:pPr>
        <w:pStyle w:val="Heading2"/>
      </w:pPr>
      <w:r>
        <w:t>Signal Experience Unit (SEU)</w:t>
      </w:r>
    </w:p>
    <w:p w14:paraId="4C7EB638" w14:textId="77777777" w:rsidR="00A26CE7" w:rsidRDefault="00A26CE7" w:rsidP="00A26CE7">
      <w:r>
        <w:t xml:space="preserve">Every real-world event perceived by an EAI system is first encapsulated as a Signal Experience Unit (SEU) — a time-bounded cluster of multimodal signals representing a single meaningful experience, typically spanning 0.8 to 1.5 seconds. The SEU serves three structural functions: </w:t>
      </w:r>
    </w:p>
    <w:p w14:paraId="34215969" w14:textId="77777777" w:rsidR="00A26CE7" w:rsidRDefault="00A26CE7" w:rsidP="00A26CE7">
      <w:r>
        <w:t xml:space="preserve">(1) </w:t>
      </w:r>
      <w:r>
        <w:rPr>
          <w:b/>
        </w:rPr>
        <w:t>Temporal anchoring</w:t>
      </w:r>
      <w:r>
        <w:t xml:space="preserve"> — all signals within an SEU share a unified timestamp enabling causal synchronization; </w:t>
      </w:r>
    </w:p>
    <w:p w14:paraId="7E6FED87" w14:textId="77777777" w:rsidR="00A26CE7" w:rsidRDefault="00A26CE7" w:rsidP="00A26CE7">
      <w:r>
        <w:lastRenderedPageBreak/>
        <w:t xml:space="preserve">(2) </w:t>
      </w:r>
      <w:r>
        <w:rPr>
          <w:b/>
        </w:rPr>
        <w:t>Experiential boundary</w:t>
      </w:r>
      <w:r>
        <w:t xml:space="preserve"> — the SEU defines the scope of a single cognitive event; </w:t>
      </w:r>
    </w:p>
    <w:p w14:paraId="26F852D3" w14:textId="77777777" w:rsidR="00A26CE7" w:rsidRDefault="00A26CE7" w:rsidP="00A26CE7">
      <w:r>
        <w:t xml:space="preserve">(3) </w:t>
      </w:r>
      <w:r>
        <w:rPr>
          <w:b/>
        </w:rPr>
        <w:t>Traceability origin</w:t>
      </w:r>
      <w:r>
        <w:t xml:space="preserve"> — each SEU carries a unique identifier that propagates through the entire cognition pipeline, enabling end-to-end evidence tracking.</w:t>
      </w:r>
    </w:p>
    <w:p w14:paraId="1F8E2905" w14:textId="79169671" w:rsidR="00A26CE7" w:rsidRDefault="00A26CE7" w:rsidP="00A26CE7">
      <w:pPr>
        <w:pStyle w:val="Heading2"/>
      </w:pPr>
      <w:r>
        <w:t>Eight-Channel Multimodal Decomposition</w:t>
      </w:r>
    </w:p>
    <w:p w14:paraId="2BC8596B" w14:textId="77777777" w:rsidR="00A26CE7" w:rsidRDefault="00A26CE7" w:rsidP="00A26CE7">
      <w:r>
        <w:t xml:space="preserve">Each SEU is decomposed into eight independent semantic channels: </w:t>
      </w:r>
    </w:p>
    <w:p w14:paraId="401B24FA" w14:textId="77777777" w:rsidR="00A26CE7" w:rsidRDefault="00A26CE7" w:rsidP="00A26CE7">
      <w:r>
        <w:t xml:space="preserve">CH1 — Video Frames (RGB/Depth/Semantic); </w:t>
      </w:r>
    </w:p>
    <w:p w14:paraId="6C66731E" w14:textId="77777777" w:rsidR="00A26CE7" w:rsidRDefault="00A26CE7" w:rsidP="00A26CE7">
      <w:r>
        <w:t xml:space="preserve">CH2 — Audio Stream (speech, ambient sound); </w:t>
      </w:r>
    </w:p>
    <w:p w14:paraId="315B401C" w14:textId="77777777" w:rsidR="00A26CE7" w:rsidRDefault="00A26CE7" w:rsidP="00A26CE7">
      <w:r>
        <w:t xml:space="preserve">CH3 — Spatial-Temporal Data (location, trajectory, timestamp); </w:t>
      </w:r>
    </w:p>
    <w:p w14:paraId="14B72F8B" w14:textId="77777777" w:rsidR="00A26CE7" w:rsidRDefault="00A26CE7" w:rsidP="00A26CE7">
      <w:r>
        <w:t xml:space="preserve">CH4 — Biometric Signals (heart rate, gesture, micro-expressions); </w:t>
      </w:r>
    </w:p>
    <w:p w14:paraId="52A791E8" w14:textId="77777777" w:rsidR="00A26CE7" w:rsidRDefault="00A26CE7" w:rsidP="00A26CE7">
      <w:r>
        <w:t xml:space="preserve">CH5 — Text and Linguistic Metadata; </w:t>
      </w:r>
    </w:p>
    <w:p w14:paraId="019543C8" w14:textId="77777777" w:rsidR="00A26CE7" w:rsidRDefault="00A26CE7" w:rsidP="00A26CE7">
      <w:r>
        <w:t xml:space="preserve">CH6 — Activity and Motion Patterns; </w:t>
      </w:r>
    </w:p>
    <w:p w14:paraId="5656029B" w14:textId="77777777" w:rsidR="00A26CE7" w:rsidRDefault="00A26CE7" w:rsidP="00A26CE7">
      <w:r>
        <w:t xml:space="preserve">CH7 — Device Interaction Signals; </w:t>
      </w:r>
    </w:p>
    <w:p w14:paraId="3CAEE1EE" w14:textId="77777777" w:rsidR="00A26CE7" w:rsidRDefault="00A26CE7" w:rsidP="00A26CE7">
      <w:r>
        <w:t>CH8 — Environmental Attributes (temperature, light, proximity).</w:t>
      </w:r>
    </w:p>
    <w:p w14:paraId="1C1E42CD" w14:textId="77777777" w:rsidR="00A26CE7" w:rsidRDefault="00A26CE7" w:rsidP="00A26CE7">
      <w:r>
        <w:t xml:space="preserve"> Each channel is stored independently with its native resolution and temporal fidelity preserved. No semantic interpretation is applied at this stage — data remains raw, original, and reversible, ensuring channel independence as a structural invariant throughout the cognition process.</w:t>
      </w:r>
    </w:p>
    <w:p w14:paraId="4FF5760F" w14:textId="795D879A" w:rsidR="00A26CE7" w:rsidRDefault="00A26CE7" w:rsidP="00A26CE7">
      <w:pPr>
        <w:pStyle w:val="Heading2"/>
      </w:pPr>
      <w:r>
        <w:t>Meta Abstraction Layer</w:t>
      </w:r>
    </w:p>
    <w:p w14:paraId="16BEF126" w14:textId="77777777" w:rsidR="00A26CE7" w:rsidRDefault="00A26CE7" w:rsidP="00A26CE7">
      <w:r>
        <w:t xml:space="preserve">Each channel produces a structured meta representation consisting of three components: </w:t>
      </w:r>
    </w:p>
    <w:p w14:paraId="3635EE29" w14:textId="77777777" w:rsidR="00A26CE7" w:rsidRDefault="00A26CE7" w:rsidP="00A26CE7">
      <w:r>
        <w:t xml:space="preserve">(1) </w:t>
      </w:r>
      <w:r>
        <w:rPr>
          <w:b/>
        </w:rPr>
        <w:t>Semantic summary</w:t>
      </w:r>
      <w:r>
        <w:t xml:space="preserve"> — a compact, channel-specific description of the signal content; </w:t>
      </w:r>
    </w:p>
    <w:p w14:paraId="4DFE6CF1" w14:textId="77777777" w:rsidR="00A26CE7" w:rsidRDefault="00A26CE7" w:rsidP="00A26CE7">
      <w:r>
        <w:t xml:space="preserve">(2) </w:t>
      </w:r>
      <w:r>
        <w:rPr>
          <w:b/>
        </w:rPr>
        <w:t>Confidence level</w:t>
      </w:r>
      <w:r>
        <w:t xml:space="preserve"> — a quantitative measure of signal reliability and extraction quality; </w:t>
      </w:r>
    </w:p>
    <w:p w14:paraId="34A62F6B" w14:textId="77777777" w:rsidR="00A26CE7" w:rsidRDefault="00A26CE7" w:rsidP="00A26CE7">
      <w:r>
        <w:t xml:space="preserve">(3) </w:t>
      </w:r>
      <w:r>
        <w:rPr>
          <w:b/>
        </w:rPr>
        <w:t>Evidence reference</w:t>
      </w:r>
      <w:r>
        <w:t xml:space="preserve"> — a pointer back to the originating raw channel data, preserving full traceability. </w:t>
      </w:r>
    </w:p>
    <w:p w14:paraId="6675FBDA" w14:textId="77777777" w:rsidR="00A26CE7" w:rsidRDefault="00A26CE7" w:rsidP="00A26CE7">
      <w:r>
        <w:t>The Meta Abstraction Layer transforms raw signals into structured meaning without collapsing channel independence, enabling downstream Cognition Cube synthesis to maintain full evidence chains for every cognitive output.</w:t>
      </w:r>
    </w:p>
    <w:p w14:paraId="574BCE2F" w14:textId="6FF603E9" w:rsidR="00A26CE7" w:rsidRDefault="00A26CE7" w:rsidP="00A26CE7">
      <w:pPr>
        <w:pStyle w:val="Heading2"/>
      </w:pPr>
      <w:r>
        <w:t>Cognition Cube Synthesis</w:t>
      </w:r>
    </w:p>
    <w:p w14:paraId="1231C1CF" w14:textId="77777777" w:rsidR="00A26CE7" w:rsidRDefault="00A26CE7" w:rsidP="00A26CE7">
      <w:r>
        <w:t xml:space="preserve">Meta outputs from all eight channels are structurally fused into a Cognition Cube along four principal axes: </w:t>
      </w:r>
    </w:p>
    <w:p w14:paraId="19E4E8C9" w14:textId="77777777" w:rsidR="00A26CE7" w:rsidRDefault="00A26CE7" w:rsidP="00A26CE7">
      <w:r>
        <w:rPr>
          <w:b/>
        </w:rPr>
        <w:t>T — Temporal Anchor</w:t>
      </w:r>
      <w:r>
        <w:t xml:space="preserve">: immutable chronological layer preserving all events in exact order, ground truth for causal reasoning and replay; </w:t>
      </w:r>
    </w:p>
    <w:p w14:paraId="7DC31E8A" w14:textId="77777777" w:rsidR="00A26CE7" w:rsidRDefault="00A26CE7" w:rsidP="00A26CE7">
      <w:r>
        <w:rPr>
          <w:b/>
        </w:rPr>
        <w:t>C — Context</w:t>
      </w:r>
      <w:r>
        <w:t xml:space="preserve">: situational understanding including location, objects, environment, and motion; </w:t>
      </w:r>
    </w:p>
    <w:p w14:paraId="417784D3" w14:textId="77777777" w:rsidR="00A26CE7" w:rsidRDefault="00A26CE7" w:rsidP="00A26CE7">
      <w:r>
        <w:rPr>
          <w:b/>
        </w:rPr>
        <w:t>I — Intent</w:t>
      </w:r>
      <w:r>
        <w:t xml:space="preserve">: user motivation, purpose, and meaning extracted from behavior, enabling intent-centric cognition for human-AI collaboration; </w:t>
      </w:r>
    </w:p>
    <w:p w14:paraId="212F73B0" w14:textId="77777777" w:rsidR="00A26CE7" w:rsidRDefault="00A26CE7" w:rsidP="00A26CE7">
      <w:r>
        <w:rPr>
          <w:b/>
        </w:rPr>
        <w:t>E — Emotion</w:t>
      </w:r>
      <w:r>
        <w:t xml:space="preserve">: affective state, importance weighting, and intensity signals, enabling prioritization and emotionally-aware multimedia response. </w:t>
      </w:r>
    </w:p>
    <w:p w14:paraId="3475E308" w14:textId="77777777" w:rsidR="00A26CE7" w:rsidRDefault="00A26CE7" w:rsidP="00A26CE7">
      <w:r>
        <w:t xml:space="preserve">Each axis maintains full traceability to its originating channels. </w:t>
      </w:r>
    </w:p>
    <w:p w14:paraId="2993774F" w14:textId="77777777" w:rsidR="00A26CE7" w:rsidRDefault="00A26CE7" w:rsidP="00A26CE7">
      <w:r>
        <w:t>The Cognition Cube becomes a single structured cognitive object — traceable, explainable, and ready for higher-order processing by Agent AI (AAI) and Assistant AI (AsAI) layers.</w:t>
      </w:r>
    </w:p>
    <w:p w14:paraId="2993774A" w14:textId="2993774A" w:rsidR="00A26CE7" w:rsidRDefault="00A26CE7" w:rsidP="00A26CE7">
      <w:r>
        <w:t xml:space="preserve">[R2 addition] In addition to the four axes (T, C, I, E) specified above for Work Item G, the Cognition Cube maintains a fifth axis, the M-Axis (Meta), referenced by Work Items H and I in this contribution. The M-Axis is a second-order structural accumulator: for each mission or interaction it stores the synthesised T/C/I/E output alongside its outcome, forming a structural record of prior cognition-to-action instances. Work Item H connects the M-Axis to the Control Plane to enable pre-cognitive action as mission experience accumulates; Work Item I uses the M-Axis to accumulate projected human cognitive context for expertise transfer. The M-Axis is defined here for traceability; its detailed specification is not part of the Work Item G scope proposed in this contribution and falls within the WG 4 scope of Work Items H and I.</w:t>
      </w:r>
    </w:p>
    <w:p w14:paraId="1954DD88" w14:textId="26F7ECD1" w:rsidR="00A26CE7" w:rsidRDefault="00A26CE7" w:rsidP="00A26CE7">
      <w:pPr>
        <w:pStyle w:val="Heading2"/>
      </w:pPr>
      <w:r>
        <w:lastRenderedPageBreak/>
        <w:t>Dual-Layer Memory Architecture</w:t>
      </w:r>
    </w:p>
    <w:p w14:paraId="67C356FD" w14:textId="77777777" w:rsidR="00A26CE7" w:rsidRDefault="00A26CE7" w:rsidP="00A26CE7">
      <w:r>
        <w:t xml:space="preserve">The system operates on a two-tier memory model: </w:t>
      </w:r>
    </w:p>
    <w:p w14:paraId="4BED04AC" w14:textId="77777777" w:rsidR="00A26CE7" w:rsidRDefault="00A26CE7" w:rsidP="00A26CE7">
      <w:r>
        <w:t xml:space="preserve">(1) </w:t>
      </w:r>
      <w:r>
        <w:rPr>
          <w:b/>
        </w:rPr>
        <w:t>Raw Memory Layer</w:t>
      </w:r>
      <w:r>
        <w:t xml:space="preserve"> — immutable storage of original multimodal signals, never modified by AI layers, serving as the replay and verification source; </w:t>
      </w:r>
    </w:p>
    <w:p w14:paraId="5ED90F60" w14:textId="77777777" w:rsidR="00A26CE7" w:rsidRDefault="00A26CE7" w:rsidP="00A26CE7">
      <w:r>
        <w:t xml:space="preserve">(2) </w:t>
      </w:r>
      <w:r>
        <w:rPr>
          <w:b/>
        </w:rPr>
        <w:t>Cube Memory Layer</w:t>
      </w:r>
      <w:r>
        <w:t xml:space="preserve"> — multi-dimensional semantic indexing structure used for reasoning, search, contextualization, and self-evolution. </w:t>
      </w:r>
    </w:p>
    <w:p w14:paraId="482FCE5C" w14:textId="77777777" w:rsidR="00A26CE7" w:rsidRDefault="00A26CE7" w:rsidP="00A26CE7">
      <w:r>
        <w:t>This separation ensures EAI systems can simultaneously achieve high-speed cognitive retrieval and perfect fidelity reconstruction, without compromise to either performance or privacy.</w:t>
      </w:r>
    </w:p>
    <w:p w14:paraId="6D0C7C41" w14:textId="3677E2F1" w:rsidR="00A26CE7" w:rsidRDefault="00A26CE7" w:rsidP="00A26CE7">
      <w:pPr>
        <w:pStyle w:val="Heading1"/>
      </w:pPr>
      <w:r>
        <w:t>Relevance to Embodied AI for Multimedia</w:t>
      </w:r>
    </w:p>
    <w:p w14:paraId="1307CBD7" w14:textId="62ED05F5" w:rsidR="00A26CE7" w:rsidRDefault="00A26CE7" w:rsidP="00A26CE7">
      <w:pPr>
        <w:pStyle w:val="Heading2"/>
      </w:pPr>
      <w:r>
        <w:t>Structure-First Cognition</w:t>
      </w:r>
    </w:p>
    <w:p w14:paraId="2D23C542" w14:textId="77777777" w:rsidR="00A26CE7" w:rsidRDefault="00A26CE7" w:rsidP="00A26CE7">
      <w:r>
        <w:t>The central architectural principle of the Velsanet Cognition Cube System is that structure precedes model execution. Rather than feeding raw multimodal signals directly into AI models, the system first establishes a structural cognitive object — the Cognition Cube — through which all model-level reasoning operates. This ensures structural explainability, modality-preserving fusion, and network-native cognition at sub-millisecond response times.</w:t>
      </w:r>
    </w:p>
    <w:p w14:paraId="505339C3" w14:textId="3F168D00" w:rsidR="00A26CE7" w:rsidRDefault="00A26CE7" w:rsidP="00A26CE7">
      <w:pPr>
        <w:pStyle w:val="Heading2"/>
      </w:pPr>
      <w:r>
        <w:t>Application to Human-AI Co-presence</w:t>
      </w:r>
    </w:p>
    <w:p w14:paraId="23DBBDF1" w14:textId="77777777" w:rsidR="00A26CE7" w:rsidRDefault="00A26CE7" w:rsidP="00A26CE7">
      <w:r>
        <w:t>In human-AI co-presence scenarios — smart manufacturing, healthcare, home automation, and collaborative multimedia — the Intent axis (I-axis) directly addresses the need to perceive human intent accurately. By extracting user motivation from behavioral patterns, voice semantics, attention focus, and interaction history, EAI systems become intent-native rather than data-native.</w:t>
      </w:r>
    </w:p>
    <w:p w14:paraId="401280B2" w14:textId="3C81CB0C" w:rsidR="00A26CE7" w:rsidRDefault="00A26CE7" w:rsidP="00A26CE7">
      <w:pPr>
        <w:pStyle w:val="Heading2"/>
      </w:pPr>
      <w:r>
        <w:t>Spatio-Temporal Synchronization</w:t>
      </w:r>
    </w:p>
    <w:p w14:paraId="20E004B5" w14:textId="77777777" w:rsidR="00A26CE7" w:rsidRDefault="00A26CE7" w:rsidP="00A26CE7">
      <w:r>
        <w:t>The Temporal Anchor (T-axis) provides the structural foundation for spatio-temporal synchronization across all modalities. By maintaining an immutable chronological layer with causality linking across channels, the system ensures that cross-modal events are synchronized into coherent time slices — a fundamental requirement for real-time EAI multimedia applications.</w:t>
      </w:r>
    </w:p>
    <w:p>
      <w:pPr>
        <w:pStyle w:val="Heading2"/>
      </w:pPr>
      <w:r>
        <w:t>Cube Interpretation via Structural OLAP Operations (Section 3.4, new in R2)</w:t>
      </w:r>
    </w:p>
    <w:p>
      <w:r>
        <w:t xml:space="preserve">The preceding sections define how the Cognition Cube is constructed. This sub-section defines how it is interpreted. Because the Cognition Cube is, by construction, a multi-axis structure (T / C / I / E, extended by the M-Axis in Work Item H), its interpretation is naturally expressed through the canonical operations of On-Line Analytical Processing (OLAP) over multidimensional data [15]. The key claim is that cognitive interpretation of the cube proceeds by deterministic structural operations over a multi-axis index, not by re-running learned-weight model inference. Each OLAP operation maps directly onto a cognitive operation over the cube:</w:t>
      </w:r>
    </w:p>
    <w:tbl>
      <w:tblPr>
        <w:tblW w:w="9923" w:type="dxa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2000"/>
        <w:gridCol w:w="3461"/>
        <w:gridCol w:w="4462"/>
      </w:tblGrid>
      <w:tr>
        <w:tc>
          <w:tcPr>
            <w:tcW w:w="2000" w:type="dxa"/>
            <w:shd w:val="clear" w:color="auto" w:fill="1E3A6E"/>
          </w:tcPr>
          <w:p>
            <w:r>
              <w:rPr>
                <w:b/>
                <w:color w:val="FFFFFF"/>
                <w:sz w:val="18"/>
              </w:rPr>
              <w:t xml:space="preserve">OLAP operation</w:t>
            </w:r>
          </w:p>
        </w:tc>
        <w:tc>
          <w:tcPr>
            <w:tcW w:w="3461" w:type="dxa"/>
            <w:shd w:val="clear" w:color="auto" w:fill="1E3A6E"/>
          </w:tcPr>
          <w:p>
            <w:r>
              <w:rPr>
                <w:b/>
                <w:color w:val="FFFFFF"/>
                <w:sz w:val="18"/>
              </w:rPr>
              <w:t xml:space="preserve">Multidimensional meaning</w:t>
            </w:r>
          </w:p>
        </w:tc>
        <w:tc>
          <w:tcPr>
            <w:tcW w:w="4462" w:type="dxa"/>
            <w:shd w:val="clear" w:color="auto" w:fill="1E3A6E"/>
          </w:tcPr>
          <w:p>
            <w:r>
              <w:rPr>
                <w:b/>
                <w:color w:val="FFFFFF"/>
                <w:sz w:val="18"/>
              </w:rPr>
              <w:t xml:space="preserve">Cognition Cube cognitive meaning</w:t>
            </w:r>
          </w:p>
        </w:tc>
      </w:tr>
      <w:tr>
        <w:tc>
          <w:tcPr>
            <w:tcW w:w="2000" w:type="dxa"/>
          </w:tcPr>
          <w:p>
            <w:r>
              <w:rPr>
                <w:sz w:val="18"/>
              </w:rPr>
              <w:t xml:space="preserve">Slice</w:t>
            </w:r>
          </w:p>
        </w:tc>
        <w:tc>
          <w:tcPr>
            <w:tcW w:w="3461" w:type="dxa"/>
          </w:tcPr>
          <w:p>
            <w:r>
              <w:rPr>
                <w:sz w:val="18"/>
              </w:rPr>
              <w:t xml:space="preserve">Fix one dimension to extract a sub-cube</w:t>
            </w:r>
          </w:p>
        </w:tc>
        <w:tc>
          <w:tcPr>
            <w:tcW w:w="4462" w:type="dxa"/>
          </w:tcPr>
          <w:p>
            <w:r>
              <w:rPr>
                <w:sz w:val="18"/>
              </w:rPr>
              <w:t xml:space="preserve">Fix the I-axis (intent) to a single value — the perceptual cross-section under one intent context</w:t>
            </w:r>
          </w:p>
        </w:tc>
      </w:tr>
      <w:tr>
        <w:tc>
          <w:tcPr>
            <w:tcW w:w="2000" w:type="dxa"/>
          </w:tcPr>
          <w:p>
            <w:r>
              <w:rPr>
                <w:sz w:val="18"/>
              </w:rPr>
              <w:t xml:space="preserve">Dice</w:t>
            </w:r>
          </w:p>
        </w:tc>
        <w:tc>
          <w:tcPr>
            <w:tcW w:w="3461" w:type="dxa"/>
          </w:tcPr>
          <w:p>
            <w:r>
              <w:rPr>
                <w:sz w:val="18"/>
              </w:rPr>
              <w:t xml:space="preserve">Constrain several dimensions to extract a sub-cube</w:t>
            </w:r>
          </w:p>
        </w:tc>
        <w:tc>
          <w:tcPr>
            <w:tcW w:w="4462" w:type="dxa"/>
          </w:tcPr>
          <w:p>
            <w:r>
              <w:rPr>
                <w:sz w:val="18"/>
              </w:rPr>
              <w:t xml:space="preserve">T-interval x C (specific location) x E (high intensity) — a situation-specific cognition block</w:t>
            </w:r>
          </w:p>
        </w:tc>
      </w:tr>
      <w:tr>
        <w:tc>
          <w:tcPr>
            <w:tcW w:w="2000" w:type="dxa"/>
          </w:tcPr>
          <w:p>
            <w:r>
              <w:rPr>
                <w:sz w:val="18"/>
              </w:rPr>
              <w:t xml:space="preserve">Roll-up</w:t>
            </w:r>
          </w:p>
        </w:tc>
        <w:tc>
          <w:tcPr>
            <w:tcW w:w="3461" w:type="dxa"/>
          </w:tcPr>
          <w:p>
            <w:r>
              <w:rPr>
                <w:sz w:val="18"/>
              </w:rPr>
              <w:t xml:space="preserve">Aggregate a dimension to a higher level</w:t>
            </w:r>
          </w:p>
        </w:tc>
        <w:tc>
          <w:tcPr>
            <w:tcW w:w="4462" w:type="dxa"/>
          </w:tcPr>
          <w:p>
            <w:r>
              <w:rPr>
                <w:sz w:val="18"/>
              </w:rPr>
              <w:t xml:space="preserve">SEU to event to mission: raising the level of cognitive abstraction along the T-axis</w:t>
            </w:r>
          </w:p>
        </w:tc>
      </w:tr>
      <w:tr>
        <w:tc>
          <w:tcPr>
            <w:tcW w:w="2000" w:type="dxa"/>
          </w:tcPr>
          <w:p>
            <w:r>
              <w:rPr>
                <w:sz w:val="18"/>
              </w:rPr>
              <w:t xml:space="preserve">Drill-down</w:t>
            </w:r>
          </w:p>
        </w:tc>
        <w:tc>
          <w:tcPr>
            <w:tcW w:w="3461" w:type="dxa"/>
          </w:tcPr>
          <w:p>
            <w:r>
              <w:rPr>
                <w:sz w:val="18"/>
              </w:rPr>
              <w:t xml:space="preserve">Descend from summary to detail</w:t>
            </w:r>
          </w:p>
        </w:tc>
        <w:tc>
          <w:tcPr>
            <w:tcW w:w="4462" w:type="dxa"/>
          </w:tcPr>
          <w:p>
            <w:r>
              <w:rPr>
                <w:sz w:val="18"/>
              </w:rPr>
              <w:t xml:space="preserve">Mission-level judgement traced back to the contributing channels and SEUs (= structural explainability)</w:t>
            </w:r>
          </w:p>
        </w:tc>
      </w:tr>
      <w:tr>
        <w:tc>
          <w:tcPr>
            <w:tcW w:w="2000" w:type="dxa"/>
          </w:tcPr>
          <w:p>
            <w:r>
              <w:rPr>
                <w:sz w:val="18"/>
              </w:rPr>
              <w:t xml:space="preserve">Pivot</w:t>
            </w:r>
          </w:p>
        </w:tc>
        <w:tc>
          <w:tcPr>
            <w:tcW w:w="3461" w:type="dxa"/>
          </w:tcPr>
          <w:p>
            <w:r>
              <w:rPr>
                <w:sz w:val="18"/>
              </w:rPr>
              <w:t xml:space="preserve">Rotate the axis of analysis</w:t>
            </w:r>
          </w:p>
        </w:tc>
        <w:tc>
          <w:tcPr>
            <w:tcW w:w="4462" w:type="dxa"/>
          </w:tcPr>
          <w:p>
            <w:r>
              <w:rPr>
                <w:sz w:val="18"/>
              </w:rPr>
              <w:t xml:space="preserve">Re-interpret the same cube around the C-axis or the I-axis — a structural change of perspective</w:t>
            </w:r>
          </w:p>
        </w:tc>
      </w:tr>
    </w:tbl>
    <w:p>
      <w:r>
        <w:t xml:space="preserve">Two consequences follow directly, both reinforcing principles already stated in this contribution.</w:t>
      </w:r>
    </w:p>
    <w:p>
      <w:r>
        <w:rPr>
          <w:b/>
        </w:rPr>
        <w:t xml:space="preserve">(a) Explainability is an intrinsic cube operation, not a post-hoc method. </w:t>
      </w:r>
      <w:r>
        <w:t xml:space="preserve">The evidence-reference and traceability requirements of the Meta Abstraction Layer are realised precisely by the drill-down operation: any cognitive output can be decomposed back to the axis values, channels, and SEUs that produced it. Explainability therefore is not an external interpretability technique applied after a black-box decision — it is a structural operation defined over the cube itself.</w:t>
      </w:r>
    </w:p>
    <w:p>
      <w:r>
        <w:rPr>
          <w:b/>
        </w:rPr>
        <w:t xml:space="preserve">(b) Interpretation is structural, not learned-weight inference. </w:t>
      </w:r>
      <w:r>
        <w:t xml:space="preserve">Slice, dice, and roll-up are deterministic operations over a multidimensional index, not forward passes through trained parameters. Consequently, the efficiency of cube interpretation does not derive from large homogeneous batch parallelism. For per-subject, event-driven EAI cognition — where each subject’s cube evolves on its own SEU stream — the workload is index traversal and structural aggregation, not dense batched matrix multiplication. This grounds, at the operational level, the position that EAI cognition is a structural-transformation problem rather than a batch-inference problem.</w:t>
      </w:r>
    </w:p>
    <w:p>
      <w:r>
        <w:rPr>
          <w:b/>
        </w:rPr>
        <w:t xml:space="preserve">Distinction from conventional OLAP. </w:t>
      </w:r>
      <w:r>
        <w:t xml:space="preserve">This is not a re-use of data-warehouse OLAP as-is. Three differences are essential. First, the axes are semantic (Intent, Emotion), not numeric measures; roll-up and drill-down therefore operate as semantic abstraction, not arithmetic aggregation (SUM / COUNT). Second, the cube is built and queried over a real-time SEU stream, not a static historical warehouse. Third, the result of an operation is a cognitive object consumed by downstream AAI / AsAI reasoning, not a reporting figure for human inspection. OLAP supplies the structural vocabulary; the Cognition Cube supplies the semantic, real-time, cognition-native content.</w:t>
      </w:r>
    </w:p>
    <w:p>
      <w:r>
        <w:t xml:space="preserve">This interpretation layer is wholly within WG 1 scope: it specifies how the Work Item G cube is read and reasoned over, and does not introduce any new system-integration or interface element. It is therefore proposed as an extension of Work Item G.</w:t>
      </w:r>
    </w:p>
    <w:p w14:paraId="4D2157A3" w14:textId="3F0C9EB7" w:rsidR="00A26CE7" w:rsidRDefault="00A26CE7" w:rsidP="00A26CE7">
      <w:pPr>
        <w:pStyle w:val="Heading1"/>
      </w:pPr>
      <w:r>
        <w:t>Proposed Work Items for FG-EAI Consideration</w:t>
      </w:r>
    </w:p>
    <w:p w14:paraId="132BF7C9" w14:textId="77777777" w:rsidR="00A26CE7" w:rsidRDefault="00A26CE7" w:rsidP="00A26CE7">
      <w:r>
        <w:t>This contribution requests FG-EAI to initiate study of the following work items. Each includes a clearly defined scope specifying what is within and outside the boundary of standardization.</w:t>
      </w:r>
    </w:p>
    <w:p w14:paraId="18CD9F42" w14:textId="06353129" w:rsidR="00A26CE7" w:rsidRDefault="00A26CE7" w:rsidP="00A26CE7">
      <w:pPr>
        <w:pStyle w:val="Heading2"/>
      </w:pPr>
      <w:r>
        <w:t>Work Item F — Structural Multimodal Decomposition for EAI</w:t>
      </w:r>
    </w:p>
    <w:p w14:paraId="23635429" w14:textId="77777777" w:rsidR="00A26CE7" w:rsidRDefault="00A26CE7" w:rsidP="00A26CE7">
      <w:r>
        <w:rPr>
          <w:b/>
        </w:rPr>
        <w:t xml:space="preserve">Objectives: </w:t>
      </w:r>
      <w:r>
        <w:t>Study of SEU-based signal encapsulation as a structural primitive for embodied AI perception; definition of eight-channel decomposition architecture as a standard for modality-preserving multimodal processing; evaluation of channel independence as a design invariant for explainable EAI systems.</w:t>
      </w:r>
    </w:p>
    <w:p w14:paraId="34A070AD" w14:textId="77777777" w:rsidR="00A26CE7" w:rsidRDefault="00A26CE7" w:rsidP="00A26CE7">
      <w:r>
        <w:rPr>
          <w:b/>
        </w:rPr>
        <w:t xml:space="preserve">In Scope: </w:t>
      </w:r>
      <w:r>
        <w:t>Definition of the SEU as the minimal standardized primitive for multimodal event encapsulation; specification of eight-channel decomposition (channel definitions, independence requirements, storage format, temporal fidelity constraints); interface specifications between the SEU layer and the Meta Abstraction Layer; requirements for channel-level evidence referencing to support end-to-end traceability; applicability to network-edge EAI deployments operating under IMT-2030 latency constraints.</w:t>
      </w:r>
    </w:p>
    <w:p w14:paraId="0A0F7724" w14:textId="77777777" w:rsidR="00A26CE7" w:rsidRDefault="00A26CE7" w:rsidP="00A26CE7">
      <w:r>
        <w:rPr>
          <w:b/>
        </w:rPr>
        <w:t xml:space="preserve">Out of Scope: </w:t>
      </w:r>
      <w:r>
        <w:t>Specific AI model architectures or training methodologies operating above the Meta Abstraction Layer; application-layer interfaces beyond the structural cognition pipeline; hardware implementation specifications for sensing devices.</w:t>
      </w:r>
    </w:p>
    <w:p w14:paraId="0E5A4ED7" w14:textId="0E5A4ED7" w:rsidR="00A26CE7" w:rsidRDefault="00A26CE7" w:rsidP="00A26CE7">
      <w:r>
        <w:rPr>
          <w:b/>
        </w:rPr>
        <w:t xml:space="preserve">WG Assignment: </w:t>
      </w:r>
      <w:r>
        <w:t xml:space="preserve">[R2 addition] WG 1 (Foundational Architecture and Terminology) — this Work Item defines the foundational signal-level structural primitive (SEU) and channel decomposition on which the perception and cognition layers are built.</w:t>
      </w:r>
    </w:p>
    <w:p w14:paraId="0E5A4ED6" w14:textId="76742C50" w:rsidR="00A26CE7" w:rsidRDefault="00A26CE7" w:rsidP="00A26CE7">
      <w:pPr>
        <w:pStyle w:val="Heading2"/>
      </w:pPr>
      <w:r>
        <w:lastRenderedPageBreak/>
        <w:t>Work Item G — Cognition Cube as an EAI Perception Framework</w:t>
      </w:r>
    </w:p>
    <w:p w14:paraId="398F2868" w14:textId="77777777" w:rsidR="00A26CE7" w:rsidRDefault="00A26CE7" w:rsidP="00A26CE7">
      <w:r>
        <w:rPr>
          <w:b/>
        </w:rPr>
        <w:t xml:space="preserve">Objectives: </w:t>
      </w:r>
      <w:r>
        <w:t>Study of the four-axis Cognition Cube (T/C/I/E) as a structural perception framework for embodied multimedia AI; definition of the Meta Abstraction Layer as an intermediate representation between raw sensing and model-level reasoning; evaluation of the dual-layer memory architecture for EAI applications requiring both fidelity and intelligence. [R2 addition] Definition of a structural OLAP interpretation model (slice / dice / roll-up / drill-down / pivot) for querying and reasoning over the Cognition Cube (see Section 3.4).</w:t>
      </w:r>
    </w:p>
    <w:p w14:paraId="440DEE41" w14:textId="77777777" w:rsidR="00A26CE7" w:rsidRDefault="00A26CE7" w:rsidP="00A26CE7">
      <w:r>
        <w:rPr>
          <w:b/>
        </w:rPr>
        <w:t xml:space="preserve">In Scope: </w:t>
      </w:r>
      <w:r>
        <w:t>Specification of the four-axis Cognition Cube (T, C, I, E) as a standardized structural representation for synthesized EAI perception; definition of the Meta Abstraction Layer (semantic summary format, confidence level specification, evidence reference protocol); specification of the dual-layer memory architecture (raw memory layer requirements and cube memory layer requirements); cube-level interoperability requirements for multi-node 6G EAI deployments; structural requirements for I-axis cognition supporting human-AI co-presence standardization. [R2 addition] Specification of the structural OLAP operation set over the Cognition Cube, including drill-down as the standardized mechanism for evidence-based explainability (Section 3.4).</w:t>
      </w:r>
    </w:p>
    <w:p w14:paraId="657A1099" w14:textId="77777777" w:rsidR="00A26CE7" w:rsidRDefault="00A26CE7" w:rsidP="00A26CE7">
      <w:r>
        <w:rPr>
          <w:b/>
        </w:rPr>
        <w:t xml:space="preserve">Out of Scope: </w:t>
      </w:r>
      <w:r>
        <w:t>Emotion recognition algorithms or biometric signal processing algorithms internal to individual channels; specific network transport protocols for cube distribution (to be addressed by network-layer standards); privacy and data governance frameworks (to be addressed by ITU-T SG17 or relevant governance bodies).</w:t>
      </w:r>
    </w:p>
    <w:p w14:paraId="20DBA76F" w14:textId="20DBA76F" w:rsidR="00A26CE7" w:rsidRDefault="00A26CE7" w:rsidP="00A26CE7">
      <w:r>
        <w:rPr>
          <w:b/>
        </w:rPr>
        <w:t xml:space="preserve">WG Assignment: </w:t>
      </w:r>
      <w:r>
        <w:t xml:space="preserve">[R2 addition] WG 1 (Foundational Architecture and Terminology) — this Work Item defines the standardized structural representation (Cognition Cube) and interpretation model (§ 3.4) produced from Work Item F channel outputs, prior to any system-integration or interface-level processing.</w:t>
      </w:r>
    </w:p>
    <w:p w14:paraId="20DBA770" w14:textId="44FEDC90" w:rsidR="00A26CE7" w:rsidRDefault="00A26CE7" w:rsidP="00A26CE7">
      <w:pPr>
        <w:pStyle w:val="Heading1"/>
      </w:pPr>
      <w:r>
        <w:t>Work Item H — Dual E2E Control Architecture (WG 4 Scope)</w:t>
      </w:r>
    </w:p>
    <w:p w14:paraId="20DBA771" w14:textId="44FEDC91" w:rsidR="00A26CE7" w:rsidRDefault="00A26CE7" w:rsidP="00A26CE7">
      <w:pPr>
        <w:pStyle w:val="Heading2"/>
      </w:pPr>
      <w:r>
        <w:t>Motivation: The Structural Coupling Problem</w:t>
      </w:r>
    </w:p>
    <w:p w14:paraId="20DBA772" w14:textId="44FEDC92" w:rsidR="00A26CE7" w:rsidRDefault="00A26CE7" w:rsidP="00A26CE7">
      <w:r>
        <w:t>Current EAI systems share a single E2E channel for both multimodal perception and physical control execution. This coupling introduces three structural constraints that cannot be resolved through software optimisation: (1) Perception-latency dependency — control execution is blocked until perceptual processing across all channels is completed; in safety-critical scenarios this latency is architecturally unavoidable. (2) Experience inaccessibility — accumulated experience in the M-Axis cannot be accessed by the control plane without re-entering the full perception pipeline. (3) Single-plane failure propagation — disruption to the perception E2E propagates directly to control; there is no structural mechanism for control to continue independently.</w:t>
      </w:r>
    </w:p>
    <w:p w14:paraId="20DBA773" w14:textId="44FEDC93" w:rsidR="00A26CE7" w:rsidRDefault="00A26CE7" w:rsidP="00A26CE7">
      <w:pPr>
        <w:pStyle w:val="Heading2"/>
      </w:pPr>
      <w:r>
        <w:t>16-Channel Dual E2E Architecture</w:t>
      </w:r>
    </w:p>
    <w:p w14:paraId="20DBA774" w14:textId="44FEDC94" w:rsidR="00A26CE7" w:rsidRDefault="00A26CE7" w:rsidP="00A26CE7">
      <w:r>
        <w:t>Work Item H proposes extending the 8-channel perception architecture (Work Item F) with 8 dedicated control channels (CH9–CH16), forming a 16-channel architecture organised into two physically isolated E2E planes. The two planes are physically isolated — disruption to E2E #1 does not propagate to E2E #2. The M-Axis of the Cognition Cube connects directly to E2E #2, enabling pre-cognitive action as mission experience accumulates.</w:t>
      </w:r>
    </w:p>
    <w:p w14:paraId="6965D790" w14:textId="6965D790" w:rsidR="00A26CE7" w:rsidRDefault="00A26CE7" w:rsidP="00A26CE7">
      <w:r>
        <w:rPr>
          <w:b/>
          <w:sz w:val="18"/>
        </w:rPr>
        <w:t>Table 1a. E2E #1 — Perception Plane (CH1–CH8)</w:t>
      </w:r>
    </w:p>
    <w:tbl>
      <w:tblPr>
        <w:tblStyle w:val="TableGrid"/>
        <w:tblW w:w="90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/>
      </w:tblPr>
      <w:tblGrid>
        <w:gridCol w:w="900"/>
        <w:gridCol w:w="700"/>
        <w:gridCol w:w="2000"/>
        <w:gridCol w:w="5426"/>
      </w:tblGrid>
      <w:tr>
        <w:trPr>
          <w:tblHeader/>
        </w:trPr>
        <w:tc>
          <w:tcPr>
            <w:tcW w:w="900" w:type="dxa"/>
            <w:shd w:val="clear" w:color="auto" w:fill="D9E1F2"/>
          </w:tcPr>
          <w:p>
            <w:r>
              <w:rPr>
                <w:b/>
                <w:sz w:val="18"/>
              </w:rPr>
              <w:t>Channel</w:t>
            </w:r>
          </w:p>
        </w:tc>
        <w:tc>
          <w:tcPr>
            <w:tcW w:w="700" w:type="dxa"/>
            <w:shd w:val="clear" w:color="auto" w:fill="D9E1F2"/>
          </w:tcPr>
          <w:p>
            <w:r>
              <w:rPr>
                <w:b/>
                <w:sz w:val="18"/>
              </w:rPr>
              <w:t>E2E</w:t>
            </w:r>
          </w:p>
        </w:tc>
        <w:tc>
          <w:tcPr>
            <w:tcW w:w="2000" w:type="dxa"/>
            <w:shd w:val="clear" w:color="auto" w:fill="D9E1F2"/>
          </w:tcPr>
          <w:p>
            <w:r>
              <w:rPr>
                <w:b/>
                <w:sz w:val="18"/>
              </w:rPr>
              <w:t>Name</w:t>
            </w:r>
          </w:p>
        </w:tc>
        <w:tc>
          <w:tcPr>
            <w:tcW w:w="5426" w:type="dxa"/>
            <w:shd w:val="clear" w:color="auto" w:fill="D9E1F2"/>
          </w:tcPr>
          <w:p>
            <w:r>
              <w:rPr>
                <w:b/>
                <w:sz w:val="18"/>
              </w:rPr>
              <w:t>Function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>CH1</w:t>
            </w:r>
          </w:p>
        </w:tc>
        <w:tc>
          <w:tcPr>
            <w:tcW w:w="700" w:type="dxa"/>
          </w:tcPr>
          <w:p>
            <w:r>
              <w:rPr>
                <w:sz w:val="18"/>
              </w:rPr>
              <w:t>#1</w:t>
            </w:r>
          </w:p>
        </w:tc>
        <w:tc>
          <w:tcPr>
            <w:tcW w:w="2000" w:type="dxa"/>
          </w:tcPr>
          <w:p>
            <w:r>
              <w:rPr>
                <w:sz w:val="18"/>
              </w:rPr>
              <w:t>Video Frames</w:t>
            </w:r>
          </w:p>
        </w:tc>
        <w:tc>
          <w:tcPr>
            <w:tcW w:w="5426" w:type="dxa"/>
          </w:tcPr>
          <w:p>
            <w:r>
              <w:rPr>
                <w:sz w:val="18"/>
              </w:rPr>
              <w:t>RGB / Depth / Semantic — primary visual perception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>CH2</w:t>
            </w:r>
          </w:p>
        </w:tc>
        <w:tc>
          <w:tcPr>
            <w:tcW w:w="700" w:type="dxa"/>
          </w:tcPr>
          <w:p>
            <w:r>
              <w:rPr>
                <w:sz w:val="18"/>
              </w:rPr>
              <w:t>#1</w:t>
            </w:r>
          </w:p>
        </w:tc>
        <w:tc>
          <w:tcPr>
            <w:tcW w:w="2000" w:type="dxa"/>
          </w:tcPr>
          <w:p>
            <w:r>
              <w:rPr>
                <w:sz w:val="18"/>
              </w:rPr>
              <w:t>Audio Stream</w:t>
            </w:r>
          </w:p>
        </w:tc>
        <w:tc>
          <w:tcPr>
            <w:tcW w:w="5426" w:type="dxa"/>
          </w:tcPr>
          <w:p>
            <w:r>
              <w:rPr>
                <w:sz w:val="18"/>
              </w:rPr>
              <w:t>Speech / ambient sound / acoustic context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>CH3</w:t>
            </w:r>
          </w:p>
        </w:tc>
        <w:tc>
          <w:tcPr>
            <w:tcW w:w="700" w:type="dxa"/>
          </w:tcPr>
          <w:p>
            <w:r>
              <w:rPr>
                <w:sz w:val="18"/>
              </w:rPr>
              <w:t>#1</w:t>
            </w:r>
          </w:p>
        </w:tc>
        <w:tc>
          <w:tcPr>
            <w:tcW w:w="2000" w:type="dxa"/>
          </w:tcPr>
          <w:p>
            <w:r>
              <w:rPr>
                <w:sz w:val="18"/>
              </w:rPr>
              <w:t>Spatial-Temporal</w:t>
            </w:r>
          </w:p>
        </w:tc>
        <w:tc>
          <w:tcPr>
            <w:tcW w:w="5426" w:type="dxa"/>
          </w:tcPr>
          <w:p>
            <w:r>
              <w:rPr>
                <w:sz w:val="18"/>
              </w:rPr>
              <w:t>Location / trajectory / timestamp — T-Axis anchor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>CH4</w:t>
            </w:r>
          </w:p>
        </w:tc>
        <w:tc>
          <w:tcPr>
            <w:tcW w:w="700" w:type="dxa"/>
          </w:tcPr>
          <w:p>
            <w:r>
              <w:rPr>
                <w:sz w:val="18"/>
              </w:rPr>
              <w:t>#1</w:t>
            </w:r>
          </w:p>
        </w:tc>
        <w:tc>
          <w:tcPr>
            <w:tcW w:w="2000" w:type="dxa"/>
          </w:tcPr>
          <w:p>
            <w:r>
              <w:rPr>
                <w:sz w:val="18"/>
              </w:rPr>
              <w:t>Biometric</w:t>
            </w:r>
          </w:p>
        </w:tc>
        <w:tc>
          <w:tcPr>
            <w:tcW w:w="5426" w:type="dxa"/>
          </w:tcPr>
          <w:p>
            <w:r>
              <w:rPr>
                <w:sz w:val="18"/>
              </w:rPr>
              <w:t>Thermal / gesture / vital signals — E-Axis source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>CH5</w:t>
            </w:r>
          </w:p>
        </w:tc>
        <w:tc>
          <w:tcPr>
            <w:tcW w:w="700" w:type="dxa"/>
          </w:tcPr>
          <w:p>
            <w:r>
              <w:rPr>
                <w:sz w:val="18"/>
              </w:rPr>
              <w:t>#1</w:t>
            </w:r>
          </w:p>
        </w:tc>
        <w:tc>
          <w:tcPr>
            <w:tcW w:w="2000" w:type="dxa"/>
          </w:tcPr>
          <w:p>
            <w:r>
              <w:rPr>
                <w:sz w:val="18"/>
              </w:rPr>
              <w:t>Text / Linguistic</w:t>
            </w:r>
          </w:p>
        </w:tc>
        <w:tc>
          <w:tcPr>
            <w:tcW w:w="5426" w:type="dxa"/>
          </w:tcPr>
          <w:p>
            <w:r>
              <w:rPr>
                <w:sz w:val="18"/>
              </w:rPr>
              <w:t>Signs / labels / NLP metadata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>CH6</w:t>
            </w:r>
          </w:p>
        </w:tc>
        <w:tc>
          <w:tcPr>
            <w:tcW w:w="700" w:type="dxa"/>
          </w:tcPr>
          <w:p>
            <w:r>
              <w:rPr>
                <w:sz w:val="18"/>
              </w:rPr>
              <w:t>#1</w:t>
            </w:r>
          </w:p>
        </w:tc>
        <w:tc>
          <w:tcPr>
            <w:tcW w:w="2000" w:type="dxa"/>
          </w:tcPr>
          <w:p>
            <w:r>
              <w:rPr>
                <w:sz w:val="18"/>
              </w:rPr>
              <w:t>Activity / Motion</w:t>
            </w:r>
          </w:p>
        </w:tc>
        <w:tc>
          <w:tcPr>
            <w:tcW w:w="5426" w:type="dxa"/>
          </w:tcPr>
          <w:p>
            <w:r>
              <w:rPr>
                <w:sz w:val="18"/>
              </w:rPr>
              <w:t>Speed / pattern / behavioural flow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>CH7</w:t>
            </w:r>
          </w:p>
        </w:tc>
        <w:tc>
          <w:tcPr>
            <w:tcW w:w="700" w:type="dxa"/>
          </w:tcPr>
          <w:p>
            <w:r>
              <w:rPr>
                <w:sz w:val="18"/>
              </w:rPr>
              <w:t>#1</w:t>
            </w:r>
          </w:p>
        </w:tc>
        <w:tc>
          <w:tcPr>
            <w:tcW w:w="2000" w:type="dxa"/>
          </w:tcPr>
          <w:p>
            <w:r>
              <w:rPr>
                <w:sz w:val="18"/>
              </w:rPr>
              <w:t>Device Interface</w:t>
            </w:r>
          </w:p>
        </w:tc>
        <w:tc>
          <w:tcPr>
            <w:tcW w:w="5426" w:type="dxa"/>
          </w:tcPr>
          <w:p>
            <w:r>
              <w:rPr>
                <w:sz w:val="18"/>
              </w:rPr>
              <w:t>CAN bus / actuator feedback / hardware status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>CH8</w:t>
            </w:r>
          </w:p>
        </w:tc>
        <w:tc>
          <w:tcPr>
            <w:tcW w:w="700" w:type="dxa"/>
          </w:tcPr>
          <w:p>
            <w:r>
              <w:rPr>
                <w:sz w:val="18"/>
              </w:rPr>
              <w:t>#1</w:t>
            </w:r>
          </w:p>
        </w:tc>
        <w:tc>
          <w:tcPr>
            <w:tcW w:w="2000" w:type="dxa"/>
          </w:tcPr>
          <w:p>
            <w:r>
              <w:rPr>
                <w:sz w:val="18"/>
              </w:rPr>
              <w:t>Environment</w:t>
            </w:r>
          </w:p>
        </w:tc>
        <w:tc>
          <w:tcPr>
            <w:tcW w:w="5426" w:type="dxa"/>
          </w:tcPr>
          <w:p>
            <w:r>
              <w:rPr>
                <w:sz w:val="18"/>
              </w:rPr>
              <w:t>Temperature / gas / proximity — ambient sensing</w:t>
            </w:r>
          </w:p>
        </w:tc>
      </w:tr>
    </w:tbl>
    <w:p w14:paraId="151C15D4" w14:textId="151C15D4" w:rsidR="00A26CE7" w:rsidRDefault="00A26CE7" w:rsidP="00A26CE7">
      <w:r>
        <w:t/>
      </w:r>
    </w:p>
    <w:p w14:paraId="798C89D3" w14:textId="798C89D3" w:rsidR="00A26CE7" w:rsidRDefault="00A26CE7" w:rsidP="00A26CE7">
      <w:r>
        <w:rPr>
          <w:b/>
          <w:sz w:val="18"/>
        </w:rPr>
        <w:t>Table 1b. E2E #2 — Control Plane (CH9–CH16)</w:t>
      </w:r>
    </w:p>
    <w:tbl>
      <w:tblPr>
        <w:tblStyle w:val="TableGrid"/>
        <w:tblW w:w="90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/>
      </w:tblPr>
      <w:tblGrid>
        <w:gridCol w:w="900"/>
        <w:gridCol w:w="700"/>
        <w:gridCol w:w="2000"/>
        <w:gridCol w:w="5426"/>
      </w:tblGrid>
      <w:tr>
        <w:trPr>
          <w:tblHeader/>
        </w:trPr>
        <w:tc>
          <w:tcPr>
            <w:tcW w:w="900" w:type="dxa"/>
            <w:shd w:val="clear" w:color="auto" w:fill="D9E1F2"/>
          </w:tcPr>
          <w:p>
            <w:r>
              <w:rPr>
                <w:b/>
                <w:sz w:val="18"/>
              </w:rPr>
              <w:t>Channel</w:t>
            </w:r>
          </w:p>
        </w:tc>
        <w:tc>
          <w:tcPr>
            <w:tcW w:w="700" w:type="dxa"/>
            <w:shd w:val="clear" w:color="auto" w:fill="D9E1F2"/>
          </w:tcPr>
          <w:p>
            <w:r>
              <w:rPr>
                <w:b/>
                <w:sz w:val="18"/>
              </w:rPr>
              <w:t>E2E</w:t>
            </w:r>
          </w:p>
        </w:tc>
        <w:tc>
          <w:tcPr>
            <w:tcW w:w="2000" w:type="dxa"/>
            <w:shd w:val="clear" w:color="auto" w:fill="D9E1F2"/>
          </w:tcPr>
          <w:p>
            <w:r>
              <w:rPr>
                <w:b/>
                <w:sz w:val="18"/>
              </w:rPr>
              <w:t>Name</w:t>
            </w:r>
          </w:p>
        </w:tc>
        <w:tc>
          <w:tcPr>
            <w:tcW w:w="5426" w:type="dxa"/>
            <w:shd w:val="clear" w:color="auto" w:fill="D9E1F2"/>
          </w:tcPr>
          <w:p>
            <w:r>
              <w:rPr>
                <w:b/>
                <w:sz w:val="18"/>
              </w:rPr>
              <w:t>Function</w:t>
            </w:r>
          </w:p>
        </w:tc>
      </w:tr>
      <w:tr>
        <w:tc>
          <w:tcPr>
            <w:tcW w:w="900" w:type="dxa"/>
            <w:shd w:val="clear" w:color="auto" w:fill="F2F2F2"/>
          </w:tcPr>
          <w:p>
            <w:r>
              <w:rPr>
                <w:sz w:val="18"/>
              </w:rPr>
              <w:t>CH9</w:t>
            </w:r>
          </w:p>
        </w:tc>
        <w:tc>
          <w:tcPr>
            <w:tcW w:w="700" w:type="dxa"/>
            <w:shd w:val="clear" w:color="auto" w:fill="F2F2F2"/>
          </w:tcPr>
          <w:p>
            <w:r>
              <w:rPr>
                <w:sz w:val="18"/>
              </w:rPr>
              <w:t>#2</w:t>
            </w:r>
          </w:p>
        </w:tc>
        <w:tc>
          <w:tcPr>
            <w:tcW w:w="2000" w:type="dxa"/>
            <w:shd w:val="clear" w:color="auto" w:fill="F2F2F2"/>
          </w:tcPr>
          <w:p>
            <w:r>
              <w:rPr>
                <w:sz w:val="18"/>
              </w:rPr>
              <w:t>Command Input</w:t>
            </w:r>
          </w:p>
        </w:tc>
        <w:tc>
          <w:tcPr>
            <w:tcW w:w="5426" w:type="dxa"/>
            <w:shd w:val="clear" w:color="auto" w:fill="F2F2F2"/>
          </w:tcPr>
          <w:p>
            <w:r>
              <w:rPr>
                <w:sz w:val="18"/>
              </w:rPr>
              <w:t>PAI → EAI mission command stream</w:t>
            </w:r>
          </w:p>
        </w:tc>
      </w:tr>
      <w:tr>
        <w:tc>
          <w:tcPr>
            <w:tcW w:w="900" w:type="dxa"/>
            <w:shd w:val="clear" w:color="auto" w:fill="F2F2F2"/>
          </w:tcPr>
          <w:p>
            <w:r>
              <w:rPr>
                <w:sz w:val="18"/>
              </w:rPr>
              <w:t>CH10</w:t>
            </w:r>
          </w:p>
        </w:tc>
        <w:tc>
          <w:tcPr>
            <w:tcW w:w="700" w:type="dxa"/>
            <w:shd w:val="clear" w:color="auto" w:fill="F2F2F2"/>
          </w:tcPr>
          <w:p>
            <w:r>
              <w:rPr>
                <w:sz w:val="18"/>
              </w:rPr>
              <w:t>#2</w:t>
            </w:r>
          </w:p>
        </w:tc>
        <w:tc>
          <w:tcPr>
            <w:tcW w:w="2000" w:type="dxa"/>
            <w:shd w:val="clear" w:color="auto" w:fill="F2F2F2"/>
          </w:tcPr>
          <w:p>
            <w:r>
              <w:rPr>
                <w:sz w:val="18"/>
              </w:rPr>
              <w:t>Actuation Output</w:t>
            </w:r>
          </w:p>
        </w:tc>
        <w:tc>
          <w:tcPr>
            <w:tcW w:w="5426" w:type="dxa"/>
            <w:shd w:val="clear" w:color="auto" w:fill="F2F2F2"/>
          </w:tcPr>
          <w:p>
            <w:r>
              <w:rPr>
                <w:sz w:val="18"/>
              </w:rPr>
              <w:t>Motor / brake / drive control signals</w:t>
            </w:r>
          </w:p>
        </w:tc>
      </w:tr>
      <w:tr>
        <w:tc>
          <w:tcPr>
            <w:tcW w:w="900" w:type="dxa"/>
            <w:shd w:val="clear" w:color="auto" w:fill="F2F2F2"/>
          </w:tcPr>
          <w:p>
            <w:r>
              <w:rPr>
                <w:sz w:val="18"/>
              </w:rPr>
              <w:t>CH11</w:t>
            </w:r>
          </w:p>
        </w:tc>
        <w:tc>
          <w:tcPr>
            <w:tcW w:w="700" w:type="dxa"/>
            <w:shd w:val="clear" w:color="auto" w:fill="F2F2F2"/>
          </w:tcPr>
          <w:p>
            <w:r>
              <w:rPr>
                <w:sz w:val="18"/>
              </w:rPr>
              <w:t>#2</w:t>
            </w:r>
          </w:p>
        </w:tc>
        <w:tc>
          <w:tcPr>
            <w:tcW w:w="2000" w:type="dxa"/>
            <w:shd w:val="clear" w:color="auto" w:fill="F2F2F2"/>
          </w:tcPr>
          <w:p>
            <w:r>
              <w:rPr>
                <w:sz w:val="18"/>
              </w:rPr>
              <w:t>Safety Override</w:t>
            </w:r>
          </w:p>
        </w:tc>
        <w:tc>
          <w:tcPr>
            <w:tcW w:w="5426" w:type="dxa"/>
            <w:shd w:val="clear" w:color="auto" w:fill="F2F2F2"/>
          </w:tcPr>
          <w:p>
            <w:r>
              <w:rPr>
                <w:sz w:val="18"/>
              </w:rPr>
              <w:t>Emergency stop / forced release — executes without perception (architecture-level guarantee)</w:t>
            </w:r>
          </w:p>
        </w:tc>
      </w:tr>
      <w:tr>
        <w:tc>
          <w:tcPr>
            <w:tcW w:w="900" w:type="dxa"/>
            <w:shd w:val="clear" w:color="auto" w:fill="F2F2F2"/>
          </w:tcPr>
          <w:p>
            <w:r>
              <w:rPr>
                <w:sz w:val="18"/>
              </w:rPr>
              <w:t>CH12</w:t>
            </w:r>
          </w:p>
        </w:tc>
        <w:tc>
          <w:tcPr>
            <w:tcW w:w="700" w:type="dxa"/>
            <w:shd w:val="clear" w:color="auto" w:fill="F2F2F2"/>
          </w:tcPr>
          <w:p>
            <w:r>
              <w:rPr>
                <w:sz w:val="18"/>
              </w:rPr>
              <w:t>#2</w:t>
            </w:r>
          </w:p>
        </w:tc>
        <w:tc>
          <w:tcPr>
            <w:tcW w:w="2000" w:type="dxa"/>
            <w:shd w:val="clear" w:color="auto" w:fill="F2F2F2"/>
          </w:tcPr>
          <w:p>
            <w:r>
              <w:rPr>
                <w:sz w:val="18"/>
              </w:rPr>
              <w:t>Auth / Identity</w:t>
            </w:r>
          </w:p>
        </w:tc>
        <w:tc>
          <w:tcPr>
            <w:tcW w:w="5426" w:type="dxa"/>
            <w:shd w:val="clear" w:color="auto" w:fill="F2F2F2"/>
          </w:tcPr>
          <w:p>
            <w:r>
              <w:rPr>
                <w:sz w:val="18"/>
              </w:rPr>
              <w:t>Operator authority verification / legal permission</w:t>
            </w:r>
          </w:p>
        </w:tc>
      </w:tr>
      <w:tr>
        <w:tc>
          <w:tcPr>
            <w:tcW w:w="900" w:type="dxa"/>
            <w:shd w:val="clear" w:color="auto" w:fill="F2F2F2"/>
          </w:tcPr>
          <w:p>
            <w:r>
              <w:rPr>
                <w:sz w:val="18"/>
              </w:rPr>
              <w:t>CH13</w:t>
            </w:r>
          </w:p>
        </w:tc>
        <w:tc>
          <w:tcPr>
            <w:tcW w:w="700" w:type="dxa"/>
            <w:shd w:val="clear" w:color="auto" w:fill="F2F2F2"/>
          </w:tcPr>
          <w:p>
            <w:r>
              <w:rPr>
                <w:sz w:val="18"/>
              </w:rPr>
              <w:t>#2</w:t>
            </w:r>
          </w:p>
        </w:tc>
        <w:tc>
          <w:tcPr>
            <w:tcW w:w="2000" w:type="dxa"/>
            <w:shd w:val="clear" w:color="auto" w:fill="F2F2F2"/>
          </w:tcPr>
          <w:p>
            <w:r>
              <w:rPr>
                <w:sz w:val="18"/>
              </w:rPr>
              <w:t>Mission State</w:t>
            </w:r>
          </w:p>
        </w:tc>
        <w:tc>
          <w:tcPr>
            <w:tcW w:w="5426" w:type="dxa"/>
            <w:shd w:val="clear" w:color="auto" w:fill="F2F2F2"/>
          </w:tcPr>
          <w:p>
            <w:r>
              <w:rPr>
                <w:sz w:val="18"/>
              </w:rPr>
              <w:t>Active mission log / task progression record</w:t>
            </w:r>
          </w:p>
        </w:tc>
      </w:tr>
      <w:tr>
        <w:tc>
          <w:tcPr>
            <w:tcW w:w="900" w:type="dxa"/>
            <w:shd w:val="clear" w:color="auto" w:fill="F2F2F2"/>
          </w:tcPr>
          <w:p>
            <w:r>
              <w:rPr>
                <w:sz w:val="18"/>
              </w:rPr>
              <w:t>CH14</w:t>
            </w:r>
          </w:p>
        </w:tc>
        <w:tc>
          <w:tcPr>
            <w:tcW w:w="700" w:type="dxa"/>
            <w:shd w:val="clear" w:color="auto" w:fill="F2F2F2"/>
          </w:tcPr>
          <w:p>
            <w:r>
              <w:rPr>
                <w:sz w:val="18"/>
              </w:rPr>
              <w:t>#2</w:t>
            </w:r>
          </w:p>
        </w:tc>
        <w:tc>
          <w:tcPr>
            <w:tcW w:w="2000" w:type="dxa"/>
            <w:shd w:val="clear" w:color="auto" w:fill="F2F2F2"/>
          </w:tcPr>
          <w:p>
            <w:r>
              <w:rPr>
                <w:sz w:val="18"/>
              </w:rPr>
              <w:t>AAI Coordination</w:t>
            </w:r>
          </w:p>
        </w:tc>
        <w:tc>
          <w:tcPr>
            <w:tcW w:w="5426" w:type="dxa"/>
            <w:shd w:val="clear" w:color="auto" w:fill="F2F2F2"/>
          </w:tcPr>
          <w:p>
            <w:r>
              <w:rPr>
                <w:sz w:val="18"/>
              </w:rPr>
              <w:t>Multi-EAI coordination / formation control</w:t>
            </w:r>
          </w:p>
        </w:tc>
      </w:tr>
      <w:tr>
        <w:tc>
          <w:tcPr>
            <w:tcW w:w="900" w:type="dxa"/>
            <w:shd w:val="clear" w:color="auto" w:fill="F2F2F2"/>
          </w:tcPr>
          <w:p>
            <w:r>
              <w:rPr>
                <w:sz w:val="18"/>
              </w:rPr>
              <w:t>CH15</w:t>
            </w:r>
          </w:p>
        </w:tc>
        <w:tc>
          <w:tcPr>
            <w:tcW w:w="700" w:type="dxa"/>
            <w:shd w:val="clear" w:color="auto" w:fill="F2F2F2"/>
          </w:tcPr>
          <w:p>
            <w:r>
              <w:rPr>
                <w:sz w:val="18"/>
              </w:rPr>
              <w:t>#2</w:t>
            </w:r>
          </w:p>
        </w:tc>
        <w:tc>
          <w:tcPr>
            <w:tcW w:w="2000" w:type="dxa"/>
            <w:shd w:val="clear" w:color="auto" w:fill="F2F2F2"/>
          </w:tcPr>
          <w:p>
            <w:r>
              <w:rPr>
                <w:sz w:val="18"/>
              </w:rPr>
              <w:t>Audit / Evidence</w:t>
            </w:r>
          </w:p>
        </w:tc>
        <w:tc>
          <w:tcPr>
            <w:tcW w:w="5426" w:type="dxa"/>
            <w:shd w:val="clear" w:color="auto" w:fill="F2F2F2"/>
          </w:tcPr>
          <w:p>
            <w:r>
              <w:rPr>
                <w:sz w:val="18"/>
              </w:rPr>
              <w:t>Immutable action record — legal and operational traceability</w:t>
            </w:r>
          </w:p>
        </w:tc>
      </w:tr>
      <w:tr>
        <w:tc>
          <w:tcPr>
            <w:tcW w:w="900" w:type="dxa"/>
            <w:shd w:val="clear" w:color="auto" w:fill="F2F2F2"/>
          </w:tcPr>
          <w:p>
            <w:r>
              <w:rPr>
                <w:sz w:val="18"/>
              </w:rPr>
              <w:t>CH16</w:t>
            </w:r>
          </w:p>
        </w:tc>
        <w:tc>
          <w:tcPr>
            <w:tcW w:w="700" w:type="dxa"/>
            <w:shd w:val="clear" w:color="auto" w:fill="F2F2F2"/>
          </w:tcPr>
          <w:p>
            <w:r>
              <w:rPr>
                <w:sz w:val="18"/>
              </w:rPr>
              <w:t>#2</w:t>
            </w:r>
          </w:p>
        </w:tc>
        <w:tc>
          <w:tcPr>
            <w:tcW w:w="2000" w:type="dxa"/>
            <w:shd w:val="clear" w:color="auto" w:fill="F2F2F2"/>
          </w:tcPr>
          <w:p>
            <w:r>
              <w:rPr>
                <w:sz w:val="18"/>
              </w:rPr>
              <w:t>Redundancy Link</w:t>
            </w:r>
          </w:p>
        </w:tc>
        <w:tc>
          <w:tcPr>
            <w:tcW w:w="5426" w:type="dxa"/>
            <w:shd w:val="clear" w:color="auto" w:fill="F2F2F2"/>
          </w:tcPr>
          <w:p>
            <w:r>
              <w:rPr>
                <w:sz w:val="18"/>
              </w:rPr>
              <w:t>Control channel backup / failover recovery</w:t>
            </w:r>
          </w:p>
        </w:tc>
      </w:tr>
    </w:tbl>
    <w:p w14:paraId="20DBA774" w14:textId="44FEDC94" w:rsidR="00A26CE7" w:rsidRDefault="00A26CE7" w:rsidP="00A26CE7">
      <w:r>
        <w:t/>
      </w:r>
    </w:p>
    <w:p w14:paraId="20DBA775" w14:textId="44FEDC95" w:rsidR="00A26CE7" w:rsidRDefault="00A26CE7" w:rsidP="00A26CE7">
      <w:pPr>
        <w:pStyle w:val="Heading2"/>
      </w:pPr>
      <w:r>
        <w:t>Work Item H — Formal Scope</w:t>
      </w:r>
    </w:p>
    <w:p w14:paraId="20DBA776" w14:textId="44FEDC96" w:rsidR="00A26CE7" w:rsidRDefault="00A26CE7" w:rsidP="00A26CE7">
      <w:r>
        <w:rPr>
          <w:b/>
        </w:rPr>
        <w:t xml:space="preserve">Objectives: </w:t>
      </w:r>
      <w:r>
        <w:t>Study of 16-channel Dual E2E as a structural standard for EAI systems; definition of M-Axis to Control Plane connectivity; evaluation of CH11 Safety Override as an architecture-level safety guarantee independent of perceptual availability.</w:t>
      </w:r>
    </w:p>
    <w:p w14:paraId="20DBA777" w14:textId="44FEDC97" w:rsidR="00A26CE7" w:rsidRDefault="00A26CE7" w:rsidP="00A26CE7">
      <w:r>
        <w:rPr>
          <w:b/>
        </w:rPr>
        <w:t xml:space="preserve">In Scope: </w:t>
      </w:r>
      <w:r>
        <w:t>Specification of E2E #1 and E2E #2 as architecturally separated planes (defining what must be separated and why, not the specific optical component implementation); interface definition between the Cognition Cube M-Axis and the Control Plane; CH11 Safety Override execution specification; control-perception interface requirements; multi-agent coordination interface (CH14).</w:t>
      </w:r>
    </w:p>
    <w:p w14:paraId="20DBA778" w14:textId="44FEDC98" w:rsidR="00A26CE7" w:rsidRDefault="00A26CE7" w:rsidP="00A26CE7">
      <w:r>
        <w:rPr>
          <w:b/>
        </w:rPr>
        <w:t xml:space="preserve">Out of Scope: </w:t>
      </w:r>
      <w:r>
        <w:t>Internal perception processing (addressed by Work Items F and G); hardware actuator protocols; network transport layer specifications.</w:t>
      </w:r>
    </w:p>
    <w:p w14:paraId="20DBA779" w14:textId="44FEDC99" w:rsidR="00A26CE7" w:rsidRDefault="00A26CE7" w:rsidP="00A26CE7">
      <w:r>
        <w:rPr>
          <w:b/>
        </w:rPr>
        <w:t xml:space="preserve">WG Assignment: </w:t>
      </w:r>
      <w:r>
        <w:t>WG 4 (Systems Integration and Interfaces) — this Work Item defines system-level integration between the perception/cognition layer (Work Items F/G) and physical execution components, and specifies the inter-component interfaces enabling this integration.</w:t>
      </w:r>
    </w:p>
    <w:p w14:paraId="30DBA780" w14:textId="55FEDC00" w:rsidR="00A26CE7" w:rsidRDefault="00A26CE7" w:rsidP="00A26CE7">
      <w:pPr>
        <w:pStyle w:val="Heading1"/>
      </w:pPr>
      <w:r>
        <w:t>Work Item I — Human Projection-Based Cognitive Interface (WG 4 Scope)</w:t>
      </w:r>
    </w:p>
    <w:p w14:paraId="30DBA781" w14:textId="55FEDC01" w:rsidR="00A26CE7" w:rsidRDefault="00A26CE7" w:rsidP="00A26CE7">
      <w:pPr>
        <w:pStyle w:val="Heading2"/>
      </w:pPr>
      <w:r>
        <w:t>Motivation</w:t>
      </w:r>
    </w:p>
    <w:p w14:paraId="30DBA782" w14:textId="55FEDC02" w:rsidR="00A26CE7" w:rsidRDefault="00A26CE7" w:rsidP="00A26CE7">
      <w:r>
        <w:t>Current EAI deployment treats human operators and AI systems as separate entities connected by command interfaces. This model has two fundamental limitations: command interfaces are coarse — the operator’s cognitive context is lost at the interface boundary; and command-based control does not teach — the operator’s expertise is never structurally transferred to the EAI. The system remains permanently dependent on human command, with no structural path toward autonomous operation.</w:t>
      </w:r>
    </w:p>
    <w:p w14:paraId="30DBA783" w14:textId="55FEDC03" w:rsidR="00A26CE7" w:rsidRDefault="00A26CE7" w:rsidP="00A26CE7">
      <w:pPr>
        <w:pStyle w:val="Heading2"/>
      </w:pPr>
      <w:r>
        <w:t>Human Projection Architecture</w:t>
      </w:r>
    </w:p>
    <w:p w14:paraId="30DBA784" w14:textId="55FEDC04" w:rsidR="00A26CE7" w:rsidRDefault="00A26CE7" w:rsidP="00A26CE7">
      <w:r>
        <w:t>Human Projection proposes a fundamentally different model: the human operator shares perceptual cognition with the EAI in real time through smart glasses connected to the EAI’s Perception E2E (E2E #1, CH1–CH8). The operator’s visual attention, spatial judgement, and situational interpretation are projected into the EAI’s Cognition Cube — not as commands, but as cognitive context. The M-Axis is the structural accumulator: every projected cognitive context is stored alongside the corresponding mission outcome. As missions accumulate, the M-Axis builds a structured record of how a human expert perceives and responds, enabling the EAI to progressively reduce dependency on real-time human projection. Autonomy is not switched on — it emerges structurally as experience deepens.</w:t>
      </w:r>
    </w:p>
    <w:p w14:paraId="30DBA785" w14:textId="55FEDC05" w:rsidR="00A26CE7" w:rsidRDefault="00A26CE7" w:rsidP="00A26CE7">
      <w:pPr>
        <w:pStyle w:val="Heading2"/>
      </w:pPr>
      <w:r>
        <w:t>Work Item I — Formal Scope</w:t>
      </w:r>
    </w:p>
    <w:p w14:paraId="30DBA786" w14:textId="55FEDC06" w:rsidR="00A26CE7" w:rsidRDefault="00A26CE7" w:rsidP="00A26CE7">
      <w:r>
        <w:rPr>
          <w:b/>
        </w:rPr>
        <w:t xml:space="preserve">Objectives: </w:t>
      </w:r>
      <w:r>
        <w:t>Study of PAI-EAI cognitive bridging as a structural interface standard; definition of smart glasses as a bidirectional projection device at the interface level; specification of M-Axis accumulation protocol for expertise transfer; evaluation of the autonomy progression model.</w:t>
      </w:r>
    </w:p>
    <w:p w14:paraId="30DBA787" w14:textId="55FEDC07" w:rsidR="00A26CE7" w:rsidRDefault="00A26CE7" w:rsidP="00A26CE7">
      <w:r>
        <w:rPr>
          <w:b/>
        </w:rPr>
        <w:t xml:space="preserve">In Scope: </w:t>
      </w:r>
      <w:r>
        <w:t>Interface specification for PAI-EAI cognitive projection as a structural input format to CH1–CH8 (not standardising internal PAI operation or smart glasses hardware); smart glasses bridge protocol at the interface level; M-Axis accumulation format for projected experience; autonomy progression metrics; coordination with Work Items F, G, and H.</w:t>
      </w:r>
    </w:p>
    <w:p w14:paraId="30DBA788" w14:textId="55FEDC08" w:rsidR="00A26CE7" w:rsidRDefault="00A26CE7" w:rsidP="00A26CE7">
      <w:r>
        <w:rPr>
          <w:b/>
        </w:rPr>
        <w:t xml:space="preserve">Out of Scope: </w:t>
      </w:r>
      <w:r>
        <w:t>Smart glasses hardware specifications; PAI internal architecture; AI model training methodologies.</w:t>
      </w:r>
    </w:p>
    <w:p w14:paraId="30DBA789" w14:textId="55FEDC09" w:rsidR="00A26CE7" w:rsidRDefault="00A26CE7" w:rsidP="00A26CE7">
      <w:r>
        <w:rPr>
          <w:b/>
        </w:rPr>
        <w:t xml:space="preserve">WG Assignment: </w:t>
      </w:r>
      <w:r>
        <w:t>WG 4 (Systems Integration and Interfaces) — this Work Item defines the interface between the human operator’s PAI system and the EAI perception and cognition layers, constituting a system-level integration specification.</w:t>
      </w:r>
    </w:p>
    <w:p w14:paraId="40DBA790" w14:textId="66FEDC10" w:rsidR="00A26CE7" w:rsidRDefault="00A26CE7" w:rsidP="00A26CE7">
      <w:pPr>
        <w:pStyle w:val="Heading1"/>
      </w:pPr>
      <w:r>
        <w:t>Cross-WG Coordination Requirement</w:t>
      </w:r>
    </w:p>
    <w:p w14:paraId="40DBA791" w14:textId="66FEDC11" w:rsidR="00A26CE7" w:rsidRDefault="00A26CE7" w:rsidP="00A26CE7">
      <w:r>
        <w:t>Work Items F and G establish the perception and cognition foundations. Work Items H and I define how those foundations are integrated into complete EAI systems. Two critical interface boundaries cross the WG 1/WG 4 boundary: (1) the Work Items G–H interface (M-Axis to Control Plane connection) must be specified consistently in both WGs; (2) the Work Items F–I interface (SEU pipeline input format for Human Projection) must align with both the Work Item F channel specification and the Work Item I interface protocol. If these Work Items are developed independently within separate working groups without a formal coordination mechanism, the interface definitions may diverge, producing architectural inconsistencies that cannot be resolved at the system level. The author respectfully requests that FG-EAI establish a formal cross-WG coordination mechanism between WG 1 and WG 4.</w:t>
      </w:r>
    </w:p>
    <w:p w14:paraId="16DBA762" w14:textId="33FEDC8F" w:rsidR="00A26CE7" w:rsidRDefault="00A26CE7" w:rsidP="00A26CE7">
      <w:pPr>
        <w:pStyle w:val="Heading1"/>
      </w:pPr>
      <w:r>
        <w:t>Conclusion</w:t>
      </w:r>
    </w:p>
    <w:p w14:paraId="03B1205D" w14:textId="77777777" w:rsidR="00A26CE7" w:rsidRDefault="00A26CE7" w:rsidP="00A26CE7">
      <w:r>
        <w:t>This contribution presents the Velsanet Cognition Cube System as a structural cognition layer for Embodied AI in multimedia environments, together with its system integration (Work Item H) and human-cognitive interface (Work Item I) extensions. The gap analysis in Section 1.3 confirms that no existing standard in 3GPP, ETSI ENI, IEEE, ITU-T, or ISO/IEC addresses the structural decomposition, intent-centric synthesis, dual-plane control, and human-projection interface requirements identified. The Cognition Cube System is not an AI application — it is a foundational architectural layer that enables AI-native multimedia cognition within the network itself. Work Items F and G fall within WG 1 scope (Foundational Architecture); Work Items H and I fall within WG 4 scope (Systems Integration and Interfaces). We respectfully request FG-EAI to consider Work Items F, G, H, and I for inclusion in the standardization programme, and to establish a formal cross-WG coordination mechanism between WG 1 and WG 4 to preserve the structural coherence of this integrated architecture.</w:t>
      </w:r>
    </w:p>
    <w:p w14:paraId="3D334762" w14:textId="36140569" w:rsidR="00A26CE7" w:rsidRDefault="00A26CE7" w:rsidP="00A26CE7">
      <w:pPr>
        <w:pStyle w:val="Heading1"/>
      </w:pPr>
      <w:r>
        <w:t>References</w:t>
      </w:r>
    </w:p>
    <w:p w14:paraId="73464BE5" w14:textId="77777777" w:rsidR="00A26CE7" w:rsidRDefault="00A26CE7" w:rsidP="00A26CE7">
      <w:r>
        <w:t>[1] ITU-R M.2160 (2023) — Framework and Overall Objectives of IMT-2030 (6G). Available: https://www.itu.int/rec/R-REC-M.2160/en</w:t>
      </w:r>
    </w:p>
    <w:p w14:paraId="6ADA9377" w14:textId="77777777" w:rsidR="00A26CE7" w:rsidRDefault="00A26CE7" w:rsidP="00A26CE7">
      <w:r>
        <w:t>[2] ITU-T Y.3172 (2019) — Architectural Framework for Machine Learning in Future Networks. Available: https://www.itu.int/rec/T-REC-Y.3172/en</w:t>
      </w:r>
    </w:p>
    <w:p w14:paraId="5E581F0F" w14:textId="77777777" w:rsidR="00A26CE7" w:rsidRPr="001A0A97" w:rsidRDefault="00A26CE7" w:rsidP="00A26CE7">
      <w:pPr>
        <w:rPr>
          <w:lang w:val="fr-FR"/>
        </w:rPr>
      </w:pPr>
      <w:r>
        <w:t xml:space="preserve">[3] ETSI GS ENI 005 (2020) — Experiential Networked Intelligence; System Architecture. </w:t>
      </w:r>
      <w:r>
        <w:rPr>
          <w:lang w:val="fr-FR"/>
        </w:rPr>
        <w:t>Available: https://www.etsi.org/deliver/etsi_gs/ENI/001_099/005/02.01.01_60/gs_ENI005v020101p.pdf</w:t>
      </w:r>
    </w:p>
    <w:p w14:paraId="75AC72C4" w14:textId="77777777" w:rsidR="00A26CE7" w:rsidRDefault="00A26CE7" w:rsidP="00A26CE7">
      <w:r>
        <w:t>[4] 3GPP TR 38.843 (2023) — Study on AI/ML for NR Air Interface. Available: https://www.3gpp.org/ftp/Specs/archive/38_series/38.843/</w:t>
      </w:r>
    </w:p>
    <w:p w14:paraId="73BBADC1" w14:textId="77777777" w:rsidR="00A26CE7" w:rsidRDefault="00A26CE7" w:rsidP="00A26CE7">
      <w:r>
        <w:t>[5] IEEE Std 2830-2021 — Standard for Technical Framework and Requirements for Shared Machine Learning. Available: https://standards.ieee.org/ieee/2830/7453/</w:t>
      </w:r>
    </w:p>
    <w:p w14:paraId="0205BC54" w14:textId="77777777" w:rsidR="00A26CE7" w:rsidRDefault="00A26CE7" w:rsidP="00A26CE7">
      <w:r>
        <w:t>[6] M. Maier (2026), “From Artificial Intelligence to Active Inference: The Key to True AI and the 6G World Brain,” IEEE/Optica J. Opt. Commun. Netw., vol. 18, no. 1, pp. A28–A43. Available: https://doi.org/10.1364/JOCN.536961</w:t>
      </w:r>
    </w:p>
    <w:p w14:paraId="311695B1" w14:textId="77777777" w:rsidR="00A26CE7" w:rsidRDefault="00A26CE7" w:rsidP="00A26CE7">
      <w:r>
        <w:t>[7] Velsanet White Paper #06 v1.0 — Multimodal-to-Cube Memory Architecture. Velsanet Architecture Group, 2026. Available: https://github.com/joa337/velsanet-whitepapers</w:t>
      </w:r>
    </w:p>
    <w:p w14:paraId="4A798377" w14:textId="77777777" w:rsidR="00A26CE7" w:rsidRDefault="00A26CE7" w:rsidP="00A26CE7">
      <w:r>
        <w:t>[8] Velsanet White Paper #08 v1.3 — AI Architecture (Cognitive E2E Architecture). Velsanet Architecture Group, 2026. Available: https://github.com/joa337/velsanet-whitepapers</w:t>
      </w:r>
    </w:p>
    <w:p w14:paraId="32B546BF" w14:textId="77777777" w:rsidR="00A26CE7" w:rsidRDefault="00A26CE7" w:rsidP="00A26CE7">
      <w:r>
        <w:t>[9] Velsanet White Paper #09 v1.0 — Three-Layer AI System (PAI/AAI/AsAI Architecture). Velsanet Architecture Group, 2026. Available: https://github.com/joa337/velsanet-whitepapers</w:t>
      </w:r>
    </w:p>
    <w:p w14:paraId="6F67D10B" w14:textId="77777777" w:rsidR="00A26CE7" w:rsidRDefault="00A26CE7" w:rsidP="00A26CE7">
      <w:r>
        <w:lastRenderedPageBreak/>
        <w:t>[10] Velsanet White Paper #19 v1.0 — Cognition Cube System (Structural Cognition Layer for 6G AI-Native Networks). Velsanet Architecture Group, 2026. Available: https://github.com/joa337/velsanet-whitepapers</w:t>
      </w:r>
    </w:p>
    <w:p w14:paraId="7CCB9405" w14:textId="77777777" w:rsidR="00A26CE7" w:rsidRDefault="00A26CE7" w:rsidP="00A26CE7">
      <w:r>
        <w:rPr>
          <w:i/>
        </w:rPr>
        <w:t>Note: References [7]–[10] are publicly accessible at https://github.com/joa337/velsanet-whitepapers. Each white paper is available as an individually named document within the repository.</w:t>
      </w:r>
    </w:p>
    <w:p w14:paraId="7CCB9410" w14:textId="77777777" w:rsidR="00A26CE7" w:rsidRDefault="00A26CE7" w:rsidP="00A26CE7">
      <w:r>
        <w:t>[11] FG-AINN-I-236R1 — Proposal for Structurally Embedded AI and Decentralized Governance in IMT-2030 Networks, Changho Song. Available: ITU-T FG-AINN extranet.</w:t>
      </w:r>
    </w:p>
    <w:p w14:paraId="7CCB9411" w14:textId="77777777" w:rsidR="00A26CE7" w:rsidRDefault="00A26CE7" w:rsidP="00A26CE7">
      <w:r>
        <w:t>[12] FG-AINN-I-237R2 — Proposal for a Topology-First, Optical-Native Network Architecture for IMT-2030, Changho Song. Available: ITU-T FG-AINN extranet.</w:t>
      </w:r>
    </w:p>
    <w:p w14:paraId="7CCB9412" w14:textId="77777777" w:rsidR="00A26CE7" w:rsidRDefault="00A26CE7" w:rsidP="00A26CE7">
      <w:r>
        <w:t>[13] FG-AINN-I-258-R1 — Meeting Report of the 7th FG-AINN Meeting, Virtual, 5–7 May 2026. Available: ITU-T FG-AINN extranet.</w:t>
      </w:r>
    </w:p>
    <w:p w14:paraId="7CCB9413" w14:textId="77777777" w:rsidR="00A26CE7" w:rsidRDefault="00A26CE7" w:rsidP="00A26CE7">
      <w:r>
        <w:t>[14] FG-EAI-I-003R2 — Proposed Structure for FG-EAI, FG-EAI Management Team, May 2026. Available: ITU-T FG-EAI extranet.</w:t>
      </w:r>
    </w:p>
    <w:p>
      <w:r>
        <w:t xml:space="preserve">[15] E. F. Codd, S. B. Codd, and C. T. Salley (1993) — Providing OLAP (On-Line Analytical Processing) to User-Analysts: An IT Mandate. Codd &amp; Associates. (Foundational definition of OLAP and the slice / dice / roll-up / drill-down / pivot operation set.) [Reference added in R2.]</w:t>
      </w:r>
    </w:p>
    <w:p w14:paraId="44EAFD9C" w14:textId="27342800" w:rsidR="00BC1D31" w:rsidRPr="00E16960" w:rsidRDefault="00E16960" w:rsidP="006F5AB1">
      <w:pPr>
        <w:spacing w:after="20"/>
        <w:jc w:val="center"/>
      </w:pPr>
      <w:r>
        <w:t>_________________________</w:t>
      </w:r>
    </w:p>
    <w:sectPr w:rsidR="00BC1D31" w:rsidRPr="00E16960" w:rsidSect="007B7733">
      <w:headerReference w:type="default" r:id="rId12"/>
      <w:pgSz w:w="11907" w:h="16840" w:code="9"/>
      <w:pgMar w:top="1134" w:right="1134" w:bottom="1134" w:left="1134" w:header="426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1C2885" w14:textId="77777777" w:rsidR="00D41CA0" w:rsidRDefault="00D41CA0" w:rsidP="007B7733">
      <w:pPr>
        <w:spacing w:before="0"/>
      </w:pPr>
      <w:r>
        <w:separator/>
      </w:r>
    </w:p>
  </w:endnote>
  <w:endnote w:type="continuationSeparator" w:id="0">
    <w:p w14:paraId="007FE985" w14:textId="77777777" w:rsidR="00D41CA0" w:rsidRDefault="00D41CA0" w:rsidP="007B7733">
      <w:pPr>
        <w:spacing w:before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????">
    <w:altName w:val="Yu Gothic"/>
    <w:panose1 w:val="00000000000000000000"/>
    <w:charset w:val="80"/>
    <w:family w:val="auto"/>
    <w:notTrueType/>
    <w:pitch w:val="variable"/>
    <w:sig w:usb0="00000001" w:usb1="08070000" w:usb2="00000010" w:usb3="00000000" w:csb0="0002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altName w:val="Sylfaen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DADCF4" w14:textId="77777777" w:rsidR="00D41CA0" w:rsidRDefault="00D41CA0" w:rsidP="007B7733">
      <w:pPr>
        <w:spacing w:before="0"/>
      </w:pPr>
      <w:r>
        <w:separator/>
      </w:r>
    </w:p>
  </w:footnote>
  <w:footnote w:type="continuationSeparator" w:id="0">
    <w:p w14:paraId="76F9FCDB" w14:textId="77777777" w:rsidR="00D41CA0" w:rsidRDefault="00D41CA0" w:rsidP="007B7733">
      <w:pPr>
        <w:spacing w:before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9E7D1F" w14:textId="77777777" w:rsidR="007B7733" w:rsidRDefault="007B7733" w:rsidP="005E2231">
    <w:pPr>
      <w:pStyle w:val="Header"/>
      <w:rPr>
        <w:lang w:val="pt-BR"/>
      </w:rPr>
    </w:pPr>
    <w:r>
      <w:t xml:space="preserve">- </w:t>
    </w:r>
    <w:r>
      <w:fldChar w:fldCharType="begin"/>
    </w:r>
    <w:r>
      <w:instrText xml:space="preserve"> PAGE  \* MERGEFORMAT </w:instrText>
    </w:r>
    <w:r>
      <w:fldChar w:fldCharType="separate"/>
    </w:r>
    <w:r w:rsidR="000A55A9">
      <w:rPr>
        <w:noProof/>
      </w:rPr>
      <w:t>2</w:t>
    </w:r>
    <w:r>
      <w:rPr>
        <w:noProof/>
      </w:rPr>
      <w:fldChar w:fldCharType="end"/>
    </w:r>
    <w:r>
      <w:rPr>
        <w:lang w:val="pt-BR"/>
      </w:rPr>
      <w:t xml:space="preserve"> -</w:t>
    </w:r>
  </w:p>
  <w:p w14:paraId="06FCCE37" w14:textId="4BDA9B59" w:rsidR="007B7733" w:rsidRPr="007336C4" w:rsidRDefault="007B7733" w:rsidP="005E2231">
    <w:pPr>
      <w:pStyle w:val="Header"/>
    </w:pPr>
    <w:r>
      <w:rPr>
        <w:noProof/>
      </w:rPr>
      <w:fldChar w:fldCharType="begin"/>
    </w:r>
    <w:r>
      <w:rPr>
        <w:noProof/>
      </w:rPr>
      <w:instrText xml:space="preserve"> STYLEREF  Docnumber  \* MERGEFORMAT </w:instrText>
    </w:r>
    <w:r>
      <w:rPr>
        <w:noProof/>
      </w:rPr>
      <w:fldChar w:fldCharType="separate"/>
    </w:r>
    <w:r w:rsidR="000E2B13">
      <w:rPr>
        <w:noProof/>
      </w:rPr>
      <w:t>FG-EAI-I-011</w:t>
    </w:r>
    <w:r>
      <w:rPr>
        <w:noProof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591CE4C2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40D69C2A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1DB86112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DBEFD3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694AAFEC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0756AE0C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5E2ACF66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E44B24C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6B82CA52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04EBB8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2CD27D4"/>
    <w:multiLevelType w:val="hybridMultilevel"/>
    <w:tmpl w:val="452641FE"/>
    <w:lvl w:ilvl="0" w:tplc="1F208C98">
      <w:start w:val="1"/>
      <w:numFmt w:val="decimal"/>
      <w:pStyle w:val="References"/>
      <w:lvlText w:val="[%1]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6F013ABE"/>
    <w:multiLevelType w:val="multilevel"/>
    <w:tmpl w:val="2E909B86"/>
    <w:lvl w:ilvl="0">
      <w:start w:val="1"/>
      <w:numFmt w:val="decimal"/>
      <w:pStyle w:val="Heading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num w:numId="1" w16cid:durableId="739837206">
    <w:abstractNumId w:val="11"/>
  </w:num>
  <w:num w:numId="2" w16cid:durableId="1276986505">
    <w:abstractNumId w:val="11"/>
  </w:num>
  <w:num w:numId="3" w16cid:durableId="2051760322">
    <w:abstractNumId w:val="11"/>
  </w:num>
  <w:num w:numId="4" w16cid:durableId="1025791375">
    <w:abstractNumId w:val="11"/>
  </w:num>
  <w:num w:numId="5" w16cid:durableId="739056067">
    <w:abstractNumId w:val="11"/>
  </w:num>
  <w:num w:numId="6" w16cid:durableId="188035192">
    <w:abstractNumId w:val="11"/>
  </w:num>
  <w:num w:numId="7" w16cid:durableId="461963302">
    <w:abstractNumId w:val="11"/>
  </w:num>
  <w:num w:numId="8" w16cid:durableId="643849672">
    <w:abstractNumId w:val="11"/>
  </w:num>
  <w:num w:numId="9" w16cid:durableId="1011181426">
    <w:abstractNumId w:val="11"/>
  </w:num>
  <w:num w:numId="10" w16cid:durableId="12004025">
    <w:abstractNumId w:val="10"/>
  </w:num>
  <w:num w:numId="11" w16cid:durableId="777068837">
    <w:abstractNumId w:val="9"/>
  </w:num>
  <w:num w:numId="12" w16cid:durableId="1677490460">
    <w:abstractNumId w:val="7"/>
  </w:num>
  <w:num w:numId="13" w16cid:durableId="77990058">
    <w:abstractNumId w:val="6"/>
  </w:num>
  <w:num w:numId="14" w16cid:durableId="2142917953">
    <w:abstractNumId w:val="5"/>
  </w:num>
  <w:num w:numId="15" w16cid:durableId="602998119">
    <w:abstractNumId w:val="4"/>
  </w:num>
  <w:num w:numId="16" w16cid:durableId="1064139617">
    <w:abstractNumId w:val="8"/>
  </w:num>
  <w:num w:numId="17" w16cid:durableId="1812669184">
    <w:abstractNumId w:val="3"/>
  </w:num>
  <w:num w:numId="18" w16cid:durableId="209389843">
    <w:abstractNumId w:val="2"/>
  </w:num>
  <w:num w:numId="19" w16cid:durableId="2142728357">
    <w:abstractNumId w:val="1"/>
  </w:num>
  <w:num w:numId="20" w16cid:durableId="5056303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tzS2NDCyMLQ0t7QwMDRQ0lEKTi0uzszPAykwrgUArYIQ8iwAAAA="/>
  </w:docVars>
  <w:rsids>
    <w:rsidRoot w:val="00E03557"/>
    <w:rsid w:val="000002CE"/>
    <w:rsid w:val="00000339"/>
    <w:rsid w:val="00000FA8"/>
    <w:rsid w:val="0001104D"/>
    <w:rsid w:val="00012EB5"/>
    <w:rsid w:val="00017655"/>
    <w:rsid w:val="00017888"/>
    <w:rsid w:val="00017FE7"/>
    <w:rsid w:val="00022B29"/>
    <w:rsid w:val="00025502"/>
    <w:rsid w:val="00027A32"/>
    <w:rsid w:val="00030DBC"/>
    <w:rsid w:val="0003117B"/>
    <w:rsid w:val="0003257A"/>
    <w:rsid w:val="0004493F"/>
    <w:rsid w:val="00050A24"/>
    <w:rsid w:val="00053EE5"/>
    <w:rsid w:val="00055464"/>
    <w:rsid w:val="0006330F"/>
    <w:rsid w:val="00063556"/>
    <w:rsid w:val="000661D3"/>
    <w:rsid w:val="0007085C"/>
    <w:rsid w:val="000769E6"/>
    <w:rsid w:val="00077E88"/>
    <w:rsid w:val="0008099A"/>
    <w:rsid w:val="000842F4"/>
    <w:rsid w:val="00085268"/>
    <w:rsid w:val="00092930"/>
    <w:rsid w:val="00095EF2"/>
    <w:rsid w:val="00096D82"/>
    <w:rsid w:val="00097D70"/>
    <w:rsid w:val="000A1971"/>
    <w:rsid w:val="000A31CB"/>
    <w:rsid w:val="000A55A9"/>
    <w:rsid w:val="000B286A"/>
    <w:rsid w:val="000B594B"/>
    <w:rsid w:val="000B748C"/>
    <w:rsid w:val="000C1868"/>
    <w:rsid w:val="000C5FD9"/>
    <w:rsid w:val="000D7A19"/>
    <w:rsid w:val="000E2B13"/>
    <w:rsid w:val="000E4E82"/>
    <w:rsid w:val="000E5D97"/>
    <w:rsid w:val="000E6414"/>
    <w:rsid w:val="000F1A3B"/>
    <w:rsid w:val="000F2E95"/>
    <w:rsid w:val="000F67F1"/>
    <w:rsid w:val="00103F3E"/>
    <w:rsid w:val="00106AAB"/>
    <w:rsid w:val="00110480"/>
    <w:rsid w:val="0011066A"/>
    <w:rsid w:val="001113C7"/>
    <w:rsid w:val="00112783"/>
    <w:rsid w:val="00114606"/>
    <w:rsid w:val="0012002D"/>
    <w:rsid w:val="00122669"/>
    <w:rsid w:val="00123A2B"/>
    <w:rsid w:val="001266E6"/>
    <w:rsid w:val="00131282"/>
    <w:rsid w:val="00131D86"/>
    <w:rsid w:val="00134BB5"/>
    <w:rsid w:val="00137E61"/>
    <w:rsid w:val="00146FED"/>
    <w:rsid w:val="00147EE6"/>
    <w:rsid w:val="001528E6"/>
    <w:rsid w:val="00155DD6"/>
    <w:rsid w:val="00157413"/>
    <w:rsid w:val="001605F4"/>
    <w:rsid w:val="00161BAB"/>
    <w:rsid w:val="00164069"/>
    <w:rsid w:val="0016529A"/>
    <w:rsid w:val="001664ED"/>
    <w:rsid w:val="00166E75"/>
    <w:rsid w:val="00167647"/>
    <w:rsid w:val="00172670"/>
    <w:rsid w:val="00176C2F"/>
    <w:rsid w:val="00184A3C"/>
    <w:rsid w:val="001862D2"/>
    <w:rsid w:val="001871E3"/>
    <w:rsid w:val="001872B3"/>
    <w:rsid w:val="001942EC"/>
    <w:rsid w:val="001945B8"/>
    <w:rsid w:val="00196438"/>
    <w:rsid w:val="001A03CC"/>
    <w:rsid w:val="001A0A97"/>
    <w:rsid w:val="001A1E05"/>
    <w:rsid w:val="001A6E14"/>
    <w:rsid w:val="001A79B0"/>
    <w:rsid w:val="001B401A"/>
    <w:rsid w:val="001B4799"/>
    <w:rsid w:val="001B4A85"/>
    <w:rsid w:val="001B6D84"/>
    <w:rsid w:val="001C01DD"/>
    <w:rsid w:val="001C06CA"/>
    <w:rsid w:val="001C2370"/>
    <w:rsid w:val="001C303F"/>
    <w:rsid w:val="001D240C"/>
    <w:rsid w:val="001D505A"/>
    <w:rsid w:val="001D5206"/>
    <w:rsid w:val="001D6401"/>
    <w:rsid w:val="001E031A"/>
    <w:rsid w:val="001E2CE2"/>
    <w:rsid w:val="001E3A97"/>
    <w:rsid w:val="001E58AB"/>
    <w:rsid w:val="001E5965"/>
    <w:rsid w:val="001E5E42"/>
    <w:rsid w:val="001E6C93"/>
    <w:rsid w:val="001E7D6A"/>
    <w:rsid w:val="001F0D74"/>
    <w:rsid w:val="001F5DA4"/>
    <w:rsid w:val="00201267"/>
    <w:rsid w:val="002027A2"/>
    <w:rsid w:val="00202AA7"/>
    <w:rsid w:val="00213C1C"/>
    <w:rsid w:val="002157FB"/>
    <w:rsid w:val="00216499"/>
    <w:rsid w:val="0022194A"/>
    <w:rsid w:val="00222121"/>
    <w:rsid w:val="00223009"/>
    <w:rsid w:val="00226A0F"/>
    <w:rsid w:val="00230922"/>
    <w:rsid w:val="002313E5"/>
    <w:rsid w:val="002341B0"/>
    <w:rsid w:val="00242B8D"/>
    <w:rsid w:val="00257576"/>
    <w:rsid w:val="00257A66"/>
    <w:rsid w:val="00260003"/>
    <w:rsid w:val="00262AC6"/>
    <w:rsid w:val="00262B81"/>
    <w:rsid w:val="00263A01"/>
    <w:rsid w:val="00265E0D"/>
    <w:rsid w:val="00265FC7"/>
    <w:rsid w:val="002706A2"/>
    <w:rsid w:val="00271D94"/>
    <w:rsid w:val="00272DCD"/>
    <w:rsid w:val="0027462B"/>
    <w:rsid w:val="00281AC7"/>
    <w:rsid w:val="0028651A"/>
    <w:rsid w:val="00287355"/>
    <w:rsid w:val="002A6E11"/>
    <w:rsid w:val="002B27EF"/>
    <w:rsid w:val="002B4844"/>
    <w:rsid w:val="002B49FE"/>
    <w:rsid w:val="002B4C67"/>
    <w:rsid w:val="002C69A4"/>
    <w:rsid w:val="002C6A7F"/>
    <w:rsid w:val="002D0969"/>
    <w:rsid w:val="002D372B"/>
    <w:rsid w:val="002D66C8"/>
    <w:rsid w:val="002E2EC1"/>
    <w:rsid w:val="002E40ED"/>
    <w:rsid w:val="002E525A"/>
    <w:rsid w:val="002E6279"/>
    <w:rsid w:val="002E712F"/>
    <w:rsid w:val="002F00D4"/>
    <w:rsid w:val="002F0B65"/>
    <w:rsid w:val="002F0B8A"/>
    <w:rsid w:val="002F21DA"/>
    <w:rsid w:val="002F316F"/>
    <w:rsid w:val="002F3A6A"/>
    <w:rsid w:val="002F5706"/>
    <w:rsid w:val="002F6AD3"/>
    <w:rsid w:val="00306040"/>
    <w:rsid w:val="003102A3"/>
    <w:rsid w:val="00310F96"/>
    <w:rsid w:val="00314E84"/>
    <w:rsid w:val="00315755"/>
    <w:rsid w:val="00327081"/>
    <w:rsid w:val="003331EE"/>
    <w:rsid w:val="00335A28"/>
    <w:rsid w:val="00337560"/>
    <w:rsid w:val="003429F2"/>
    <w:rsid w:val="00343245"/>
    <w:rsid w:val="00343BA0"/>
    <w:rsid w:val="0034630B"/>
    <w:rsid w:val="00346AF9"/>
    <w:rsid w:val="00346B76"/>
    <w:rsid w:val="00347D06"/>
    <w:rsid w:val="00347FFC"/>
    <w:rsid w:val="00350363"/>
    <w:rsid w:val="00350AC2"/>
    <w:rsid w:val="00352738"/>
    <w:rsid w:val="00357B31"/>
    <w:rsid w:val="0036170A"/>
    <w:rsid w:val="003666B3"/>
    <w:rsid w:val="003676EB"/>
    <w:rsid w:val="0037050B"/>
    <w:rsid w:val="00370AB3"/>
    <w:rsid w:val="00370CF4"/>
    <w:rsid w:val="0037341A"/>
    <w:rsid w:val="00376609"/>
    <w:rsid w:val="00377C74"/>
    <w:rsid w:val="0038232D"/>
    <w:rsid w:val="0038320B"/>
    <w:rsid w:val="00383C8F"/>
    <w:rsid w:val="00387228"/>
    <w:rsid w:val="003A121C"/>
    <w:rsid w:val="003A229D"/>
    <w:rsid w:val="003A76F6"/>
    <w:rsid w:val="003B197C"/>
    <w:rsid w:val="003B1D28"/>
    <w:rsid w:val="003B2A40"/>
    <w:rsid w:val="003B53B3"/>
    <w:rsid w:val="003D0967"/>
    <w:rsid w:val="003D10E0"/>
    <w:rsid w:val="003D2C2B"/>
    <w:rsid w:val="003D3C3E"/>
    <w:rsid w:val="003D58F8"/>
    <w:rsid w:val="003D7964"/>
    <w:rsid w:val="003E152B"/>
    <w:rsid w:val="003E21BA"/>
    <w:rsid w:val="003E440C"/>
    <w:rsid w:val="003F5E9C"/>
    <w:rsid w:val="003F6921"/>
    <w:rsid w:val="003F7CBB"/>
    <w:rsid w:val="00402B6C"/>
    <w:rsid w:val="004032AC"/>
    <w:rsid w:val="00404076"/>
    <w:rsid w:val="00410D5A"/>
    <w:rsid w:val="00411475"/>
    <w:rsid w:val="00411C59"/>
    <w:rsid w:val="00412A4D"/>
    <w:rsid w:val="00412A89"/>
    <w:rsid w:val="00413D0A"/>
    <w:rsid w:val="004143C4"/>
    <w:rsid w:val="00422C23"/>
    <w:rsid w:val="0042468A"/>
    <w:rsid w:val="00425055"/>
    <w:rsid w:val="00430CEC"/>
    <w:rsid w:val="00432526"/>
    <w:rsid w:val="00434345"/>
    <w:rsid w:val="00435BA6"/>
    <w:rsid w:val="004368E3"/>
    <w:rsid w:val="004401F6"/>
    <w:rsid w:val="00444079"/>
    <w:rsid w:val="00444228"/>
    <w:rsid w:val="00444784"/>
    <w:rsid w:val="004454D3"/>
    <w:rsid w:val="00446162"/>
    <w:rsid w:val="00446B1C"/>
    <w:rsid w:val="00452887"/>
    <w:rsid w:val="0045405F"/>
    <w:rsid w:val="00454C7C"/>
    <w:rsid w:val="00455102"/>
    <w:rsid w:val="00460665"/>
    <w:rsid w:val="004607FB"/>
    <w:rsid w:val="00460ED4"/>
    <w:rsid w:val="0046182A"/>
    <w:rsid w:val="00462B6A"/>
    <w:rsid w:val="00464CC7"/>
    <w:rsid w:val="00465632"/>
    <w:rsid w:val="00466454"/>
    <w:rsid w:val="004669B1"/>
    <w:rsid w:val="00466AC2"/>
    <w:rsid w:val="00466E34"/>
    <w:rsid w:val="004717A9"/>
    <w:rsid w:val="00473548"/>
    <w:rsid w:val="004753D9"/>
    <w:rsid w:val="00477426"/>
    <w:rsid w:val="004806F0"/>
    <w:rsid w:val="00480BF5"/>
    <w:rsid w:val="00481970"/>
    <w:rsid w:val="00481B8F"/>
    <w:rsid w:val="00483B57"/>
    <w:rsid w:val="004A019C"/>
    <w:rsid w:val="004A460E"/>
    <w:rsid w:val="004A66F3"/>
    <w:rsid w:val="004A7E65"/>
    <w:rsid w:val="004B1BCD"/>
    <w:rsid w:val="004B34BB"/>
    <w:rsid w:val="004B3BD0"/>
    <w:rsid w:val="004B4317"/>
    <w:rsid w:val="004B5105"/>
    <w:rsid w:val="004C2E42"/>
    <w:rsid w:val="004C3990"/>
    <w:rsid w:val="004C5F5E"/>
    <w:rsid w:val="004C6C19"/>
    <w:rsid w:val="004D054B"/>
    <w:rsid w:val="004D0FFC"/>
    <w:rsid w:val="004D217C"/>
    <w:rsid w:val="004D53AD"/>
    <w:rsid w:val="004D5D51"/>
    <w:rsid w:val="004E1D1B"/>
    <w:rsid w:val="004E7413"/>
    <w:rsid w:val="004F18BB"/>
    <w:rsid w:val="004F467F"/>
    <w:rsid w:val="004F4EB6"/>
    <w:rsid w:val="00500C55"/>
    <w:rsid w:val="00502C16"/>
    <w:rsid w:val="00504261"/>
    <w:rsid w:val="005066E7"/>
    <w:rsid w:val="00507D55"/>
    <w:rsid w:val="00514399"/>
    <w:rsid w:val="005166B9"/>
    <w:rsid w:val="00517C7D"/>
    <w:rsid w:val="00522154"/>
    <w:rsid w:val="00524AFA"/>
    <w:rsid w:val="0052618A"/>
    <w:rsid w:val="00527984"/>
    <w:rsid w:val="005307FF"/>
    <w:rsid w:val="00541709"/>
    <w:rsid w:val="00542167"/>
    <w:rsid w:val="0054509D"/>
    <w:rsid w:val="00547A8B"/>
    <w:rsid w:val="00553C5C"/>
    <w:rsid w:val="00554DAD"/>
    <w:rsid w:val="00555133"/>
    <w:rsid w:val="00560C65"/>
    <w:rsid w:val="005614F6"/>
    <w:rsid w:val="005633B4"/>
    <w:rsid w:val="00574F82"/>
    <w:rsid w:val="00575F9B"/>
    <w:rsid w:val="005771A3"/>
    <w:rsid w:val="0057782F"/>
    <w:rsid w:val="005815CC"/>
    <w:rsid w:val="00583141"/>
    <w:rsid w:val="0058633E"/>
    <w:rsid w:val="00590C8C"/>
    <w:rsid w:val="00590D62"/>
    <w:rsid w:val="00593191"/>
    <w:rsid w:val="00593340"/>
    <w:rsid w:val="005A2A95"/>
    <w:rsid w:val="005B0D58"/>
    <w:rsid w:val="005B1C8B"/>
    <w:rsid w:val="005B29FD"/>
    <w:rsid w:val="005B5835"/>
    <w:rsid w:val="005B66FC"/>
    <w:rsid w:val="005C083A"/>
    <w:rsid w:val="005C6264"/>
    <w:rsid w:val="005D3BE6"/>
    <w:rsid w:val="005D572B"/>
    <w:rsid w:val="005D633F"/>
    <w:rsid w:val="005D6FA8"/>
    <w:rsid w:val="005D7328"/>
    <w:rsid w:val="005E2F8F"/>
    <w:rsid w:val="005E3DA5"/>
    <w:rsid w:val="005E4B83"/>
    <w:rsid w:val="005E51E1"/>
    <w:rsid w:val="005E5474"/>
    <w:rsid w:val="005E7AFD"/>
    <w:rsid w:val="005F23F2"/>
    <w:rsid w:val="005F25BE"/>
    <w:rsid w:val="005F3636"/>
    <w:rsid w:val="005F4B8F"/>
    <w:rsid w:val="005F6550"/>
    <w:rsid w:val="005F6894"/>
    <w:rsid w:val="005F6B17"/>
    <w:rsid w:val="006041E5"/>
    <w:rsid w:val="0060474D"/>
    <w:rsid w:val="00616390"/>
    <w:rsid w:val="00621FC0"/>
    <w:rsid w:val="006246ED"/>
    <w:rsid w:val="00626D1F"/>
    <w:rsid w:val="00627024"/>
    <w:rsid w:val="006334FD"/>
    <w:rsid w:val="006336BF"/>
    <w:rsid w:val="00634E43"/>
    <w:rsid w:val="006401EA"/>
    <w:rsid w:val="00641D2A"/>
    <w:rsid w:val="006440F8"/>
    <w:rsid w:val="006463E0"/>
    <w:rsid w:val="00652934"/>
    <w:rsid w:val="00656BDC"/>
    <w:rsid w:val="00657999"/>
    <w:rsid w:val="0066061E"/>
    <w:rsid w:val="00661C0F"/>
    <w:rsid w:val="00667CAF"/>
    <w:rsid w:val="00670127"/>
    <w:rsid w:val="00671B96"/>
    <w:rsid w:val="00672840"/>
    <w:rsid w:val="00672A32"/>
    <w:rsid w:val="00672C0A"/>
    <w:rsid w:val="00673355"/>
    <w:rsid w:val="006733BC"/>
    <w:rsid w:val="006851ED"/>
    <w:rsid w:val="00686D6E"/>
    <w:rsid w:val="006871D2"/>
    <w:rsid w:val="00691155"/>
    <w:rsid w:val="0069505A"/>
    <w:rsid w:val="0069505B"/>
    <w:rsid w:val="006A20A8"/>
    <w:rsid w:val="006A2774"/>
    <w:rsid w:val="006A3DF0"/>
    <w:rsid w:val="006A43C1"/>
    <w:rsid w:val="006B1676"/>
    <w:rsid w:val="006B1D1B"/>
    <w:rsid w:val="006B5FAD"/>
    <w:rsid w:val="006C20B0"/>
    <w:rsid w:val="006C2430"/>
    <w:rsid w:val="006C2AC8"/>
    <w:rsid w:val="006C40DE"/>
    <w:rsid w:val="006C538F"/>
    <w:rsid w:val="006C6EAE"/>
    <w:rsid w:val="006C72D3"/>
    <w:rsid w:val="006D0765"/>
    <w:rsid w:val="006D1F7B"/>
    <w:rsid w:val="006D6A9B"/>
    <w:rsid w:val="006E1652"/>
    <w:rsid w:val="006E3E05"/>
    <w:rsid w:val="006E550A"/>
    <w:rsid w:val="006E7742"/>
    <w:rsid w:val="006E7AB0"/>
    <w:rsid w:val="006F117E"/>
    <w:rsid w:val="006F5AB1"/>
    <w:rsid w:val="006F6A15"/>
    <w:rsid w:val="0070068E"/>
    <w:rsid w:val="007058C0"/>
    <w:rsid w:val="00707C72"/>
    <w:rsid w:val="0071032C"/>
    <w:rsid w:val="0071243A"/>
    <w:rsid w:val="00712802"/>
    <w:rsid w:val="007139EE"/>
    <w:rsid w:val="007164A1"/>
    <w:rsid w:val="00721FE0"/>
    <w:rsid w:val="007231AD"/>
    <w:rsid w:val="007238CA"/>
    <w:rsid w:val="00723B74"/>
    <w:rsid w:val="007262D6"/>
    <w:rsid w:val="00726B8B"/>
    <w:rsid w:val="0074553A"/>
    <w:rsid w:val="007470D1"/>
    <w:rsid w:val="007472FB"/>
    <w:rsid w:val="00753305"/>
    <w:rsid w:val="00753F94"/>
    <w:rsid w:val="00755A6D"/>
    <w:rsid w:val="00761CA4"/>
    <w:rsid w:val="00762E3F"/>
    <w:rsid w:val="00764015"/>
    <w:rsid w:val="00766B94"/>
    <w:rsid w:val="0077101F"/>
    <w:rsid w:val="00771B16"/>
    <w:rsid w:val="00774F2B"/>
    <w:rsid w:val="0077529F"/>
    <w:rsid w:val="007760D0"/>
    <w:rsid w:val="00780AF7"/>
    <w:rsid w:val="00783489"/>
    <w:rsid w:val="00784B4C"/>
    <w:rsid w:val="007862F5"/>
    <w:rsid w:val="0078663F"/>
    <w:rsid w:val="007935B0"/>
    <w:rsid w:val="00793CD3"/>
    <w:rsid w:val="00794834"/>
    <w:rsid w:val="0079581B"/>
    <w:rsid w:val="00796096"/>
    <w:rsid w:val="00796FCB"/>
    <w:rsid w:val="007977C4"/>
    <w:rsid w:val="007A096C"/>
    <w:rsid w:val="007A4E4C"/>
    <w:rsid w:val="007A522A"/>
    <w:rsid w:val="007A7398"/>
    <w:rsid w:val="007B3431"/>
    <w:rsid w:val="007B40F5"/>
    <w:rsid w:val="007B7733"/>
    <w:rsid w:val="007C11F2"/>
    <w:rsid w:val="007C7042"/>
    <w:rsid w:val="007D2F0F"/>
    <w:rsid w:val="007D2F42"/>
    <w:rsid w:val="007D7074"/>
    <w:rsid w:val="007E1D1A"/>
    <w:rsid w:val="007F107B"/>
    <w:rsid w:val="007F5562"/>
    <w:rsid w:val="00802DB7"/>
    <w:rsid w:val="008062A5"/>
    <w:rsid w:val="00807B28"/>
    <w:rsid w:val="00811118"/>
    <w:rsid w:val="00814C73"/>
    <w:rsid w:val="00821E6D"/>
    <w:rsid w:val="00823B5F"/>
    <w:rsid w:val="00823E8E"/>
    <w:rsid w:val="00831BDA"/>
    <w:rsid w:val="0083402B"/>
    <w:rsid w:val="00840285"/>
    <w:rsid w:val="00840CDC"/>
    <w:rsid w:val="00846658"/>
    <w:rsid w:val="00847782"/>
    <w:rsid w:val="00850AFE"/>
    <w:rsid w:val="00852B99"/>
    <w:rsid w:val="00855010"/>
    <w:rsid w:val="00855AA6"/>
    <w:rsid w:val="00855B71"/>
    <w:rsid w:val="00855C7D"/>
    <w:rsid w:val="0085720D"/>
    <w:rsid w:val="008579FD"/>
    <w:rsid w:val="00862429"/>
    <w:rsid w:val="00862F6E"/>
    <w:rsid w:val="008709E6"/>
    <w:rsid w:val="00870CFD"/>
    <w:rsid w:val="00877486"/>
    <w:rsid w:val="008800C6"/>
    <w:rsid w:val="00882DF8"/>
    <w:rsid w:val="0088492F"/>
    <w:rsid w:val="008879EF"/>
    <w:rsid w:val="00887A32"/>
    <w:rsid w:val="0089140E"/>
    <w:rsid w:val="00891EC9"/>
    <w:rsid w:val="00893909"/>
    <w:rsid w:val="00894717"/>
    <w:rsid w:val="008A20A2"/>
    <w:rsid w:val="008A79CD"/>
    <w:rsid w:val="008A7C9E"/>
    <w:rsid w:val="008B1D6B"/>
    <w:rsid w:val="008B2841"/>
    <w:rsid w:val="008B2FC9"/>
    <w:rsid w:val="008B3D3F"/>
    <w:rsid w:val="008C25C8"/>
    <w:rsid w:val="008C2962"/>
    <w:rsid w:val="008C2F86"/>
    <w:rsid w:val="008C38B8"/>
    <w:rsid w:val="008C5677"/>
    <w:rsid w:val="008C71ED"/>
    <w:rsid w:val="008D31AC"/>
    <w:rsid w:val="008D3778"/>
    <w:rsid w:val="008E3321"/>
    <w:rsid w:val="008E3FAA"/>
    <w:rsid w:val="008E3FD0"/>
    <w:rsid w:val="008E5942"/>
    <w:rsid w:val="008E7D3D"/>
    <w:rsid w:val="008F24C6"/>
    <w:rsid w:val="008F55EA"/>
    <w:rsid w:val="008F6E82"/>
    <w:rsid w:val="008F7D58"/>
    <w:rsid w:val="00900222"/>
    <w:rsid w:val="0090354F"/>
    <w:rsid w:val="00906CD8"/>
    <w:rsid w:val="009142BB"/>
    <w:rsid w:val="009168AF"/>
    <w:rsid w:val="009177BB"/>
    <w:rsid w:val="00920E41"/>
    <w:rsid w:val="00921601"/>
    <w:rsid w:val="009232E9"/>
    <w:rsid w:val="0092642F"/>
    <w:rsid w:val="00926E88"/>
    <w:rsid w:val="00932726"/>
    <w:rsid w:val="0093606E"/>
    <w:rsid w:val="00944925"/>
    <w:rsid w:val="00944AAC"/>
    <w:rsid w:val="0094660D"/>
    <w:rsid w:val="00951D2A"/>
    <w:rsid w:val="00953111"/>
    <w:rsid w:val="00955E8A"/>
    <w:rsid w:val="00956489"/>
    <w:rsid w:val="00957B16"/>
    <w:rsid w:val="00960F92"/>
    <w:rsid w:val="00964783"/>
    <w:rsid w:val="00964FDC"/>
    <w:rsid w:val="009659E4"/>
    <w:rsid w:val="00976863"/>
    <w:rsid w:val="0098004D"/>
    <w:rsid w:val="00980114"/>
    <w:rsid w:val="00980403"/>
    <w:rsid w:val="009847FC"/>
    <w:rsid w:val="00993F54"/>
    <w:rsid w:val="009961B2"/>
    <w:rsid w:val="009A0558"/>
    <w:rsid w:val="009A0FF0"/>
    <w:rsid w:val="009A629B"/>
    <w:rsid w:val="009B20B2"/>
    <w:rsid w:val="009B3D53"/>
    <w:rsid w:val="009B7695"/>
    <w:rsid w:val="009B7E38"/>
    <w:rsid w:val="009C17D4"/>
    <w:rsid w:val="009C1C09"/>
    <w:rsid w:val="009C7254"/>
    <w:rsid w:val="009C7DBA"/>
    <w:rsid w:val="009C7F12"/>
    <w:rsid w:val="009D1404"/>
    <w:rsid w:val="009D1536"/>
    <w:rsid w:val="009D1ABE"/>
    <w:rsid w:val="009D2D99"/>
    <w:rsid w:val="009D43A1"/>
    <w:rsid w:val="009D4B30"/>
    <w:rsid w:val="009D5964"/>
    <w:rsid w:val="009E05FB"/>
    <w:rsid w:val="009E2EB0"/>
    <w:rsid w:val="009E45A6"/>
    <w:rsid w:val="009E4C27"/>
    <w:rsid w:val="009E5F5B"/>
    <w:rsid w:val="009E6409"/>
    <w:rsid w:val="009E7BCC"/>
    <w:rsid w:val="009F6454"/>
    <w:rsid w:val="00A01EE1"/>
    <w:rsid w:val="00A02421"/>
    <w:rsid w:val="00A10A16"/>
    <w:rsid w:val="00A113F2"/>
    <w:rsid w:val="00A12E8B"/>
    <w:rsid w:val="00A26CE7"/>
    <w:rsid w:val="00A26ECB"/>
    <w:rsid w:val="00A270F6"/>
    <w:rsid w:val="00A3107C"/>
    <w:rsid w:val="00A31EDE"/>
    <w:rsid w:val="00A3317A"/>
    <w:rsid w:val="00A33885"/>
    <w:rsid w:val="00A376AD"/>
    <w:rsid w:val="00A4137D"/>
    <w:rsid w:val="00A41716"/>
    <w:rsid w:val="00A41EB0"/>
    <w:rsid w:val="00A44E77"/>
    <w:rsid w:val="00A46AE4"/>
    <w:rsid w:val="00A52F64"/>
    <w:rsid w:val="00A564AE"/>
    <w:rsid w:val="00A62887"/>
    <w:rsid w:val="00A63FB7"/>
    <w:rsid w:val="00A64EF2"/>
    <w:rsid w:val="00A67788"/>
    <w:rsid w:val="00A7057D"/>
    <w:rsid w:val="00A71A73"/>
    <w:rsid w:val="00A72130"/>
    <w:rsid w:val="00A74048"/>
    <w:rsid w:val="00A74697"/>
    <w:rsid w:val="00A74ED9"/>
    <w:rsid w:val="00A76ABC"/>
    <w:rsid w:val="00A77A81"/>
    <w:rsid w:val="00A81DD7"/>
    <w:rsid w:val="00A90A92"/>
    <w:rsid w:val="00A91B6A"/>
    <w:rsid w:val="00A9519D"/>
    <w:rsid w:val="00A952C4"/>
    <w:rsid w:val="00AA14F4"/>
    <w:rsid w:val="00AA2313"/>
    <w:rsid w:val="00AA3B47"/>
    <w:rsid w:val="00AA7BFE"/>
    <w:rsid w:val="00AB258E"/>
    <w:rsid w:val="00AB274D"/>
    <w:rsid w:val="00AC20C3"/>
    <w:rsid w:val="00AC2669"/>
    <w:rsid w:val="00AC3107"/>
    <w:rsid w:val="00AC6163"/>
    <w:rsid w:val="00AC6353"/>
    <w:rsid w:val="00AC7AAE"/>
    <w:rsid w:val="00AD0060"/>
    <w:rsid w:val="00AD1E9E"/>
    <w:rsid w:val="00AD1ECD"/>
    <w:rsid w:val="00AD5160"/>
    <w:rsid w:val="00AD5EBC"/>
    <w:rsid w:val="00AD70AE"/>
    <w:rsid w:val="00AD718C"/>
    <w:rsid w:val="00AD7AD8"/>
    <w:rsid w:val="00AE06BF"/>
    <w:rsid w:val="00AE14EC"/>
    <w:rsid w:val="00AE1BBA"/>
    <w:rsid w:val="00AE2CD6"/>
    <w:rsid w:val="00AE55AB"/>
    <w:rsid w:val="00AE5A26"/>
    <w:rsid w:val="00AE6929"/>
    <w:rsid w:val="00AF031A"/>
    <w:rsid w:val="00AF0E98"/>
    <w:rsid w:val="00AF4B26"/>
    <w:rsid w:val="00B00BB8"/>
    <w:rsid w:val="00B02348"/>
    <w:rsid w:val="00B04944"/>
    <w:rsid w:val="00B060E3"/>
    <w:rsid w:val="00B10963"/>
    <w:rsid w:val="00B1257A"/>
    <w:rsid w:val="00B12D14"/>
    <w:rsid w:val="00B1358A"/>
    <w:rsid w:val="00B1425A"/>
    <w:rsid w:val="00B14E45"/>
    <w:rsid w:val="00B16E08"/>
    <w:rsid w:val="00B17455"/>
    <w:rsid w:val="00B21F02"/>
    <w:rsid w:val="00B242CB"/>
    <w:rsid w:val="00B250FE"/>
    <w:rsid w:val="00B32463"/>
    <w:rsid w:val="00B33205"/>
    <w:rsid w:val="00B33913"/>
    <w:rsid w:val="00B33DFA"/>
    <w:rsid w:val="00B451A9"/>
    <w:rsid w:val="00B46698"/>
    <w:rsid w:val="00B475B3"/>
    <w:rsid w:val="00B54C4B"/>
    <w:rsid w:val="00B641D0"/>
    <w:rsid w:val="00B648E0"/>
    <w:rsid w:val="00B66E4D"/>
    <w:rsid w:val="00B67496"/>
    <w:rsid w:val="00B75A1D"/>
    <w:rsid w:val="00B8109D"/>
    <w:rsid w:val="00B8179B"/>
    <w:rsid w:val="00B84329"/>
    <w:rsid w:val="00B846A3"/>
    <w:rsid w:val="00B912E0"/>
    <w:rsid w:val="00B9268E"/>
    <w:rsid w:val="00B94B9A"/>
    <w:rsid w:val="00B959B9"/>
    <w:rsid w:val="00B974E8"/>
    <w:rsid w:val="00B9764D"/>
    <w:rsid w:val="00BA1424"/>
    <w:rsid w:val="00BA2256"/>
    <w:rsid w:val="00BA2B4C"/>
    <w:rsid w:val="00BA3F2D"/>
    <w:rsid w:val="00BA451B"/>
    <w:rsid w:val="00BA5199"/>
    <w:rsid w:val="00BB0838"/>
    <w:rsid w:val="00BB2183"/>
    <w:rsid w:val="00BB411B"/>
    <w:rsid w:val="00BB46A0"/>
    <w:rsid w:val="00BB7122"/>
    <w:rsid w:val="00BC031E"/>
    <w:rsid w:val="00BC1D31"/>
    <w:rsid w:val="00BC1F8A"/>
    <w:rsid w:val="00BC27D4"/>
    <w:rsid w:val="00BC41A0"/>
    <w:rsid w:val="00BD0091"/>
    <w:rsid w:val="00BD06A6"/>
    <w:rsid w:val="00BD3ACE"/>
    <w:rsid w:val="00BD6C74"/>
    <w:rsid w:val="00BE735C"/>
    <w:rsid w:val="00BF0878"/>
    <w:rsid w:val="00BF3358"/>
    <w:rsid w:val="00BF5690"/>
    <w:rsid w:val="00BF639B"/>
    <w:rsid w:val="00C0104E"/>
    <w:rsid w:val="00C02937"/>
    <w:rsid w:val="00C0323E"/>
    <w:rsid w:val="00C036F7"/>
    <w:rsid w:val="00C03E5B"/>
    <w:rsid w:val="00C04058"/>
    <w:rsid w:val="00C06B27"/>
    <w:rsid w:val="00C076C1"/>
    <w:rsid w:val="00C10877"/>
    <w:rsid w:val="00C13153"/>
    <w:rsid w:val="00C142A5"/>
    <w:rsid w:val="00C16FA2"/>
    <w:rsid w:val="00C24E33"/>
    <w:rsid w:val="00C27945"/>
    <w:rsid w:val="00C31D81"/>
    <w:rsid w:val="00C352EA"/>
    <w:rsid w:val="00C40D49"/>
    <w:rsid w:val="00C42100"/>
    <w:rsid w:val="00C43515"/>
    <w:rsid w:val="00C44450"/>
    <w:rsid w:val="00C44893"/>
    <w:rsid w:val="00C44E1B"/>
    <w:rsid w:val="00C45C0E"/>
    <w:rsid w:val="00C4740B"/>
    <w:rsid w:val="00C4763B"/>
    <w:rsid w:val="00C603DE"/>
    <w:rsid w:val="00C61742"/>
    <w:rsid w:val="00C61D2C"/>
    <w:rsid w:val="00C62383"/>
    <w:rsid w:val="00C63CB5"/>
    <w:rsid w:val="00C6485D"/>
    <w:rsid w:val="00C64E15"/>
    <w:rsid w:val="00C672A3"/>
    <w:rsid w:val="00C802CE"/>
    <w:rsid w:val="00C81734"/>
    <w:rsid w:val="00C83124"/>
    <w:rsid w:val="00C839F2"/>
    <w:rsid w:val="00C8468B"/>
    <w:rsid w:val="00C92807"/>
    <w:rsid w:val="00C939FC"/>
    <w:rsid w:val="00C9502D"/>
    <w:rsid w:val="00C97908"/>
    <w:rsid w:val="00CA0B6A"/>
    <w:rsid w:val="00CA0E12"/>
    <w:rsid w:val="00CA1EC3"/>
    <w:rsid w:val="00CA318C"/>
    <w:rsid w:val="00CA577E"/>
    <w:rsid w:val="00CA6505"/>
    <w:rsid w:val="00CA7227"/>
    <w:rsid w:val="00CB588D"/>
    <w:rsid w:val="00CB7D42"/>
    <w:rsid w:val="00CC37DB"/>
    <w:rsid w:val="00CC795E"/>
    <w:rsid w:val="00CD0289"/>
    <w:rsid w:val="00CD24B3"/>
    <w:rsid w:val="00CD3809"/>
    <w:rsid w:val="00CD4ACC"/>
    <w:rsid w:val="00CE2E7F"/>
    <w:rsid w:val="00CF1AB3"/>
    <w:rsid w:val="00CF1F92"/>
    <w:rsid w:val="00CF3243"/>
    <w:rsid w:val="00CF44F8"/>
    <w:rsid w:val="00D002DE"/>
    <w:rsid w:val="00D0442B"/>
    <w:rsid w:val="00D06403"/>
    <w:rsid w:val="00D11F7F"/>
    <w:rsid w:val="00D22FC6"/>
    <w:rsid w:val="00D25E27"/>
    <w:rsid w:val="00D305B5"/>
    <w:rsid w:val="00D32900"/>
    <w:rsid w:val="00D34EC4"/>
    <w:rsid w:val="00D36A07"/>
    <w:rsid w:val="00D414ED"/>
    <w:rsid w:val="00D41CA0"/>
    <w:rsid w:val="00D42D8D"/>
    <w:rsid w:val="00D43B84"/>
    <w:rsid w:val="00D45DE4"/>
    <w:rsid w:val="00D50156"/>
    <w:rsid w:val="00D50BAD"/>
    <w:rsid w:val="00D50DD7"/>
    <w:rsid w:val="00D5167B"/>
    <w:rsid w:val="00D51AFF"/>
    <w:rsid w:val="00D53F49"/>
    <w:rsid w:val="00D561D6"/>
    <w:rsid w:val="00D671C7"/>
    <w:rsid w:val="00D672BA"/>
    <w:rsid w:val="00D6768B"/>
    <w:rsid w:val="00D67CAA"/>
    <w:rsid w:val="00D70D16"/>
    <w:rsid w:val="00D72F49"/>
    <w:rsid w:val="00D80ACE"/>
    <w:rsid w:val="00D816A5"/>
    <w:rsid w:val="00D816D3"/>
    <w:rsid w:val="00D84CB7"/>
    <w:rsid w:val="00D91255"/>
    <w:rsid w:val="00D93DA6"/>
    <w:rsid w:val="00D942F3"/>
    <w:rsid w:val="00D97365"/>
    <w:rsid w:val="00D97E90"/>
    <w:rsid w:val="00DA080F"/>
    <w:rsid w:val="00DA15E2"/>
    <w:rsid w:val="00DA1DE9"/>
    <w:rsid w:val="00DA2BE1"/>
    <w:rsid w:val="00DA50CD"/>
    <w:rsid w:val="00DA59D4"/>
    <w:rsid w:val="00DA7C58"/>
    <w:rsid w:val="00DB4F52"/>
    <w:rsid w:val="00DB511E"/>
    <w:rsid w:val="00DB676C"/>
    <w:rsid w:val="00DC08E9"/>
    <w:rsid w:val="00DC0A63"/>
    <w:rsid w:val="00DC5217"/>
    <w:rsid w:val="00DD136D"/>
    <w:rsid w:val="00DD2F98"/>
    <w:rsid w:val="00DD514A"/>
    <w:rsid w:val="00DD7CC3"/>
    <w:rsid w:val="00DE2BD6"/>
    <w:rsid w:val="00DE415F"/>
    <w:rsid w:val="00DE68D8"/>
    <w:rsid w:val="00DE7E61"/>
    <w:rsid w:val="00DF1FFD"/>
    <w:rsid w:val="00DF6239"/>
    <w:rsid w:val="00DF7859"/>
    <w:rsid w:val="00E00C83"/>
    <w:rsid w:val="00E016C3"/>
    <w:rsid w:val="00E016E9"/>
    <w:rsid w:val="00E01A5E"/>
    <w:rsid w:val="00E01DAD"/>
    <w:rsid w:val="00E02E8F"/>
    <w:rsid w:val="00E03557"/>
    <w:rsid w:val="00E041DB"/>
    <w:rsid w:val="00E05A81"/>
    <w:rsid w:val="00E133E2"/>
    <w:rsid w:val="00E150D6"/>
    <w:rsid w:val="00E16960"/>
    <w:rsid w:val="00E16A67"/>
    <w:rsid w:val="00E203FE"/>
    <w:rsid w:val="00E223A9"/>
    <w:rsid w:val="00E232FF"/>
    <w:rsid w:val="00E254A6"/>
    <w:rsid w:val="00E27939"/>
    <w:rsid w:val="00E27E41"/>
    <w:rsid w:val="00E34BBF"/>
    <w:rsid w:val="00E35418"/>
    <w:rsid w:val="00E36F50"/>
    <w:rsid w:val="00E50C94"/>
    <w:rsid w:val="00E52824"/>
    <w:rsid w:val="00E52D35"/>
    <w:rsid w:val="00E5305A"/>
    <w:rsid w:val="00E628BB"/>
    <w:rsid w:val="00E62B7F"/>
    <w:rsid w:val="00E75037"/>
    <w:rsid w:val="00E77DE2"/>
    <w:rsid w:val="00E809A7"/>
    <w:rsid w:val="00E85AB7"/>
    <w:rsid w:val="00E86A5D"/>
    <w:rsid w:val="00E86AE9"/>
    <w:rsid w:val="00E908D6"/>
    <w:rsid w:val="00E93343"/>
    <w:rsid w:val="00E95565"/>
    <w:rsid w:val="00E9645A"/>
    <w:rsid w:val="00E9664D"/>
    <w:rsid w:val="00E96E4F"/>
    <w:rsid w:val="00EA1377"/>
    <w:rsid w:val="00EA4AEB"/>
    <w:rsid w:val="00EA4E00"/>
    <w:rsid w:val="00EA51DE"/>
    <w:rsid w:val="00EA6BD4"/>
    <w:rsid w:val="00EA6E19"/>
    <w:rsid w:val="00EA6FA7"/>
    <w:rsid w:val="00EB000D"/>
    <w:rsid w:val="00EB22C2"/>
    <w:rsid w:val="00EB2D68"/>
    <w:rsid w:val="00EB5397"/>
    <w:rsid w:val="00EB6D19"/>
    <w:rsid w:val="00EB6E6A"/>
    <w:rsid w:val="00EC00CA"/>
    <w:rsid w:val="00EC2769"/>
    <w:rsid w:val="00EC4AAC"/>
    <w:rsid w:val="00EC7452"/>
    <w:rsid w:val="00EC784D"/>
    <w:rsid w:val="00ED4081"/>
    <w:rsid w:val="00ED5BA8"/>
    <w:rsid w:val="00EF23EE"/>
    <w:rsid w:val="00EF32A4"/>
    <w:rsid w:val="00EF39B8"/>
    <w:rsid w:val="00EF3E94"/>
    <w:rsid w:val="00EF591D"/>
    <w:rsid w:val="00F01F9E"/>
    <w:rsid w:val="00F02A93"/>
    <w:rsid w:val="00F03019"/>
    <w:rsid w:val="00F104F7"/>
    <w:rsid w:val="00F127BF"/>
    <w:rsid w:val="00F13B70"/>
    <w:rsid w:val="00F150E2"/>
    <w:rsid w:val="00F154A1"/>
    <w:rsid w:val="00F208FE"/>
    <w:rsid w:val="00F226EE"/>
    <w:rsid w:val="00F303CD"/>
    <w:rsid w:val="00F31838"/>
    <w:rsid w:val="00F31F9C"/>
    <w:rsid w:val="00F3586C"/>
    <w:rsid w:val="00F35C9D"/>
    <w:rsid w:val="00F36239"/>
    <w:rsid w:val="00F36F66"/>
    <w:rsid w:val="00F412E9"/>
    <w:rsid w:val="00F41AE8"/>
    <w:rsid w:val="00F46761"/>
    <w:rsid w:val="00F4765B"/>
    <w:rsid w:val="00F517D2"/>
    <w:rsid w:val="00F57B8B"/>
    <w:rsid w:val="00F60788"/>
    <w:rsid w:val="00F627E9"/>
    <w:rsid w:val="00F65790"/>
    <w:rsid w:val="00F67057"/>
    <w:rsid w:val="00F72643"/>
    <w:rsid w:val="00F731D9"/>
    <w:rsid w:val="00F736E6"/>
    <w:rsid w:val="00F80F4D"/>
    <w:rsid w:val="00F82906"/>
    <w:rsid w:val="00F85CCF"/>
    <w:rsid w:val="00F873DF"/>
    <w:rsid w:val="00F94445"/>
    <w:rsid w:val="00F96940"/>
    <w:rsid w:val="00FA1AF9"/>
    <w:rsid w:val="00FA57E6"/>
    <w:rsid w:val="00FA6F95"/>
    <w:rsid w:val="00FB2166"/>
    <w:rsid w:val="00FC1B22"/>
    <w:rsid w:val="00FC253A"/>
    <w:rsid w:val="00FC4278"/>
    <w:rsid w:val="00FC7293"/>
    <w:rsid w:val="00FC73A2"/>
    <w:rsid w:val="00FC7ACB"/>
    <w:rsid w:val="00FF4AC9"/>
    <w:rsid w:val="00FF55C6"/>
    <w:rsid w:val="00FF623F"/>
    <w:rsid w:val="754468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4995DB5"/>
  <w15:chartTrackingRefBased/>
  <w15:docId w15:val="{6BC0EABD-CE27-47F2-98B7-69BE097931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Calibri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/>
    <w:lsdException w:name="heading 2" w:semiHidden="1" w:uiPriority="0" w:unhideWhenUsed="1"/>
    <w:lsdException w:name="heading 3" w:semiHidden="1" w:uiPriority="0" w:unhideWhenUsed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/>
    <w:lsdException w:name="heading 7" w:semiHidden="1" w:uiPriority="0" w:unhideWhenUsed="1"/>
    <w:lsdException w:name="heading 8" w:semiHidden="1" w:uiPriority="0" w:unhideWhenUsed="1"/>
    <w:lsdException w:name="heading 9" w:semiHidden="1" w:uiPriority="0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0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0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6960"/>
    <w:pPr>
      <w:spacing w:before="120"/>
    </w:pPr>
    <w:rPr>
      <w:sz w:val="24"/>
      <w:szCs w:val="24"/>
      <w:lang w:val="en-GB" w:eastAsia="ja-JP"/>
    </w:rPr>
  </w:style>
  <w:style w:type="paragraph" w:styleId="Heading1">
    <w:name w:val="heading 1"/>
    <w:basedOn w:val="Normal"/>
    <w:next w:val="Normal"/>
    <w:link w:val="Heading1Char"/>
    <w:rsid w:val="00BB46A0"/>
    <w:pPr>
      <w:keepNext/>
      <w:numPr>
        <w:numId w:val="9"/>
      </w:numPr>
      <w:spacing w:before="240" w:after="60"/>
      <w:outlineLvl w:val="0"/>
    </w:pPr>
    <w:rPr>
      <w:rFonts w:eastAsia="MS Mincho" w:cs="Arial"/>
      <w:b/>
      <w:bCs/>
      <w:kern w:val="32"/>
      <w:szCs w:val="32"/>
    </w:rPr>
  </w:style>
  <w:style w:type="paragraph" w:styleId="Heading2">
    <w:name w:val="heading 2"/>
    <w:basedOn w:val="Normal"/>
    <w:next w:val="Normal"/>
    <w:link w:val="Heading2Char"/>
    <w:rsid w:val="00BB46A0"/>
    <w:pPr>
      <w:keepNext/>
      <w:numPr>
        <w:ilvl w:val="1"/>
        <w:numId w:val="9"/>
      </w:numPr>
      <w:spacing w:before="240" w:after="60"/>
      <w:outlineLvl w:val="1"/>
    </w:pPr>
    <w:rPr>
      <w:rFonts w:eastAsia="MS Mincho" w:cs="Arial"/>
      <w:b/>
      <w:bCs/>
      <w:iCs/>
      <w:szCs w:val="28"/>
    </w:rPr>
  </w:style>
  <w:style w:type="paragraph" w:styleId="Heading3">
    <w:name w:val="heading 3"/>
    <w:basedOn w:val="Normal"/>
    <w:next w:val="Normal"/>
    <w:link w:val="Heading3Char"/>
    <w:rsid w:val="00BB46A0"/>
    <w:pPr>
      <w:keepNext/>
      <w:numPr>
        <w:ilvl w:val="2"/>
        <w:numId w:val="9"/>
      </w:numPr>
      <w:spacing w:before="240" w:after="60"/>
      <w:outlineLvl w:val="2"/>
    </w:pPr>
    <w:rPr>
      <w:rFonts w:eastAsia="MS Mincho" w:cs="Arial"/>
      <w:b/>
      <w:bCs/>
      <w:szCs w:val="26"/>
    </w:rPr>
  </w:style>
  <w:style w:type="paragraph" w:styleId="Heading4">
    <w:name w:val="heading 4"/>
    <w:basedOn w:val="Normal"/>
    <w:next w:val="Normal"/>
    <w:link w:val="Heading4Char"/>
    <w:qFormat/>
    <w:rsid w:val="00BB46A0"/>
    <w:pPr>
      <w:keepNext/>
      <w:numPr>
        <w:ilvl w:val="3"/>
        <w:numId w:val="9"/>
      </w:numPr>
      <w:spacing w:before="240" w:after="60"/>
      <w:outlineLvl w:val="3"/>
    </w:pPr>
    <w:rPr>
      <w:rFonts w:eastAsia="MS Mincho"/>
      <w:b/>
      <w:bCs/>
      <w:szCs w:val="28"/>
    </w:rPr>
  </w:style>
  <w:style w:type="paragraph" w:styleId="Heading5">
    <w:name w:val="heading 5"/>
    <w:basedOn w:val="Normal"/>
    <w:next w:val="Normal"/>
    <w:link w:val="Heading5Char"/>
    <w:qFormat/>
    <w:rsid w:val="00BB46A0"/>
    <w:pPr>
      <w:numPr>
        <w:ilvl w:val="4"/>
        <w:numId w:val="9"/>
      </w:numPr>
      <w:spacing w:before="240" w:after="60"/>
      <w:outlineLvl w:val="4"/>
    </w:pPr>
    <w:rPr>
      <w:rFonts w:eastAsia="MS Mincho"/>
      <w:b/>
      <w:bCs/>
      <w:i/>
      <w:iCs/>
      <w:szCs w:val="26"/>
    </w:rPr>
  </w:style>
  <w:style w:type="paragraph" w:styleId="Heading6">
    <w:name w:val="heading 6"/>
    <w:basedOn w:val="Normal"/>
    <w:next w:val="Normal"/>
    <w:link w:val="Heading6Char"/>
    <w:rsid w:val="00BB46A0"/>
    <w:pPr>
      <w:numPr>
        <w:ilvl w:val="5"/>
        <w:numId w:val="9"/>
      </w:numPr>
      <w:spacing w:before="240" w:after="60"/>
      <w:outlineLvl w:val="5"/>
    </w:pPr>
    <w:rPr>
      <w:rFonts w:eastAsia="MS Mincho"/>
      <w:b/>
      <w:bCs/>
      <w:szCs w:val="20"/>
    </w:rPr>
  </w:style>
  <w:style w:type="paragraph" w:styleId="Heading7">
    <w:name w:val="heading 7"/>
    <w:basedOn w:val="Normal"/>
    <w:next w:val="Normal"/>
    <w:link w:val="Heading7Char"/>
    <w:rsid w:val="00BB46A0"/>
    <w:pPr>
      <w:numPr>
        <w:ilvl w:val="6"/>
        <w:numId w:val="9"/>
      </w:numPr>
      <w:spacing w:before="240" w:after="60"/>
      <w:outlineLvl w:val="6"/>
    </w:pPr>
    <w:rPr>
      <w:rFonts w:eastAsia="MS Mincho"/>
    </w:rPr>
  </w:style>
  <w:style w:type="paragraph" w:styleId="Heading8">
    <w:name w:val="heading 8"/>
    <w:basedOn w:val="Normal"/>
    <w:next w:val="Normal"/>
    <w:link w:val="Heading8Char"/>
    <w:rsid w:val="00BB46A0"/>
    <w:pPr>
      <w:numPr>
        <w:ilvl w:val="7"/>
        <w:numId w:val="9"/>
      </w:numPr>
      <w:spacing w:before="240" w:after="60"/>
      <w:outlineLvl w:val="7"/>
    </w:pPr>
    <w:rPr>
      <w:rFonts w:eastAsia="MS Mincho"/>
      <w:i/>
      <w:iCs/>
    </w:rPr>
  </w:style>
  <w:style w:type="paragraph" w:styleId="Heading9">
    <w:name w:val="heading 9"/>
    <w:basedOn w:val="Normal"/>
    <w:next w:val="Normal"/>
    <w:link w:val="Heading9Char"/>
    <w:rsid w:val="00BB46A0"/>
    <w:pPr>
      <w:numPr>
        <w:ilvl w:val="8"/>
        <w:numId w:val="9"/>
      </w:numPr>
      <w:spacing w:before="240" w:after="60"/>
      <w:outlineLvl w:val="8"/>
    </w:pPr>
    <w:rPr>
      <w:rFonts w:eastAsia="MS Mincho" w:cs="Arial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rrectionSeparatorBegin">
    <w:name w:val="Correction Separator Begin"/>
    <w:basedOn w:val="Normal"/>
    <w:rsid w:val="007B7733"/>
    <w:pPr>
      <w:keepNext/>
      <w:pBdr>
        <w:bottom w:val="single" w:sz="12" w:space="1" w:color="auto"/>
      </w:pBdr>
      <w:spacing w:before="240" w:after="240"/>
      <w:ind w:left="1440" w:right="1440"/>
      <w:jc w:val="center"/>
    </w:pPr>
    <w:rPr>
      <w:rFonts w:eastAsia="Times New Roman"/>
      <w:b/>
      <w:i/>
      <w:sz w:val="20"/>
      <w:szCs w:val="20"/>
      <w:lang w:val="en-US" w:eastAsia="en-US"/>
    </w:rPr>
  </w:style>
  <w:style w:type="paragraph" w:customStyle="1" w:styleId="CorrectionSeparatorEnd">
    <w:name w:val="Correction Separator End"/>
    <w:basedOn w:val="Normal"/>
    <w:rsid w:val="007B7733"/>
    <w:pPr>
      <w:pBdr>
        <w:top w:val="single" w:sz="12" w:space="1" w:color="auto"/>
      </w:pBdr>
      <w:spacing w:before="240" w:after="240"/>
      <w:ind w:left="1440" w:right="1440"/>
      <w:jc w:val="center"/>
    </w:pPr>
    <w:rPr>
      <w:rFonts w:eastAsia="Times New Roman"/>
      <w:b/>
      <w:i/>
      <w:sz w:val="20"/>
      <w:szCs w:val="20"/>
      <w:lang w:val="en-US" w:eastAsia="en-US"/>
    </w:rPr>
  </w:style>
  <w:style w:type="paragraph" w:customStyle="1" w:styleId="Figure">
    <w:name w:val="Figure"/>
    <w:basedOn w:val="Normal"/>
    <w:next w:val="Normal"/>
    <w:rsid w:val="007B7733"/>
    <w:pPr>
      <w:keepNext/>
      <w:keepLines/>
      <w:tabs>
        <w:tab w:val="left" w:pos="794"/>
        <w:tab w:val="left" w:pos="1191"/>
        <w:tab w:val="left" w:pos="1588"/>
        <w:tab w:val="left" w:pos="1985"/>
      </w:tabs>
      <w:overflowPunct w:val="0"/>
      <w:autoSpaceDE w:val="0"/>
      <w:autoSpaceDN w:val="0"/>
      <w:adjustRightInd w:val="0"/>
      <w:spacing w:before="240" w:after="120"/>
      <w:jc w:val="center"/>
      <w:textAlignment w:val="baseline"/>
    </w:pPr>
    <w:rPr>
      <w:rFonts w:eastAsia="Times New Roman"/>
      <w:szCs w:val="20"/>
      <w:lang w:eastAsia="en-US"/>
    </w:rPr>
  </w:style>
  <w:style w:type="paragraph" w:customStyle="1" w:styleId="FigureNotitle">
    <w:name w:val="Figure_No &amp; title"/>
    <w:basedOn w:val="Normal"/>
    <w:next w:val="Normal"/>
    <w:qFormat/>
    <w:rsid w:val="007B7733"/>
    <w:pPr>
      <w:keepLines/>
      <w:tabs>
        <w:tab w:val="left" w:pos="794"/>
        <w:tab w:val="left" w:pos="1191"/>
        <w:tab w:val="left" w:pos="1588"/>
        <w:tab w:val="left" w:pos="1985"/>
      </w:tabs>
      <w:overflowPunct w:val="0"/>
      <w:autoSpaceDE w:val="0"/>
      <w:autoSpaceDN w:val="0"/>
      <w:adjustRightInd w:val="0"/>
      <w:spacing w:before="240" w:after="120"/>
      <w:jc w:val="center"/>
      <w:textAlignment w:val="baseline"/>
    </w:pPr>
    <w:rPr>
      <w:rFonts w:eastAsiaTheme="minorHAnsi"/>
      <w:b/>
      <w:szCs w:val="20"/>
    </w:rPr>
  </w:style>
  <w:style w:type="character" w:customStyle="1" w:styleId="Heading1Char">
    <w:name w:val="Heading 1 Char"/>
    <w:link w:val="Heading1"/>
    <w:rsid w:val="00BB46A0"/>
    <w:rPr>
      <w:rFonts w:ascii="Times New Roman" w:eastAsia="MS Mincho" w:hAnsi="Times New Roman" w:cs="Arial"/>
      <w:b/>
      <w:bCs/>
      <w:kern w:val="32"/>
      <w:sz w:val="24"/>
      <w:szCs w:val="32"/>
      <w:lang w:val="en-GB" w:eastAsia="ja-JP"/>
    </w:rPr>
  </w:style>
  <w:style w:type="paragraph" w:customStyle="1" w:styleId="Heading1Centered">
    <w:name w:val="Heading 1 Centered"/>
    <w:basedOn w:val="Heading1"/>
    <w:rsid w:val="00BB46A0"/>
    <w:pPr>
      <w:keepLines/>
      <w:numPr>
        <w:numId w:val="0"/>
      </w:numPr>
      <w:tabs>
        <w:tab w:val="left" w:pos="794"/>
        <w:tab w:val="left" w:pos="1191"/>
        <w:tab w:val="left" w:pos="1588"/>
        <w:tab w:val="left" w:pos="1985"/>
      </w:tabs>
      <w:overflowPunct w:val="0"/>
      <w:autoSpaceDE w:val="0"/>
      <w:autoSpaceDN w:val="0"/>
      <w:adjustRightInd w:val="0"/>
      <w:spacing w:before="360" w:after="0"/>
      <w:jc w:val="center"/>
      <w:textAlignment w:val="baseline"/>
    </w:pPr>
    <w:rPr>
      <w:rFonts w:cs="Times New Roman"/>
      <w:kern w:val="0"/>
      <w:szCs w:val="20"/>
      <w:lang w:eastAsia="en-US"/>
    </w:rPr>
  </w:style>
  <w:style w:type="character" w:customStyle="1" w:styleId="Heading2Char">
    <w:name w:val="Heading 2 Char"/>
    <w:link w:val="Heading2"/>
    <w:rsid w:val="00BB46A0"/>
    <w:rPr>
      <w:rFonts w:ascii="Times New Roman" w:eastAsia="MS Mincho" w:hAnsi="Times New Roman" w:cs="Arial"/>
      <w:b/>
      <w:bCs/>
      <w:iCs/>
      <w:sz w:val="24"/>
      <w:szCs w:val="28"/>
      <w:lang w:val="en-GB" w:eastAsia="ja-JP"/>
    </w:rPr>
  </w:style>
  <w:style w:type="character" w:customStyle="1" w:styleId="Heading3Char">
    <w:name w:val="Heading 3 Char"/>
    <w:link w:val="Heading3"/>
    <w:rsid w:val="00BB46A0"/>
    <w:rPr>
      <w:rFonts w:ascii="Times New Roman" w:eastAsia="MS Mincho" w:hAnsi="Times New Roman" w:cs="Arial"/>
      <w:b/>
      <w:bCs/>
      <w:sz w:val="24"/>
      <w:szCs w:val="26"/>
      <w:lang w:val="en-GB" w:eastAsia="ja-JP"/>
    </w:rPr>
  </w:style>
  <w:style w:type="character" w:customStyle="1" w:styleId="Heading4Char">
    <w:name w:val="Heading 4 Char"/>
    <w:link w:val="Heading4"/>
    <w:rsid w:val="00BB46A0"/>
    <w:rPr>
      <w:rFonts w:ascii="Times New Roman" w:eastAsia="MS Mincho" w:hAnsi="Times New Roman" w:cs="Times New Roman"/>
      <w:b/>
      <w:bCs/>
      <w:sz w:val="24"/>
      <w:szCs w:val="28"/>
      <w:lang w:val="en-GB" w:eastAsia="ja-JP"/>
    </w:rPr>
  </w:style>
  <w:style w:type="character" w:customStyle="1" w:styleId="Heading5Char">
    <w:name w:val="Heading 5 Char"/>
    <w:link w:val="Heading5"/>
    <w:rsid w:val="00BB46A0"/>
    <w:rPr>
      <w:rFonts w:ascii="Times New Roman" w:eastAsia="MS Mincho" w:hAnsi="Times New Roman" w:cs="Times New Roman"/>
      <w:b/>
      <w:bCs/>
      <w:i/>
      <w:iCs/>
      <w:sz w:val="24"/>
      <w:szCs w:val="26"/>
      <w:lang w:val="en-GB" w:eastAsia="ja-JP"/>
    </w:rPr>
  </w:style>
  <w:style w:type="character" w:customStyle="1" w:styleId="Heading6Char">
    <w:name w:val="Heading 6 Char"/>
    <w:link w:val="Heading6"/>
    <w:rsid w:val="00BB46A0"/>
    <w:rPr>
      <w:rFonts w:ascii="Times New Roman" w:eastAsia="MS Mincho" w:hAnsi="Times New Roman" w:cs="Times New Roman"/>
      <w:b/>
      <w:bCs/>
      <w:sz w:val="24"/>
      <w:lang w:val="en-GB" w:eastAsia="ja-JP"/>
    </w:rPr>
  </w:style>
  <w:style w:type="character" w:customStyle="1" w:styleId="Heading7Char">
    <w:name w:val="Heading 7 Char"/>
    <w:link w:val="Heading7"/>
    <w:rsid w:val="00BB46A0"/>
    <w:rPr>
      <w:rFonts w:ascii="Times New Roman" w:eastAsia="MS Mincho" w:hAnsi="Times New Roman" w:cs="Times New Roman"/>
      <w:sz w:val="24"/>
      <w:szCs w:val="24"/>
      <w:lang w:val="en-GB" w:eastAsia="ja-JP"/>
    </w:rPr>
  </w:style>
  <w:style w:type="character" w:customStyle="1" w:styleId="Heading8Char">
    <w:name w:val="Heading 8 Char"/>
    <w:link w:val="Heading8"/>
    <w:rsid w:val="00BB46A0"/>
    <w:rPr>
      <w:rFonts w:ascii="Times New Roman" w:eastAsia="MS Mincho" w:hAnsi="Times New Roman" w:cs="Times New Roman"/>
      <w:i/>
      <w:iCs/>
      <w:sz w:val="24"/>
      <w:szCs w:val="24"/>
      <w:lang w:val="en-GB" w:eastAsia="ja-JP"/>
    </w:rPr>
  </w:style>
  <w:style w:type="character" w:customStyle="1" w:styleId="Heading9Char">
    <w:name w:val="Heading 9 Char"/>
    <w:link w:val="Heading9"/>
    <w:rsid w:val="00BB46A0"/>
    <w:rPr>
      <w:rFonts w:ascii="Times New Roman" w:eastAsia="MS Mincho" w:hAnsi="Times New Roman" w:cs="Arial"/>
      <w:sz w:val="24"/>
      <w:lang w:val="en-GB" w:eastAsia="ja-JP"/>
    </w:rPr>
  </w:style>
  <w:style w:type="paragraph" w:customStyle="1" w:styleId="Headingb">
    <w:name w:val="Heading_b"/>
    <w:basedOn w:val="Normal"/>
    <w:next w:val="Normal"/>
    <w:qFormat/>
    <w:rsid w:val="007B7733"/>
    <w:pPr>
      <w:keepNext/>
      <w:tabs>
        <w:tab w:val="left" w:pos="794"/>
        <w:tab w:val="left" w:pos="1191"/>
        <w:tab w:val="left" w:pos="1588"/>
        <w:tab w:val="left" w:pos="1985"/>
      </w:tabs>
      <w:overflowPunct w:val="0"/>
      <w:autoSpaceDE w:val="0"/>
      <w:autoSpaceDN w:val="0"/>
      <w:adjustRightInd w:val="0"/>
      <w:spacing w:before="160"/>
      <w:textAlignment w:val="baseline"/>
    </w:pPr>
    <w:rPr>
      <w:rFonts w:eastAsiaTheme="minorHAnsi"/>
      <w:b/>
      <w:szCs w:val="20"/>
    </w:rPr>
  </w:style>
  <w:style w:type="paragraph" w:customStyle="1" w:styleId="Headingi">
    <w:name w:val="Heading_i"/>
    <w:basedOn w:val="Normal"/>
    <w:next w:val="Normal"/>
    <w:rsid w:val="007B7733"/>
    <w:pPr>
      <w:keepNext/>
      <w:tabs>
        <w:tab w:val="left" w:pos="794"/>
        <w:tab w:val="left" w:pos="1191"/>
        <w:tab w:val="left" w:pos="1588"/>
        <w:tab w:val="left" w:pos="1985"/>
      </w:tabs>
      <w:overflowPunct w:val="0"/>
      <w:autoSpaceDE w:val="0"/>
      <w:autoSpaceDN w:val="0"/>
      <w:adjustRightInd w:val="0"/>
      <w:spacing w:before="160"/>
      <w:textAlignment w:val="baseline"/>
    </w:pPr>
    <w:rPr>
      <w:rFonts w:eastAsiaTheme="minorHAnsi"/>
      <w:i/>
      <w:szCs w:val="20"/>
    </w:rPr>
  </w:style>
  <w:style w:type="character" w:styleId="Hyperlink">
    <w:name w:val="Hyperlink"/>
    <w:basedOn w:val="DefaultParagraphFont"/>
    <w:rsid w:val="007B7733"/>
    <w:rPr>
      <w:color w:val="0000FF"/>
      <w:u w:val="single"/>
    </w:rPr>
  </w:style>
  <w:style w:type="paragraph" w:customStyle="1" w:styleId="LSDeadline">
    <w:name w:val="LSDeadline"/>
    <w:basedOn w:val="LSForAction"/>
    <w:next w:val="Normal"/>
    <w:rsid w:val="00CB588D"/>
    <w:rPr>
      <w:bCs w:val="0"/>
    </w:rPr>
  </w:style>
  <w:style w:type="paragraph" w:customStyle="1" w:styleId="LSSource">
    <w:name w:val="LSSource"/>
    <w:basedOn w:val="LSForAction"/>
    <w:next w:val="Normal"/>
    <w:rsid w:val="00CB588D"/>
    <w:rPr>
      <w:rFonts w:eastAsia="Calibri"/>
      <w:bCs w:val="0"/>
    </w:rPr>
  </w:style>
  <w:style w:type="paragraph" w:customStyle="1" w:styleId="LSTitle">
    <w:name w:val="LSTitle"/>
    <w:basedOn w:val="LSForAction"/>
    <w:next w:val="Normal"/>
    <w:rsid w:val="00CB588D"/>
    <w:rPr>
      <w:rFonts w:eastAsia="Calibri"/>
      <w:bCs w:val="0"/>
    </w:rPr>
  </w:style>
  <w:style w:type="paragraph" w:customStyle="1" w:styleId="Note">
    <w:name w:val="Note"/>
    <w:basedOn w:val="Normal"/>
    <w:rsid w:val="007B7733"/>
    <w:pPr>
      <w:tabs>
        <w:tab w:val="left" w:pos="794"/>
        <w:tab w:val="left" w:pos="1191"/>
        <w:tab w:val="left" w:pos="1588"/>
        <w:tab w:val="left" w:pos="1985"/>
      </w:tabs>
      <w:overflowPunct w:val="0"/>
      <w:autoSpaceDE w:val="0"/>
      <w:autoSpaceDN w:val="0"/>
      <w:adjustRightInd w:val="0"/>
      <w:spacing w:before="80"/>
      <w:textAlignment w:val="baseline"/>
    </w:pPr>
    <w:rPr>
      <w:rFonts w:eastAsia="Times New Roman"/>
      <w:szCs w:val="20"/>
      <w:lang w:eastAsia="en-US"/>
    </w:rPr>
  </w:style>
  <w:style w:type="paragraph" w:customStyle="1" w:styleId="RecNo">
    <w:name w:val="Rec_No"/>
    <w:basedOn w:val="Normal"/>
    <w:next w:val="Normal"/>
    <w:rsid w:val="007B7733"/>
    <w:pPr>
      <w:keepNext/>
      <w:keepLines/>
      <w:tabs>
        <w:tab w:val="left" w:pos="794"/>
        <w:tab w:val="left" w:pos="1191"/>
        <w:tab w:val="left" w:pos="1588"/>
        <w:tab w:val="left" w:pos="1985"/>
      </w:tabs>
      <w:overflowPunct w:val="0"/>
      <w:autoSpaceDE w:val="0"/>
      <w:autoSpaceDN w:val="0"/>
      <w:adjustRightInd w:val="0"/>
      <w:spacing w:before="0"/>
      <w:textAlignment w:val="baseline"/>
    </w:pPr>
    <w:rPr>
      <w:rFonts w:eastAsiaTheme="minorHAnsi"/>
      <w:b/>
      <w:sz w:val="28"/>
      <w:szCs w:val="20"/>
    </w:rPr>
  </w:style>
  <w:style w:type="paragraph" w:customStyle="1" w:styleId="Rectitle">
    <w:name w:val="Rec_title"/>
    <w:basedOn w:val="Normal"/>
    <w:next w:val="Normal"/>
    <w:rsid w:val="007B7733"/>
    <w:pPr>
      <w:keepNext/>
      <w:keepLines/>
      <w:tabs>
        <w:tab w:val="left" w:pos="794"/>
        <w:tab w:val="left" w:pos="1191"/>
        <w:tab w:val="left" w:pos="1588"/>
        <w:tab w:val="left" w:pos="1985"/>
      </w:tabs>
      <w:overflowPunct w:val="0"/>
      <w:autoSpaceDE w:val="0"/>
      <w:autoSpaceDN w:val="0"/>
      <w:adjustRightInd w:val="0"/>
      <w:spacing w:before="360"/>
      <w:jc w:val="center"/>
      <w:textAlignment w:val="baseline"/>
    </w:pPr>
    <w:rPr>
      <w:rFonts w:eastAsiaTheme="minorHAnsi"/>
      <w:b/>
      <w:sz w:val="28"/>
      <w:szCs w:val="20"/>
    </w:rPr>
  </w:style>
  <w:style w:type="paragraph" w:customStyle="1" w:styleId="Reftext">
    <w:name w:val="Ref_text"/>
    <w:basedOn w:val="Normal"/>
    <w:rsid w:val="007B7733"/>
    <w:pPr>
      <w:overflowPunct w:val="0"/>
      <w:autoSpaceDE w:val="0"/>
      <w:autoSpaceDN w:val="0"/>
      <w:adjustRightInd w:val="0"/>
      <w:ind w:left="2268" w:hanging="2268"/>
      <w:textAlignment w:val="baseline"/>
    </w:pPr>
    <w:rPr>
      <w:rFonts w:eastAsia="Times New Roman"/>
      <w:szCs w:val="20"/>
      <w:lang w:eastAsia="en-US"/>
    </w:rPr>
  </w:style>
  <w:style w:type="paragraph" w:customStyle="1" w:styleId="TableNotitle">
    <w:name w:val="Table_No &amp; title"/>
    <w:basedOn w:val="Normal"/>
    <w:next w:val="Normal"/>
    <w:qFormat/>
    <w:rsid w:val="007B7733"/>
    <w:pPr>
      <w:keepNext/>
      <w:keepLines/>
      <w:tabs>
        <w:tab w:val="left" w:pos="794"/>
        <w:tab w:val="left" w:pos="1191"/>
        <w:tab w:val="left" w:pos="1588"/>
        <w:tab w:val="left" w:pos="1985"/>
      </w:tabs>
      <w:overflowPunct w:val="0"/>
      <w:autoSpaceDE w:val="0"/>
      <w:autoSpaceDN w:val="0"/>
      <w:adjustRightInd w:val="0"/>
      <w:spacing w:before="360" w:after="120"/>
      <w:jc w:val="center"/>
      <w:textAlignment w:val="baseline"/>
    </w:pPr>
    <w:rPr>
      <w:rFonts w:eastAsiaTheme="minorHAnsi"/>
      <w:b/>
      <w:szCs w:val="20"/>
    </w:rPr>
  </w:style>
  <w:style w:type="paragraph" w:styleId="TOC1">
    <w:name w:val="toc 1"/>
    <w:basedOn w:val="Normal"/>
    <w:uiPriority w:val="39"/>
    <w:rsid w:val="007B7733"/>
    <w:pPr>
      <w:keepLines/>
      <w:tabs>
        <w:tab w:val="left" w:pos="964"/>
        <w:tab w:val="right" w:leader="dot" w:pos="9639"/>
      </w:tabs>
      <w:overflowPunct w:val="0"/>
      <w:autoSpaceDE w:val="0"/>
      <w:autoSpaceDN w:val="0"/>
      <w:adjustRightInd w:val="0"/>
      <w:spacing w:before="240"/>
      <w:ind w:left="680" w:right="851" w:hanging="680"/>
      <w:textAlignment w:val="baseline"/>
    </w:pPr>
    <w:rPr>
      <w:rFonts w:eastAsia="Batang"/>
      <w:noProof/>
      <w:szCs w:val="20"/>
      <w:lang w:eastAsia="en-US"/>
    </w:rPr>
  </w:style>
  <w:style w:type="paragraph" w:styleId="TOC2">
    <w:name w:val="toc 2"/>
    <w:basedOn w:val="TOC1"/>
    <w:uiPriority w:val="39"/>
    <w:rsid w:val="007B7733"/>
    <w:pPr>
      <w:tabs>
        <w:tab w:val="clear" w:pos="964"/>
      </w:tabs>
      <w:spacing w:before="80"/>
      <w:ind w:left="1531" w:hanging="851"/>
    </w:pPr>
  </w:style>
  <w:style w:type="paragraph" w:styleId="TOC3">
    <w:name w:val="toc 3"/>
    <w:basedOn w:val="TOC2"/>
    <w:rsid w:val="007B7733"/>
    <w:pPr>
      <w:ind w:left="2269"/>
    </w:pPr>
  </w:style>
  <w:style w:type="paragraph" w:customStyle="1" w:styleId="Normalbeforetable">
    <w:name w:val="Normal before table"/>
    <w:basedOn w:val="Normal"/>
    <w:rsid w:val="007B7733"/>
    <w:pPr>
      <w:keepNext/>
      <w:spacing w:after="120"/>
    </w:pPr>
    <w:rPr>
      <w:rFonts w:eastAsia="????"/>
      <w:lang w:eastAsia="en-US"/>
    </w:rPr>
  </w:style>
  <w:style w:type="paragraph" w:customStyle="1" w:styleId="Tablehead">
    <w:name w:val="Table_head"/>
    <w:basedOn w:val="Normal"/>
    <w:next w:val="Normal"/>
    <w:rsid w:val="007B7733"/>
    <w:pPr>
      <w:keepNext/>
      <w:tabs>
        <w:tab w:val="left" w:pos="284"/>
        <w:tab w:val="left" w:pos="567"/>
        <w:tab w:val="left" w:pos="851"/>
        <w:tab w:val="left" w:pos="1134"/>
        <w:tab w:val="left" w:pos="1418"/>
        <w:tab w:val="left" w:pos="1701"/>
        <w:tab w:val="left" w:pos="1985"/>
        <w:tab w:val="left" w:pos="2268"/>
        <w:tab w:val="left" w:pos="2552"/>
        <w:tab w:val="left" w:pos="2835"/>
        <w:tab w:val="left" w:pos="3119"/>
        <w:tab w:val="left" w:pos="3402"/>
        <w:tab w:val="left" w:pos="3686"/>
        <w:tab w:val="left" w:pos="3969"/>
      </w:tabs>
      <w:overflowPunct w:val="0"/>
      <w:autoSpaceDE w:val="0"/>
      <w:autoSpaceDN w:val="0"/>
      <w:adjustRightInd w:val="0"/>
      <w:spacing w:before="80" w:after="80"/>
      <w:jc w:val="center"/>
      <w:textAlignment w:val="baseline"/>
    </w:pPr>
    <w:rPr>
      <w:rFonts w:eastAsia="Times New Roman"/>
      <w:b/>
      <w:sz w:val="22"/>
      <w:szCs w:val="20"/>
      <w:lang w:eastAsia="en-US"/>
    </w:rPr>
  </w:style>
  <w:style w:type="paragraph" w:customStyle="1" w:styleId="Tablelegend">
    <w:name w:val="Table_legend"/>
    <w:basedOn w:val="Normal"/>
    <w:rsid w:val="007B7733"/>
    <w:pPr>
      <w:tabs>
        <w:tab w:val="left" w:pos="284"/>
        <w:tab w:val="left" w:pos="567"/>
        <w:tab w:val="left" w:pos="851"/>
        <w:tab w:val="left" w:pos="1134"/>
        <w:tab w:val="left" w:pos="1418"/>
        <w:tab w:val="left" w:pos="1701"/>
        <w:tab w:val="left" w:pos="1985"/>
        <w:tab w:val="left" w:pos="2268"/>
        <w:tab w:val="left" w:pos="2552"/>
        <w:tab w:val="left" w:pos="2835"/>
        <w:tab w:val="left" w:pos="3119"/>
        <w:tab w:val="left" w:pos="3402"/>
        <w:tab w:val="left" w:pos="3686"/>
        <w:tab w:val="left" w:pos="3969"/>
      </w:tabs>
      <w:overflowPunct w:val="0"/>
      <w:autoSpaceDE w:val="0"/>
      <w:autoSpaceDN w:val="0"/>
      <w:adjustRightInd w:val="0"/>
      <w:spacing w:after="40"/>
      <w:textAlignment w:val="baseline"/>
    </w:pPr>
    <w:rPr>
      <w:rFonts w:eastAsia="Times New Roman"/>
      <w:sz w:val="22"/>
      <w:szCs w:val="20"/>
      <w:lang w:eastAsia="en-US"/>
    </w:rPr>
  </w:style>
  <w:style w:type="paragraph" w:customStyle="1" w:styleId="Tabletext">
    <w:name w:val="Table_text"/>
    <w:basedOn w:val="Normal"/>
    <w:rsid w:val="007B7733"/>
    <w:pPr>
      <w:tabs>
        <w:tab w:val="left" w:pos="284"/>
        <w:tab w:val="left" w:pos="567"/>
        <w:tab w:val="left" w:pos="851"/>
        <w:tab w:val="left" w:pos="1134"/>
        <w:tab w:val="left" w:pos="1418"/>
        <w:tab w:val="left" w:pos="1701"/>
        <w:tab w:val="left" w:pos="1985"/>
        <w:tab w:val="left" w:pos="2268"/>
        <w:tab w:val="left" w:pos="2552"/>
        <w:tab w:val="left" w:pos="2835"/>
        <w:tab w:val="left" w:pos="3119"/>
        <w:tab w:val="left" w:pos="3402"/>
        <w:tab w:val="left" w:pos="3686"/>
        <w:tab w:val="left" w:pos="3969"/>
      </w:tabs>
      <w:overflowPunct w:val="0"/>
      <w:autoSpaceDE w:val="0"/>
      <w:autoSpaceDN w:val="0"/>
      <w:adjustRightInd w:val="0"/>
      <w:spacing w:before="40" w:after="40"/>
      <w:textAlignment w:val="baseline"/>
    </w:pPr>
    <w:rPr>
      <w:rFonts w:eastAsia="Times New Roman"/>
      <w:sz w:val="22"/>
      <w:szCs w:val="20"/>
      <w:lang w:eastAsia="en-US"/>
    </w:rPr>
  </w:style>
  <w:style w:type="paragraph" w:customStyle="1" w:styleId="Headingib">
    <w:name w:val="Heading_ib"/>
    <w:basedOn w:val="Headingi"/>
    <w:next w:val="Normal"/>
    <w:qFormat/>
    <w:rsid w:val="007B7733"/>
    <w:rPr>
      <w:b/>
      <w:bCs/>
    </w:rPr>
  </w:style>
  <w:style w:type="paragraph" w:customStyle="1" w:styleId="References">
    <w:name w:val="References"/>
    <w:basedOn w:val="Normal"/>
    <w:rsid w:val="0077101F"/>
    <w:pPr>
      <w:widowControl w:val="0"/>
      <w:numPr>
        <w:numId w:val="10"/>
      </w:numPr>
      <w:overflowPunct w:val="0"/>
      <w:autoSpaceDE w:val="0"/>
      <w:autoSpaceDN w:val="0"/>
      <w:adjustRightInd w:val="0"/>
      <w:textAlignment w:val="baseline"/>
    </w:pPr>
    <w:rPr>
      <w:rFonts w:eastAsia="Times New Roman"/>
      <w:szCs w:val="20"/>
      <w:lang w:eastAsia="zh-CN"/>
    </w:rPr>
  </w:style>
  <w:style w:type="paragraph" w:customStyle="1" w:styleId="NormalITU">
    <w:name w:val="Normal_ITU"/>
    <w:basedOn w:val="Normal"/>
    <w:rsid w:val="00C02937"/>
    <w:pPr>
      <w:autoSpaceDE w:val="0"/>
      <w:autoSpaceDN w:val="0"/>
      <w:adjustRightInd w:val="0"/>
    </w:pPr>
    <w:rPr>
      <w:rFonts w:eastAsiaTheme="minorHAnsi" w:cs="Arial"/>
      <w:szCs w:val="20"/>
      <w:lang w:val="en-US" w:eastAsia="en-US"/>
    </w:rPr>
  </w:style>
  <w:style w:type="paragraph" w:customStyle="1" w:styleId="AnnexNotitle">
    <w:name w:val="Annex_No &amp; title"/>
    <w:basedOn w:val="Normal"/>
    <w:next w:val="Normal"/>
    <w:rsid w:val="007B7733"/>
    <w:pPr>
      <w:keepNext/>
      <w:keepLines/>
      <w:tabs>
        <w:tab w:val="left" w:pos="794"/>
        <w:tab w:val="left" w:pos="1191"/>
        <w:tab w:val="left" w:pos="1588"/>
        <w:tab w:val="left" w:pos="1985"/>
      </w:tabs>
      <w:overflowPunct w:val="0"/>
      <w:autoSpaceDE w:val="0"/>
      <w:autoSpaceDN w:val="0"/>
      <w:adjustRightInd w:val="0"/>
      <w:spacing w:before="480"/>
      <w:jc w:val="center"/>
      <w:textAlignment w:val="baseline"/>
    </w:pPr>
    <w:rPr>
      <w:rFonts w:eastAsia="Times New Roman"/>
      <w:b/>
      <w:sz w:val="28"/>
      <w:szCs w:val="20"/>
      <w:lang w:eastAsia="en-US"/>
    </w:rPr>
  </w:style>
  <w:style w:type="paragraph" w:customStyle="1" w:styleId="AppendixNotitle">
    <w:name w:val="Appendix_No &amp; title"/>
    <w:basedOn w:val="AnnexNotitle"/>
    <w:next w:val="Normal"/>
    <w:rsid w:val="007B7733"/>
  </w:style>
  <w:style w:type="paragraph" w:customStyle="1" w:styleId="Figurelegend">
    <w:name w:val="Figure_legend"/>
    <w:basedOn w:val="Normal"/>
    <w:rsid w:val="00980403"/>
    <w:pPr>
      <w:keepNext/>
      <w:keepLines/>
      <w:overflowPunct w:val="0"/>
      <w:autoSpaceDE w:val="0"/>
      <w:autoSpaceDN w:val="0"/>
      <w:adjustRightInd w:val="0"/>
      <w:spacing w:before="20" w:after="20"/>
      <w:textAlignment w:val="baseline"/>
    </w:pPr>
    <w:rPr>
      <w:rFonts w:eastAsia="Times New Roman"/>
      <w:sz w:val="18"/>
      <w:szCs w:val="20"/>
      <w:lang w:eastAsia="en-US"/>
    </w:rPr>
  </w:style>
  <w:style w:type="paragraph" w:customStyle="1" w:styleId="Title1">
    <w:name w:val="Title 1"/>
    <w:basedOn w:val="Normal"/>
    <w:next w:val="Normal"/>
    <w:rsid w:val="00167647"/>
    <w:pPr>
      <w:tabs>
        <w:tab w:val="left" w:pos="567"/>
        <w:tab w:val="left" w:pos="1134"/>
        <w:tab w:val="left" w:pos="1701"/>
        <w:tab w:val="left" w:pos="2268"/>
        <w:tab w:val="left" w:pos="2835"/>
      </w:tabs>
      <w:overflowPunct w:val="0"/>
      <w:autoSpaceDE w:val="0"/>
      <w:autoSpaceDN w:val="0"/>
      <w:adjustRightInd w:val="0"/>
      <w:spacing w:before="240"/>
      <w:jc w:val="center"/>
      <w:textAlignment w:val="baseline"/>
    </w:pPr>
    <w:rPr>
      <w:rFonts w:eastAsia="Times New Roman"/>
      <w:caps/>
      <w:sz w:val="28"/>
      <w:szCs w:val="20"/>
      <w:lang w:eastAsia="en-US"/>
    </w:rPr>
  </w:style>
  <w:style w:type="paragraph" w:customStyle="1" w:styleId="Title2">
    <w:name w:val="Title 2"/>
    <w:basedOn w:val="Title1"/>
    <w:next w:val="Normal"/>
    <w:rsid w:val="00167647"/>
  </w:style>
  <w:style w:type="paragraph" w:customStyle="1" w:styleId="Title3">
    <w:name w:val="Title 3"/>
    <w:basedOn w:val="Title2"/>
    <w:next w:val="Normal"/>
    <w:rsid w:val="00167647"/>
    <w:rPr>
      <w:caps w:val="0"/>
    </w:rPr>
  </w:style>
  <w:style w:type="paragraph" w:customStyle="1" w:styleId="Title4">
    <w:name w:val="Title 4"/>
    <w:basedOn w:val="Title3"/>
    <w:next w:val="Heading1"/>
    <w:rsid w:val="00167647"/>
    <w:rPr>
      <w:b/>
    </w:rPr>
  </w:style>
  <w:style w:type="paragraph" w:customStyle="1" w:styleId="Formal">
    <w:name w:val="Formal"/>
    <w:basedOn w:val="Normal"/>
    <w:rsid w:val="007B7733"/>
    <w:pPr>
      <w:tabs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6"/>
        <w:tab w:val="left" w:pos="5103"/>
        <w:tab w:val="left" w:pos="5670"/>
      </w:tabs>
      <w:spacing w:before="0"/>
    </w:pPr>
    <w:rPr>
      <w:rFonts w:ascii="Courier New" w:eastAsia="SimSun" w:hAnsi="Courier New"/>
      <w:noProof/>
      <w:sz w:val="20"/>
      <w:szCs w:val="20"/>
      <w:lang w:val="en-US" w:eastAsia="en-US"/>
    </w:rPr>
  </w:style>
  <w:style w:type="paragraph" w:customStyle="1" w:styleId="Docnumber">
    <w:name w:val="Docnumber"/>
    <w:basedOn w:val="Normal"/>
    <w:link w:val="DocnumberChar"/>
    <w:qFormat/>
    <w:rsid w:val="00444784"/>
    <w:pPr>
      <w:tabs>
        <w:tab w:val="left" w:pos="794"/>
        <w:tab w:val="left" w:pos="1191"/>
        <w:tab w:val="left" w:pos="1588"/>
        <w:tab w:val="left" w:pos="1985"/>
      </w:tabs>
      <w:overflowPunct w:val="0"/>
      <w:autoSpaceDE w:val="0"/>
      <w:autoSpaceDN w:val="0"/>
      <w:adjustRightInd w:val="0"/>
      <w:jc w:val="right"/>
      <w:textAlignment w:val="baseline"/>
    </w:pPr>
    <w:rPr>
      <w:rFonts w:eastAsia="SimSun"/>
      <w:b/>
      <w:sz w:val="32"/>
      <w:szCs w:val="20"/>
      <w:lang w:eastAsia="en-US"/>
    </w:rPr>
  </w:style>
  <w:style w:type="character" w:customStyle="1" w:styleId="DocnumberChar">
    <w:name w:val="Docnumber Char"/>
    <w:link w:val="Docnumber"/>
    <w:rsid w:val="00444784"/>
    <w:rPr>
      <w:rFonts w:eastAsia="SimSun"/>
      <w:b/>
      <w:sz w:val="32"/>
      <w:lang w:val="en-GB"/>
    </w:rPr>
  </w:style>
  <w:style w:type="paragraph" w:styleId="TableofFigures">
    <w:name w:val="table of figures"/>
    <w:basedOn w:val="Normal"/>
    <w:next w:val="Normal"/>
    <w:uiPriority w:val="99"/>
    <w:rsid w:val="007B7733"/>
    <w:pPr>
      <w:tabs>
        <w:tab w:val="right" w:leader="dot" w:pos="9639"/>
      </w:tabs>
    </w:pPr>
    <w:rPr>
      <w:rFonts w:eastAsia="MS Mincho"/>
    </w:rPr>
  </w:style>
  <w:style w:type="paragraph" w:styleId="Header">
    <w:name w:val="header"/>
    <w:basedOn w:val="Normal"/>
    <w:link w:val="HeaderChar"/>
    <w:rsid w:val="007B7733"/>
    <w:pPr>
      <w:overflowPunct w:val="0"/>
      <w:autoSpaceDE w:val="0"/>
      <w:autoSpaceDN w:val="0"/>
      <w:adjustRightInd w:val="0"/>
      <w:spacing w:before="0"/>
      <w:jc w:val="center"/>
      <w:textAlignment w:val="baseline"/>
    </w:pPr>
    <w:rPr>
      <w:rFonts w:eastAsia="Times New Roman"/>
      <w:sz w:val="18"/>
      <w:szCs w:val="20"/>
      <w:lang w:eastAsia="en-US"/>
    </w:rPr>
  </w:style>
  <w:style w:type="character" w:customStyle="1" w:styleId="HeaderChar">
    <w:name w:val="Header Char"/>
    <w:basedOn w:val="DefaultParagraphFont"/>
    <w:link w:val="Header"/>
    <w:rsid w:val="007B7733"/>
    <w:rPr>
      <w:rFonts w:eastAsia="Times New Roman"/>
      <w:sz w:val="18"/>
      <w:lang w:val="en-GB"/>
    </w:rPr>
  </w:style>
  <w:style w:type="character" w:customStyle="1" w:styleId="ReftextArial9pt">
    <w:name w:val="Ref_text Arial 9 pt"/>
    <w:rsid w:val="007B7733"/>
    <w:rPr>
      <w:rFonts w:ascii="Arial" w:hAnsi="Arial" w:cs="Arial"/>
      <w:sz w:val="18"/>
      <w:szCs w:val="18"/>
    </w:rPr>
  </w:style>
  <w:style w:type="paragraph" w:customStyle="1" w:styleId="LSForAction">
    <w:name w:val="LSForAction"/>
    <w:basedOn w:val="Normal"/>
    <w:rsid w:val="00CB588D"/>
    <w:pPr>
      <w:tabs>
        <w:tab w:val="left" w:pos="794"/>
        <w:tab w:val="left" w:pos="1191"/>
        <w:tab w:val="left" w:pos="1588"/>
        <w:tab w:val="left" w:pos="1985"/>
      </w:tabs>
      <w:overflowPunct w:val="0"/>
      <w:autoSpaceDE w:val="0"/>
      <w:autoSpaceDN w:val="0"/>
      <w:adjustRightInd w:val="0"/>
      <w:textAlignment w:val="baseline"/>
    </w:pPr>
    <w:rPr>
      <w:rFonts w:eastAsia="Times New Roman"/>
      <w:bCs/>
      <w:szCs w:val="20"/>
      <w:lang w:eastAsia="en-US"/>
    </w:rPr>
  </w:style>
  <w:style w:type="paragraph" w:customStyle="1" w:styleId="LSForComment">
    <w:name w:val="LSForComment"/>
    <w:basedOn w:val="LSForAction"/>
    <w:next w:val="Normal"/>
    <w:rsid w:val="00CB588D"/>
  </w:style>
  <w:style w:type="paragraph" w:customStyle="1" w:styleId="LSForInfo">
    <w:name w:val="LSForInfo"/>
    <w:basedOn w:val="LSForAction"/>
    <w:next w:val="Normal"/>
    <w:rsid w:val="00CB588D"/>
  </w:style>
  <w:style w:type="character" w:styleId="PlaceholderText">
    <w:name w:val="Placeholder Text"/>
    <w:uiPriority w:val="99"/>
    <w:semiHidden/>
    <w:rsid w:val="00E03557"/>
    <w:rPr>
      <w:rFonts w:ascii="Times New Roman" w:hAnsi="Times New Roman"/>
      <w:color w:val="808080"/>
    </w:rPr>
  </w:style>
  <w:style w:type="paragraph" w:customStyle="1" w:styleId="enumlev1">
    <w:name w:val="enumlev1"/>
    <w:basedOn w:val="Normal"/>
    <w:rsid w:val="00BC1D31"/>
    <w:pPr>
      <w:tabs>
        <w:tab w:val="left" w:pos="794"/>
        <w:tab w:val="left" w:pos="1191"/>
        <w:tab w:val="left" w:pos="1588"/>
        <w:tab w:val="left" w:pos="1985"/>
      </w:tabs>
      <w:overflowPunct w:val="0"/>
      <w:autoSpaceDE w:val="0"/>
      <w:autoSpaceDN w:val="0"/>
      <w:adjustRightInd w:val="0"/>
      <w:spacing w:before="80"/>
      <w:ind w:left="794" w:hanging="794"/>
      <w:textAlignment w:val="baseline"/>
    </w:pPr>
    <w:rPr>
      <w:rFonts w:eastAsia="Batang"/>
      <w:szCs w:val="20"/>
      <w:lang w:eastAsia="en-US"/>
    </w:rPr>
  </w:style>
  <w:style w:type="paragraph" w:styleId="Caption">
    <w:name w:val="caption"/>
    <w:basedOn w:val="Normal"/>
    <w:next w:val="Normal"/>
    <w:uiPriority w:val="35"/>
    <w:semiHidden/>
    <w:unhideWhenUsed/>
    <w:rsid w:val="007B7733"/>
    <w:pPr>
      <w:spacing w:before="0" w:after="200"/>
    </w:pPr>
    <w:rPr>
      <w:i/>
      <w:iCs/>
      <w:color w:val="44546A" w:themeColor="text2"/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7B7733"/>
    <w:pPr>
      <w:tabs>
        <w:tab w:val="center" w:pos="4513"/>
        <w:tab w:val="right" w:pos="9026"/>
      </w:tabs>
      <w:spacing w:before="0"/>
    </w:pPr>
    <w:rPr>
      <w:rFonts w:eastAsiaTheme="minorHAnsi"/>
    </w:rPr>
  </w:style>
  <w:style w:type="character" w:customStyle="1" w:styleId="FooterChar">
    <w:name w:val="Footer Char"/>
    <w:basedOn w:val="DefaultParagraphFont"/>
    <w:link w:val="Footer"/>
    <w:uiPriority w:val="99"/>
    <w:rsid w:val="007B7733"/>
    <w:rPr>
      <w:rFonts w:eastAsiaTheme="minorHAnsi"/>
      <w:sz w:val="24"/>
      <w:szCs w:val="24"/>
      <w:lang w:val="en-GB" w:eastAsia="ja-JP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7B7733"/>
    <w:pPr>
      <w:spacing w:before="0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7B7733"/>
    <w:rPr>
      <w:rFonts w:eastAsiaTheme="minorHAnsi"/>
      <w:lang w:val="en-GB" w:eastAsia="ja-JP"/>
    </w:rPr>
  </w:style>
  <w:style w:type="character" w:styleId="FootnoteReference">
    <w:name w:val="footnote reference"/>
    <w:basedOn w:val="DefaultParagraphFont"/>
    <w:uiPriority w:val="99"/>
    <w:semiHidden/>
    <w:unhideWhenUsed/>
    <w:rsid w:val="007B7733"/>
    <w:rPr>
      <w:vertAlign w:val="superscript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B7733"/>
    <w:pPr>
      <w:spacing w:before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B7733"/>
    <w:rPr>
      <w:rFonts w:ascii="Segoe UI" w:eastAsiaTheme="minorHAnsi" w:hAnsi="Segoe UI" w:cs="Segoe UI"/>
      <w:sz w:val="18"/>
      <w:szCs w:val="18"/>
      <w:lang w:val="en-GB" w:eastAsia="ja-JP"/>
    </w:rPr>
  </w:style>
  <w:style w:type="paragraph" w:styleId="Bibliography">
    <w:name w:val="Bibliography"/>
    <w:basedOn w:val="Normal"/>
    <w:next w:val="Normal"/>
    <w:uiPriority w:val="37"/>
    <w:semiHidden/>
    <w:unhideWhenUsed/>
    <w:rsid w:val="007B7733"/>
    <w:rPr>
      <w:rFonts w:eastAsiaTheme="minorHAnsi"/>
    </w:rPr>
  </w:style>
  <w:style w:type="paragraph" w:styleId="BlockText">
    <w:name w:val="Block Text"/>
    <w:basedOn w:val="Normal"/>
    <w:uiPriority w:val="99"/>
    <w:semiHidden/>
    <w:unhideWhenUsed/>
    <w:rsid w:val="007B7733"/>
    <w:pPr>
      <w:pBdr>
        <w:top w:val="single" w:sz="2" w:space="10" w:color="5B9BD5" w:themeColor="accent1" w:frame="1"/>
        <w:left w:val="single" w:sz="2" w:space="10" w:color="5B9BD5" w:themeColor="accent1" w:frame="1"/>
        <w:bottom w:val="single" w:sz="2" w:space="10" w:color="5B9BD5" w:themeColor="accent1" w:frame="1"/>
        <w:right w:val="single" w:sz="2" w:space="10" w:color="5B9BD5" w:themeColor="accent1" w:frame="1"/>
      </w:pBdr>
      <w:ind w:left="1152" w:right="1152"/>
    </w:pPr>
    <w:rPr>
      <w:rFonts w:asciiTheme="minorHAnsi" w:eastAsiaTheme="minorEastAsia" w:hAnsiTheme="minorHAnsi" w:cstheme="minorBidi"/>
      <w:i/>
      <w:iCs/>
      <w:color w:val="5B9BD5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7B7733"/>
    <w:pPr>
      <w:spacing w:after="120"/>
    </w:pPr>
    <w:rPr>
      <w:rFonts w:eastAsiaTheme="minorHAnsi"/>
    </w:rPr>
  </w:style>
  <w:style w:type="character" w:customStyle="1" w:styleId="BodyTextChar">
    <w:name w:val="Body Text Char"/>
    <w:basedOn w:val="DefaultParagraphFont"/>
    <w:link w:val="BodyText"/>
    <w:uiPriority w:val="99"/>
    <w:semiHidden/>
    <w:rsid w:val="007B7733"/>
    <w:rPr>
      <w:rFonts w:eastAsiaTheme="minorHAnsi"/>
      <w:sz w:val="24"/>
      <w:szCs w:val="24"/>
      <w:lang w:val="en-GB" w:eastAsia="ja-JP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7B7733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7B7733"/>
    <w:rPr>
      <w:rFonts w:eastAsiaTheme="minorHAnsi"/>
      <w:sz w:val="24"/>
      <w:szCs w:val="24"/>
      <w:lang w:val="en-GB" w:eastAsia="ja-JP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7B7733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7B7733"/>
    <w:rPr>
      <w:rFonts w:eastAsiaTheme="minorHAnsi"/>
      <w:sz w:val="16"/>
      <w:szCs w:val="16"/>
      <w:lang w:val="en-GB" w:eastAsia="ja-JP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7B7733"/>
    <w:pPr>
      <w:spacing w:after="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7B7733"/>
    <w:rPr>
      <w:rFonts w:eastAsiaTheme="minorHAnsi"/>
      <w:sz w:val="24"/>
      <w:szCs w:val="24"/>
      <w:lang w:val="en-GB" w:eastAsia="ja-JP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7B7733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7B7733"/>
    <w:rPr>
      <w:rFonts w:eastAsiaTheme="minorHAnsi"/>
      <w:sz w:val="24"/>
      <w:szCs w:val="24"/>
      <w:lang w:val="en-GB" w:eastAsia="ja-JP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7B7733"/>
    <w:pPr>
      <w:spacing w:after="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7B7733"/>
    <w:rPr>
      <w:rFonts w:eastAsiaTheme="minorHAnsi"/>
      <w:sz w:val="24"/>
      <w:szCs w:val="24"/>
      <w:lang w:val="en-GB" w:eastAsia="ja-JP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7B7733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7B7733"/>
    <w:rPr>
      <w:rFonts w:eastAsiaTheme="minorHAnsi"/>
      <w:sz w:val="24"/>
      <w:szCs w:val="24"/>
      <w:lang w:val="en-GB" w:eastAsia="ja-JP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7B7733"/>
    <w:pPr>
      <w:spacing w:after="120"/>
      <w:ind w:left="360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7B7733"/>
    <w:rPr>
      <w:rFonts w:eastAsiaTheme="minorHAnsi"/>
      <w:sz w:val="16"/>
      <w:szCs w:val="16"/>
      <w:lang w:val="en-GB" w:eastAsia="ja-JP"/>
    </w:rPr>
  </w:style>
  <w:style w:type="character" w:styleId="BookTitle">
    <w:name w:val="Book Title"/>
    <w:basedOn w:val="DefaultParagraphFont"/>
    <w:uiPriority w:val="33"/>
    <w:rsid w:val="007B7733"/>
    <w:rPr>
      <w:b/>
      <w:bCs/>
      <w:i/>
      <w:iCs/>
      <w:spacing w:val="5"/>
    </w:rPr>
  </w:style>
  <w:style w:type="paragraph" w:styleId="Closing">
    <w:name w:val="Closing"/>
    <w:basedOn w:val="Normal"/>
    <w:link w:val="ClosingChar"/>
    <w:uiPriority w:val="99"/>
    <w:semiHidden/>
    <w:unhideWhenUsed/>
    <w:rsid w:val="007B7733"/>
    <w:pPr>
      <w:spacing w:before="0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7B7733"/>
    <w:rPr>
      <w:rFonts w:eastAsiaTheme="minorHAnsi"/>
      <w:sz w:val="24"/>
      <w:szCs w:val="24"/>
      <w:lang w:val="en-GB" w:eastAsia="ja-JP"/>
    </w:rPr>
  </w:style>
  <w:style w:type="character" w:styleId="CommentReference">
    <w:name w:val="annotation reference"/>
    <w:basedOn w:val="DefaultParagraphFont"/>
    <w:uiPriority w:val="99"/>
    <w:semiHidden/>
    <w:unhideWhenUsed/>
    <w:rsid w:val="007B773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7B7733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B7733"/>
    <w:rPr>
      <w:rFonts w:eastAsiaTheme="minorHAnsi"/>
      <w:lang w:val="en-GB" w:eastAsia="ja-JP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B773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B7733"/>
    <w:rPr>
      <w:rFonts w:eastAsiaTheme="minorHAnsi"/>
      <w:b/>
      <w:bCs/>
      <w:lang w:val="en-GB" w:eastAsia="ja-JP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7B7733"/>
  </w:style>
  <w:style w:type="character" w:customStyle="1" w:styleId="DateChar">
    <w:name w:val="Date Char"/>
    <w:basedOn w:val="DefaultParagraphFont"/>
    <w:link w:val="Date"/>
    <w:uiPriority w:val="99"/>
    <w:semiHidden/>
    <w:rsid w:val="007B7733"/>
    <w:rPr>
      <w:rFonts w:eastAsiaTheme="minorHAnsi"/>
      <w:sz w:val="24"/>
      <w:szCs w:val="24"/>
      <w:lang w:val="en-GB" w:eastAsia="ja-JP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7B7733"/>
    <w:pPr>
      <w:spacing w:before="0"/>
    </w:pPr>
    <w:rPr>
      <w:rFonts w:ascii="Segoe UI" w:hAnsi="Segoe UI" w:cs="Segoe UI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7B7733"/>
    <w:rPr>
      <w:rFonts w:ascii="Segoe UI" w:eastAsiaTheme="minorHAnsi" w:hAnsi="Segoe UI" w:cs="Segoe UI"/>
      <w:sz w:val="16"/>
      <w:szCs w:val="16"/>
      <w:lang w:val="en-GB" w:eastAsia="ja-JP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7B7733"/>
    <w:pPr>
      <w:spacing w:before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7B7733"/>
    <w:rPr>
      <w:rFonts w:eastAsiaTheme="minorHAnsi"/>
      <w:sz w:val="24"/>
      <w:szCs w:val="24"/>
      <w:lang w:val="en-GB" w:eastAsia="ja-JP"/>
    </w:rPr>
  </w:style>
  <w:style w:type="character" w:styleId="Emphasis">
    <w:name w:val="Emphasis"/>
    <w:basedOn w:val="DefaultParagraphFont"/>
    <w:uiPriority w:val="20"/>
    <w:rsid w:val="007B7733"/>
    <w:rPr>
      <w:i/>
      <w:iCs/>
    </w:rPr>
  </w:style>
  <w:style w:type="character" w:styleId="EndnoteReference">
    <w:name w:val="endnote reference"/>
    <w:basedOn w:val="DefaultParagraphFont"/>
    <w:uiPriority w:val="99"/>
    <w:semiHidden/>
    <w:unhideWhenUsed/>
    <w:rsid w:val="007B7733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7B7733"/>
    <w:pPr>
      <w:spacing w:before="0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7B7733"/>
    <w:rPr>
      <w:rFonts w:eastAsiaTheme="minorHAnsi"/>
      <w:lang w:val="en-GB" w:eastAsia="ja-JP"/>
    </w:rPr>
  </w:style>
  <w:style w:type="paragraph" w:styleId="EnvelopeAddress">
    <w:name w:val="envelope address"/>
    <w:basedOn w:val="Normal"/>
    <w:uiPriority w:val="99"/>
    <w:semiHidden/>
    <w:unhideWhenUsed/>
    <w:rsid w:val="007B7733"/>
    <w:pPr>
      <w:framePr w:w="7920" w:h="1980" w:hRule="exact" w:hSpace="180" w:wrap="auto" w:hAnchor="page" w:xAlign="center" w:yAlign="bottom"/>
      <w:spacing w:before="0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7B7733"/>
    <w:pPr>
      <w:spacing w:before="0"/>
    </w:pPr>
    <w:rPr>
      <w:rFonts w:asciiTheme="majorHAnsi" w:eastAsiaTheme="majorEastAsia" w:hAnsiTheme="majorHAnsi" w:cstheme="majorBidi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7B7733"/>
    <w:rPr>
      <w:color w:val="954F72" w:themeColor="followedHyperlink"/>
      <w:u w:val="single"/>
    </w:rPr>
  </w:style>
  <w:style w:type="character" w:customStyle="1" w:styleId="Hashtag1">
    <w:name w:val="Hashtag1"/>
    <w:basedOn w:val="DefaultParagraphFont"/>
    <w:uiPriority w:val="99"/>
    <w:semiHidden/>
    <w:unhideWhenUsed/>
    <w:rsid w:val="007B7733"/>
    <w:rPr>
      <w:color w:val="2B579A"/>
      <w:shd w:val="clear" w:color="auto" w:fill="E6E6E6"/>
    </w:rPr>
  </w:style>
  <w:style w:type="character" w:styleId="HTMLAcronym">
    <w:name w:val="HTML Acronym"/>
    <w:basedOn w:val="DefaultParagraphFont"/>
    <w:uiPriority w:val="99"/>
    <w:semiHidden/>
    <w:unhideWhenUsed/>
    <w:rsid w:val="007B7733"/>
  </w:style>
  <w:style w:type="paragraph" w:styleId="HTMLAddress">
    <w:name w:val="HTML Address"/>
    <w:basedOn w:val="Normal"/>
    <w:link w:val="HTMLAddressChar"/>
    <w:uiPriority w:val="99"/>
    <w:semiHidden/>
    <w:unhideWhenUsed/>
    <w:rsid w:val="007B7733"/>
    <w:pPr>
      <w:spacing w:before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7B7733"/>
    <w:rPr>
      <w:rFonts w:eastAsiaTheme="minorHAnsi"/>
      <w:i/>
      <w:iCs/>
      <w:sz w:val="24"/>
      <w:szCs w:val="24"/>
      <w:lang w:val="en-GB" w:eastAsia="ja-JP"/>
    </w:rPr>
  </w:style>
  <w:style w:type="character" w:styleId="HTMLCite">
    <w:name w:val="HTML Cite"/>
    <w:basedOn w:val="DefaultParagraphFont"/>
    <w:uiPriority w:val="99"/>
    <w:semiHidden/>
    <w:unhideWhenUsed/>
    <w:rsid w:val="007B7733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7B7733"/>
    <w:rPr>
      <w:rFonts w:ascii="Consolas" w:hAnsi="Consolas"/>
      <w:sz w:val="20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7B7733"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rsid w:val="007B7733"/>
    <w:rPr>
      <w:rFonts w:ascii="Consolas" w:hAnsi="Consolas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B7733"/>
    <w:pPr>
      <w:spacing w:before="0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B7733"/>
    <w:rPr>
      <w:rFonts w:ascii="Consolas" w:eastAsiaTheme="minorHAnsi" w:hAnsi="Consolas"/>
      <w:lang w:val="en-GB" w:eastAsia="ja-JP"/>
    </w:rPr>
  </w:style>
  <w:style w:type="character" w:styleId="HTMLSample">
    <w:name w:val="HTML Sample"/>
    <w:basedOn w:val="DefaultParagraphFont"/>
    <w:uiPriority w:val="99"/>
    <w:semiHidden/>
    <w:unhideWhenUsed/>
    <w:rsid w:val="007B7733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7B7733"/>
    <w:rPr>
      <w:rFonts w:ascii="Consolas" w:hAnsi="Consolas"/>
      <w:sz w:val="20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7B7733"/>
    <w:rPr>
      <w:i/>
      <w:iCs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7B7733"/>
    <w:pPr>
      <w:spacing w:before="0"/>
      <w:ind w:left="240" w:hanging="240"/>
    </w:pPr>
    <w:rPr>
      <w:rFonts w:eastAsiaTheme="minorHAnsi"/>
    </w:rPr>
  </w:style>
  <w:style w:type="paragraph" w:styleId="Index2">
    <w:name w:val="index 2"/>
    <w:basedOn w:val="Normal"/>
    <w:next w:val="Normal"/>
    <w:autoRedefine/>
    <w:uiPriority w:val="99"/>
    <w:semiHidden/>
    <w:unhideWhenUsed/>
    <w:rsid w:val="007B7733"/>
    <w:pPr>
      <w:spacing w:before="0"/>
      <w:ind w:left="480" w:hanging="24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7B7733"/>
    <w:pPr>
      <w:spacing w:before="0"/>
      <w:ind w:left="720" w:hanging="24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7B7733"/>
    <w:pPr>
      <w:spacing w:before="0"/>
      <w:ind w:left="960" w:hanging="24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7B7733"/>
    <w:pPr>
      <w:spacing w:before="0"/>
      <w:ind w:left="1200" w:hanging="24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7B7733"/>
    <w:pPr>
      <w:spacing w:before="0"/>
      <w:ind w:left="1440" w:hanging="24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7B7733"/>
    <w:pPr>
      <w:spacing w:before="0"/>
      <w:ind w:left="1680" w:hanging="24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7B7733"/>
    <w:pPr>
      <w:spacing w:before="0"/>
      <w:ind w:left="1920" w:hanging="24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7B7733"/>
    <w:pPr>
      <w:spacing w:before="0"/>
      <w:ind w:left="2160" w:hanging="24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7B7733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rsid w:val="007B7733"/>
    <w:rPr>
      <w:i/>
      <w:iCs/>
      <w:color w:val="5B9BD5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rsid w:val="007B7733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rFonts w:eastAsiaTheme="minorHAnsi"/>
      <w:i/>
      <w:iCs/>
      <w:color w:val="5B9BD5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7733"/>
    <w:rPr>
      <w:rFonts w:eastAsiaTheme="minorHAnsi"/>
      <w:i/>
      <w:iCs/>
      <w:color w:val="5B9BD5" w:themeColor="accent1"/>
      <w:sz w:val="24"/>
      <w:szCs w:val="24"/>
      <w:lang w:val="en-GB" w:eastAsia="ja-JP"/>
    </w:rPr>
  </w:style>
  <w:style w:type="character" w:styleId="IntenseReference">
    <w:name w:val="Intense Reference"/>
    <w:basedOn w:val="DefaultParagraphFont"/>
    <w:uiPriority w:val="32"/>
    <w:rsid w:val="007B7733"/>
    <w:rPr>
      <w:b/>
      <w:bCs/>
      <w:smallCaps/>
      <w:color w:val="5B9BD5" w:themeColor="accent1"/>
      <w:spacing w:val="5"/>
    </w:rPr>
  </w:style>
  <w:style w:type="character" w:styleId="LineNumber">
    <w:name w:val="line number"/>
    <w:basedOn w:val="DefaultParagraphFont"/>
    <w:uiPriority w:val="99"/>
    <w:semiHidden/>
    <w:unhideWhenUsed/>
    <w:rsid w:val="007B7733"/>
  </w:style>
  <w:style w:type="paragraph" w:styleId="List">
    <w:name w:val="List"/>
    <w:basedOn w:val="Normal"/>
    <w:uiPriority w:val="99"/>
    <w:semiHidden/>
    <w:unhideWhenUsed/>
    <w:rsid w:val="007B7733"/>
    <w:pPr>
      <w:ind w:left="360" w:hanging="360"/>
      <w:contextualSpacing/>
    </w:pPr>
    <w:rPr>
      <w:rFonts w:eastAsiaTheme="minorHAnsi"/>
    </w:rPr>
  </w:style>
  <w:style w:type="paragraph" w:styleId="List2">
    <w:name w:val="List 2"/>
    <w:basedOn w:val="Normal"/>
    <w:uiPriority w:val="99"/>
    <w:semiHidden/>
    <w:unhideWhenUsed/>
    <w:rsid w:val="007B7733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7B7733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7B7733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7B7733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7B7733"/>
    <w:pPr>
      <w:numPr>
        <w:numId w:val="11"/>
      </w:numPr>
      <w:contextualSpacing/>
    </w:pPr>
    <w:rPr>
      <w:rFonts w:eastAsiaTheme="minorHAnsi"/>
    </w:rPr>
  </w:style>
  <w:style w:type="paragraph" w:styleId="ListBullet2">
    <w:name w:val="List Bullet 2"/>
    <w:basedOn w:val="Normal"/>
    <w:uiPriority w:val="99"/>
    <w:semiHidden/>
    <w:unhideWhenUsed/>
    <w:rsid w:val="007B7733"/>
    <w:pPr>
      <w:numPr>
        <w:numId w:val="12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7B7733"/>
    <w:pPr>
      <w:numPr>
        <w:numId w:val="13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7B7733"/>
    <w:pPr>
      <w:numPr>
        <w:numId w:val="14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7B7733"/>
    <w:pPr>
      <w:numPr>
        <w:numId w:val="15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7B7733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7B7733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7B7733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7B7733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7B7733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7B7733"/>
    <w:pPr>
      <w:numPr>
        <w:numId w:val="16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7B7733"/>
    <w:pPr>
      <w:numPr>
        <w:numId w:val="17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7B7733"/>
    <w:pPr>
      <w:numPr>
        <w:numId w:val="18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7B7733"/>
    <w:pPr>
      <w:numPr>
        <w:numId w:val="19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7B7733"/>
    <w:pPr>
      <w:numPr>
        <w:numId w:val="20"/>
      </w:numPr>
      <w:contextualSpacing/>
    </w:pPr>
  </w:style>
  <w:style w:type="paragraph" w:styleId="ListParagraph">
    <w:name w:val="List Paragraph"/>
    <w:basedOn w:val="Normal"/>
    <w:uiPriority w:val="34"/>
    <w:rsid w:val="007B7733"/>
    <w:pPr>
      <w:ind w:left="720"/>
      <w:contextualSpacing/>
    </w:pPr>
    <w:rPr>
      <w:rFonts w:eastAsiaTheme="minorHAnsi"/>
    </w:rPr>
  </w:style>
  <w:style w:type="paragraph" w:styleId="MacroText">
    <w:name w:val="macro"/>
    <w:link w:val="MacroTextChar"/>
    <w:uiPriority w:val="99"/>
    <w:semiHidden/>
    <w:unhideWhenUsed/>
    <w:rsid w:val="007B7733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before="120"/>
    </w:pPr>
    <w:rPr>
      <w:rFonts w:ascii="Consolas" w:eastAsiaTheme="minorHAnsi" w:hAnsi="Consolas"/>
      <w:lang w:val="en-GB" w:eastAsia="ja-JP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7B7733"/>
    <w:rPr>
      <w:rFonts w:ascii="Consolas" w:eastAsiaTheme="minorHAnsi" w:hAnsi="Consolas"/>
      <w:lang w:val="en-GB" w:eastAsia="ja-JP"/>
    </w:rPr>
  </w:style>
  <w:style w:type="character" w:customStyle="1" w:styleId="Mention1">
    <w:name w:val="Mention1"/>
    <w:basedOn w:val="DefaultParagraphFont"/>
    <w:uiPriority w:val="99"/>
    <w:semiHidden/>
    <w:unhideWhenUsed/>
    <w:rsid w:val="007B7733"/>
    <w:rPr>
      <w:color w:val="2B579A"/>
      <w:shd w:val="clear" w:color="auto" w:fill="E6E6E6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7B7733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before="0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7B7733"/>
    <w:rPr>
      <w:rFonts w:asciiTheme="majorHAnsi" w:eastAsiaTheme="majorEastAsia" w:hAnsiTheme="majorHAnsi" w:cstheme="majorBidi"/>
      <w:sz w:val="24"/>
      <w:szCs w:val="24"/>
      <w:shd w:val="pct20" w:color="auto" w:fill="auto"/>
      <w:lang w:val="en-GB" w:eastAsia="ja-JP"/>
    </w:rPr>
  </w:style>
  <w:style w:type="paragraph" w:styleId="NoSpacing">
    <w:name w:val="No Spacing"/>
    <w:uiPriority w:val="1"/>
    <w:rsid w:val="007B7733"/>
    <w:rPr>
      <w:rFonts w:eastAsiaTheme="minorHAnsi"/>
      <w:sz w:val="24"/>
      <w:szCs w:val="24"/>
      <w:lang w:val="en-GB" w:eastAsia="ja-JP"/>
    </w:rPr>
  </w:style>
  <w:style w:type="paragraph" w:styleId="NormalWeb">
    <w:name w:val="Normal (Web)"/>
    <w:basedOn w:val="Normal"/>
    <w:uiPriority w:val="99"/>
    <w:semiHidden/>
    <w:unhideWhenUsed/>
    <w:rsid w:val="007B7733"/>
  </w:style>
  <w:style w:type="paragraph" w:styleId="NormalIndent">
    <w:name w:val="Normal Indent"/>
    <w:basedOn w:val="Normal"/>
    <w:uiPriority w:val="99"/>
    <w:semiHidden/>
    <w:unhideWhenUsed/>
    <w:rsid w:val="007B7733"/>
    <w:pPr>
      <w:ind w:left="720"/>
    </w:pPr>
    <w:rPr>
      <w:rFonts w:eastAsiaTheme="minorHAnsi"/>
    </w:r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7B7733"/>
    <w:pPr>
      <w:spacing w:before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7B7733"/>
    <w:rPr>
      <w:rFonts w:eastAsiaTheme="minorHAnsi"/>
      <w:sz w:val="24"/>
      <w:szCs w:val="24"/>
      <w:lang w:val="en-GB" w:eastAsia="ja-JP"/>
    </w:rPr>
  </w:style>
  <w:style w:type="character" w:styleId="PageNumber">
    <w:name w:val="page number"/>
    <w:basedOn w:val="DefaultParagraphFont"/>
    <w:uiPriority w:val="99"/>
    <w:semiHidden/>
    <w:unhideWhenUsed/>
    <w:rsid w:val="007B7733"/>
  </w:style>
  <w:style w:type="paragraph" w:styleId="PlainText">
    <w:name w:val="Plain Text"/>
    <w:basedOn w:val="Normal"/>
    <w:link w:val="PlainTextChar"/>
    <w:uiPriority w:val="99"/>
    <w:semiHidden/>
    <w:unhideWhenUsed/>
    <w:rsid w:val="007B7733"/>
    <w:pPr>
      <w:spacing w:before="0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7B7733"/>
    <w:rPr>
      <w:rFonts w:ascii="Consolas" w:eastAsiaTheme="minorHAnsi" w:hAnsi="Consolas"/>
      <w:sz w:val="21"/>
      <w:szCs w:val="21"/>
      <w:lang w:val="en-GB" w:eastAsia="ja-JP"/>
    </w:rPr>
  </w:style>
  <w:style w:type="paragraph" w:styleId="Quote">
    <w:name w:val="Quote"/>
    <w:basedOn w:val="Normal"/>
    <w:next w:val="Normal"/>
    <w:link w:val="QuoteChar"/>
    <w:uiPriority w:val="29"/>
    <w:rsid w:val="007B7733"/>
    <w:pPr>
      <w:spacing w:before="200" w:after="160"/>
      <w:ind w:left="864" w:right="864"/>
      <w:jc w:val="center"/>
    </w:pPr>
    <w:rPr>
      <w:rFonts w:eastAsiaTheme="minorHAnsi"/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7733"/>
    <w:rPr>
      <w:rFonts w:eastAsiaTheme="minorHAnsi"/>
      <w:i/>
      <w:iCs/>
      <w:color w:val="404040" w:themeColor="text1" w:themeTint="BF"/>
      <w:sz w:val="24"/>
      <w:szCs w:val="24"/>
      <w:lang w:val="en-GB" w:eastAsia="ja-JP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7B7733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7B7733"/>
    <w:rPr>
      <w:rFonts w:eastAsiaTheme="minorHAnsi"/>
      <w:sz w:val="24"/>
      <w:szCs w:val="24"/>
      <w:lang w:val="en-GB" w:eastAsia="ja-JP"/>
    </w:rPr>
  </w:style>
  <w:style w:type="paragraph" w:styleId="Signature">
    <w:name w:val="Signature"/>
    <w:basedOn w:val="Normal"/>
    <w:link w:val="SignatureChar"/>
    <w:uiPriority w:val="99"/>
    <w:semiHidden/>
    <w:unhideWhenUsed/>
    <w:rsid w:val="007B7733"/>
    <w:pPr>
      <w:spacing w:before="0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7B7733"/>
    <w:rPr>
      <w:rFonts w:eastAsiaTheme="minorHAnsi"/>
      <w:sz w:val="24"/>
      <w:szCs w:val="24"/>
      <w:lang w:val="en-GB" w:eastAsia="ja-JP"/>
    </w:rPr>
  </w:style>
  <w:style w:type="character" w:customStyle="1" w:styleId="SmartHyperlink1">
    <w:name w:val="Smart Hyperlink1"/>
    <w:basedOn w:val="DefaultParagraphFont"/>
    <w:uiPriority w:val="99"/>
    <w:semiHidden/>
    <w:unhideWhenUsed/>
    <w:rsid w:val="007B7733"/>
    <w:rPr>
      <w:u w:val="dotted"/>
    </w:rPr>
  </w:style>
  <w:style w:type="character" w:styleId="Strong">
    <w:name w:val="Strong"/>
    <w:basedOn w:val="DefaultParagraphFont"/>
    <w:uiPriority w:val="22"/>
    <w:rsid w:val="007B7733"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rsid w:val="007B7733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7B7733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  <w:lang w:val="en-GB" w:eastAsia="ja-JP"/>
    </w:rPr>
  </w:style>
  <w:style w:type="character" w:styleId="SubtleEmphasis">
    <w:name w:val="Subtle Emphasis"/>
    <w:basedOn w:val="DefaultParagraphFont"/>
    <w:uiPriority w:val="19"/>
    <w:rsid w:val="007B7733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rsid w:val="007B7733"/>
    <w:rPr>
      <w:smallCaps/>
      <w:color w:val="5A5A5A" w:themeColor="text1" w:themeTint="A5"/>
    </w:rPr>
  </w:style>
  <w:style w:type="paragraph" w:styleId="TableofAuthorities">
    <w:name w:val="table of authorities"/>
    <w:basedOn w:val="Normal"/>
    <w:next w:val="Normal"/>
    <w:uiPriority w:val="99"/>
    <w:semiHidden/>
    <w:unhideWhenUsed/>
    <w:rsid w:val="007B7733"/>
    <w:pPr>
      <w:ind w:left="240" w:hanging="240"/>
    </w:pPr>
  </w:style>
  <w:style w:type="paragraph" w:styleId="Title">
    <w:name w:val="Title"/>
    <w:basedOn w:val="Normal"/>
    <w:next w:val="Normal"/>
    <w:link w:val="TitleChar"/>
    <w:uiPriority w:val="10"/>
    <w:rsid w:val="007B7733"/>
    <w:pPr>
      <w:spacing w:before="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7733"/>
    <w:rPr>
      <w:rFonts w:asciiTheme="majorHAnsi" w:eastAsiaTheme="majorEastAsia" w:hAnsiTheme="majorHAnsi" w:cstheme="majorBidi"/>
      <w:spacing w:val="-10"/>
      <w:kern w:val="28"/>
      <w:sz w:val="56"/>
      <w:szCs w:val="56"/>
      <w:lang w:val="en-GB" w:eastAsia="ja-JP"/>
    </w:rPr>
  </w:style>
  <w:style w:type="paragraph" w:styleId="TOAHeading">
    <w:name w:val="toa heading"/>
    <w:basedOn w:val="Normal"/>
    <w:next w:val="Normal"/>
    <w:uiPriority w:val="99"/>
    <w:semiHidden/>
    <w:unhideWhenUsed/>
    <w:rsid w:val="007B7733"/>
    <w:rPr>
      <w:rFonts w:asciiTheme="majorHAnsi" w:eastAsiaTheme="majorEastAsia" w:hAnsiTheme="majorHAnsi" w:cstheme="majorBidi"/>
      <w:b/>
      <w:bCs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7B7733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7B7733"/>
    <w:pPr>
      <w:spacing w:after="100"/>
      <w:ind w:left="96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7B7733"/>
    <w:pPr>
      <w:spacing w:after="100"/>
      <w:ind w:left="12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7B7733"/>
    <w:pPr>
      <w:spacing w:after="100"/>
      <w:ind w:left="144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7B7733"/>
    <w:pPr>
      <w:spacing w:after="100"/>
      <w:ind w:left="168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7B7733"/>
    <w:pPr>
      <w:spacing w:after="100"/>
      <w:ind w:left="1920"/>
    </w:pPr>
  </w:style>
  <w:style w:type="paragraph" w:styleId="TOCHeading">
    <w:name w:val="TOC Heading"/>
    <w:basedOn w:val="Heading1"/>
    <w:next w:val="Normal"/>
    <w:uiPriority w:val="39"/>
    <w:semiHidden/>
    <w:unhideWhenUsed/>
    <w:rsid w:val="007B7733"/>
    <w:pPr>
      <w:keepLines/>
      <w:numPr>
        <w:numId w:val="0"/>
      </w:numPr>
      <w:spacing w:after="0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sz w:val="32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7B7733"/>
    <w:rPr>
      <w:color w:val="808080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4433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mailto:joa337@gmail.com" TargetMode="Externa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8B1BA978447754D837D14BA80D59D5B" ma:contentTypeVersion="4" ma:contentTypeDescription="Create a new document." ma:contentTypeScope="" ma:versionID="560758e4aa69921d799d69cf196fdfbf">
  <xsd:schema xmlns:xsd="http://www.w3.org/2001/XMLSchema" xmlns:xs="http://www.w3.org/2001/XMLSchema" xmlns:p="http://schemas.microsoft.com/office/2006/metadata/properties" xmlns:ns2="334a01d7-b565-4edd-92e5-cca83928c361" xmlns:ns3="46e6795c-dd07-447d-a3eb-d1e852b91aff" targetNamespace="http://schemas.microsoft.com/office/2006/metadata/properties" ma:root="true" ma:fieldsID="ca340645172f08dfffe9694e422b8284" ns2:_="" ns3:_="">
    <xsd:import namespace="334a01d7-b565-4edd-92e5-cca83928c361"/>
    <xsd:import namespace="46e6795c-dd07-447d-a3eb-d1e852b91aff"/>
    <xsd:element name="properties">
      <xsd:complexType>
        <xsd:sequence>
          <xsd:element name="documentManagement">
            <xsd:complexType>
              <xsd:all>
                <xsd:element ref="ns2:Meeting"/>
                <xsd:element ref="ns2:Source"/>
                <xsd:element ref="ns2:Meeting_x0020_document_x0020_number"/>
                <xsd:element ref="ns3:Latest_x0020_Vers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34a01d7-b565-4edd-92e5-cca83928c361" elementFormDefault="qualified">
    <xsd:import namespace="http://schemas.microsoft.com/office/2006/documentManagement/types"/>
    <xsd:import namespace="http://schemas.microsoft.com/office/infopath/2007/PartnerControls"/>
    <xsd:element name="Meeting" ma:index="8" ma:displayName="Meeting" ma:default="Fully virtual, 6-7 May 2026" ma:description="Meeting location and date." ma:format="Dropdown" ma:internalName="Meeting">
      <xsd:simpleType>
        <xsd:restriction base="dms:Choice">
          <xsd:enumeration value="Fully virtual, 6-7 May 2026"/>
        </xsd:restriction>
      </xsd:simpleType>
    </xsd:element>
    <xsd:element name="Source" ma:index="9" ma:displayName="Source" ma:description="Source of the document." ma:internalName="Source">
      <xsd:simpleType>
        <xsd:restriction base="dms:Text">
          <xsd:maxLength value="255"/>
        </xsd:restriction>
      </xsd:simpleType>
    </xsd:element>
    <xsd:element name="Meeting_x0020_document_x0020_number" ma:index="10" ma:displayName="Meeting document number" ma:default="###" ma:description="Meeting document number - Format (Doc###) Example: 001" ma:internalName="Meeting_x0020_document_x0020_number">
      <xsd:simpleType>
        <xsd:restriction base="dms:Text">
          <xsd:maxLength value="3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e6795c-dd07-447d-a3eb-d1e852b91aff" elementFormDefault="qualified">
    <xsd:import namespace="http://schemas.microsoft.com/office/2006/documentManagement/types"/>
    <xsd:import namespace="http://schemas.microsoft.com/office/infopath/2007/PartnerControls"/>
    <xsd:element name="Latest_x0020_Version" ma:index="11" nillable="true" ma:displayName="Latest Version" ma:description="Is this the latest version?" ma:internalName="Latest_x0020_Version">
      <xsd:complexType>
        <xsd:complexContent>
          <xsd:extension base="dms:MultiChoice">
            <xsd:sequence>
              <xsd:element name="Value" maxOccurs="unbounded" minOccurs="0" nillable="true">
                <xsd:simpleType>
                  <xsd:restriction base="dms:Choice">
                    <xsd:enumeration value="No"/>
                  </xsd:restriction>
                </xsd:simpleType>
              </xsd:element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ource xmlns="334a01d7-b565-4edd-92e5-cca83928c361">Changho Song (individual)</Source>
    <Meeting xmlns="334a01d7-b565-4edd-92e5-cca83928c361">Fully virtual, 6-7 May 2026</Meeting>
    <Latest_x0020_Version xmlns="46e6795c-dd07-447d-a3eb-d1e852b91aff"/>
    <Meeting_x0020_document_x0020_number xmlns="334a01d7-b565-4edd-92e5-cca83928c361">011</Meeting_x0020_document_x0020_number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3C6EC10-5EFC-49B7-A339-348553E29BD7}"/>
</file>

<file path=customXml/itemProps2.xml><?xml version="1.0" encoding="utf-8"?>
<ds:datastoreItem xmlns:ds="http://schemas.openxmlformats.org/officeDocument/2006/customXml" ds:itemID="{96FA4F6D-5F7E-4C68-950D-BEFE5DA802F6}">
  <ds:schemaRefs>
    <ds:schemaRef ds:uri="http://schemas.microsoft.com/office/2006/metadata/properties"/>
    <ds:schemaRef ds:uri="http://schemas.microsoft.com/office/infopath/2007/PartnerControls"/>
    <ds:schemaRef ds:uri="7bbce149-ba0e-4c7d-b138-75737535ebd3"/>
    <ds:schemaRef ds:uri="fc530d05-483b-4fd2-bcc9-ba5292dbeb46"/>
  </ds:schemaRefs>
</ds:datastoreItem>
</file>

<file path=customXml/itemProps3.xml><?xml version="1.0" encoding="utf-8"?>
<ds:datastoreItem xmlns:ds="http://schemas.openxmlformats.org/officeDocument/2006/customXml" ds:itemID="{4D6A3EC5-EE3B-49BD-949C-862509B33055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6</Pages>
  <Words>1930</Words>
  <Characters>13338</Characters>
  <Application>Microsoft Office Word</Application>
  <DocSecurity>0</DocSecurity>
  <Lines>271</Lines>
  <Paragraphs>130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Manager>ITU-T</Manager>
  <Company>International Telecommunication Union (ITU)</Company>
  <LinksUpToDate>false</LinksUpToDate>
  <CharactersWithSpaces>15208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Multimodal Structural Cognition for Embodied AI: The Velsanet Cognition Cube System</dc:title>
  <dc:subject/>
  <dc:creator>Editor</dc:creator>
  <cp:keywords/>
  <dc:description/>
  <cp:lastModifiedBy>TSB (HT)</cp:lastModifiedBy>
  <cp:revision>7</cp:revision>
  <cp:lastPrinted>2011-04-05T14:28:00Z</cp:lastPrinted>
  <dcterms:created xsi:type="dcterms:W3CDTF">2026-04-22T08:30:00Z</dcterms:created>
  <dcterms:modified xsi:type="dcterms:W3CDTF">2026-04-22T14:13:00Z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0x01010048B1BA978447754D837D14BA80D59D5B</vt:lpwstr>
  </property>
  <property fmtid="{D5CDD505-2E9C-101B-9397-08002B2CF9AE}" pid="3" name="Docnum">
    <vt:lpwstr>FG-AI4H-A-102</vt:lpwstr>
  </property>
  <property fmtid="{D5CDD505-2E9C-101B-9397-08002B2CF9AE}" pid="4" name="Docdate">
    <vt:lpwstr>ITU-T Focus Group on AI for Health</vt:lpwstr>
  </property>
  <property fmtid="{D5CDD505-2E9C-101B-9397-08002B2CF9AE}" pid="5" name="Docorlang">
    <vt:lpwstr>Original: English</vt:lpwstr>
  </property>
  <property fmtid="{D5CDD505-2E9C-101B-9397-08002B2CF9AE}" pid="6" name="Docbluepink">
    <vt:lpwstr>N/A</vt:lpwstr>
  </property>
  <property fmtid="{D5CDD505-2E9C-101B-9397-08002B2CF9AE}" pid="7" name="Docdest">
    <vt:lpwstr>Geneva, 26-27 September 2018</vt:lpwstr>
  </property>
  <property fmtid="{D5CDD505-2E9C-101B-9397-08002B2CF9AE}" pid="8" name="Docauthor">
    <vt:lpwstr>Editor</vt:lpwstr>
  </property>
  <property fmtid="{D5CDD505-2E9C-101B-9397-08002B2CF9AE}" pid="9" name="MediaServiceImageTags">
    <vt:lpwstr/>
  </property>
</Properties>
</file>