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r>
    </w:p>
    <w:p>
      <w:pPr>
        <w:spacing w:before="0" w:after="60"/>
        <w:jc w:val="center"/>
      </w:pPr>
      <w:r>
        <w:rPr>
          <w:rFonts w:ascii="Arial" w:cs="Arial" w:eastAsia="Arial" w:hAnsi="Arial"/>
          <w:b/>
          <w:bCs/>
          <w:caps/>
          <w:color w:val="4A90D9"/>
          <w:sz w:val="22"/>
          <w:szCs w:val="22"/>
        </w:rPr>
        <w:t xml:space="preserve">VELSANET ARCHITECTURE GROUP</w:t>
      </w:r>
    </w:p>
    <w:p>
      <w:pPr>
        <w:spacing w:before="0" w:after="40"/>
        <w:jc w:val="center"/>
      </w:pPr>
      <w:r>
        <w:rPr>
          <w:rFonts w:ascii="Arial" w:cs="Arial" w:eastAsia="Arial" w:hAnsi="Arial"/>
          <w:i/>
          <w:iCs/>
          <w:color w:val="888888"/>
          <w:sz w:val="20"/>
          <w:szCs w:val="20"/>
        </w:rPr>
        <w:t xml:space="preserve">Conceptual Technical White Paper</w:t>
      </w:r>
    </w:p>
    <w:p>
      <w:pPr>
        <w:spacing w:before="80" w:after="0"/>
      </w:pPr>
      <w:r>
        <w:t xml:space="preserve"/>
      </w:r>
    </w:p>
    <w:p>
      <w:pPr>
        <w:pBdr>
          <w:top w:val="single" w:color="2E6DB4" w:sz="8"/>
          <w:bottom w:val="single" w:color="2E6DB4" w:sz="8"/>
        </w:pBdr>
        <w:spacing w:before="0" w:after="40"/>
        <w:jc w:val="center"/>
      </w:pPr>
      <w:r>
        <w:rPr>
          <w:rFonts w:ascii="Arial" w:cs="Arial" w:eastAsia="Arial" w:hAnsi="Arial"/>
          <w:b/>
          <w:bCs/>
          <w:color w:val="1B3A6B"/>
          <w:sz w:val="56"/>
          <w:szCs w:val="56"/>
        </w:rPr>
        <w:t xml:space="preserve">VXU-1: Velsanet Execution Unit</w:t>
      </w:r>
    </w:p>
    <w:p>
      <w:pPr>
        <w:spacing w:before="20" w:after="40"/>
        <w:jc w:val="center"/>
      </w:pPr>
      <w:r>
        <w:rPr>
          <w:rFonts w:ascii="Arial" w:cs="Arial" w:eastAsia="Arial" w:hAnsi="Arial"/>
          <w:b/>
          <w:bCs/>
          <w:color w:val="2E6DB4"/>
          <w:sz w:val="32"/>
          <w:szCs w:val="32"/>
        </w:rPr>
        <w:t xml:space="preserve">A Topology-Native AI Compute Architecture</w:t>
      </w:r>
    </w:p>
    <w:p>
      <w:pPr>
        <w:spacing w:before="0" w:after="0"/>
        <w:jc w:val="center"/>
      </w:pPr>
      <w:r>
        <w:rPr>
          <w:rFonts w:ascii="Arial" w:cs="Arial" w:eastAsia="Arial" w:hAnsi="Arial"/>
          <w:i/>
          <w:iCs/>
          <w:color w:val="555555"/>
          <w:sz w:val="24"/>
          <w:szCs w:val="24"/>
        </w:rPr>
        <w:t xml:space="preserve">Beyond the GPU Paradigm: When Network Structure Becomes Compute</w:t>
      </w:r>
    </w:p>
    <w:p>
      <w:pPr>
        <w:spacing w:before="400" w:after="0"/>
      </w:pPr>
      <w:r>
        <w:t xml:space="preserve"/>
      </w:r>
    </w:p>
    <w:p>
      <w:pPr>
        <w:jc w:val="center"/>
      </w:pPr>
      <w:r>
        <w:rPr>
          <w:rFonts w:ascii="Arial" w:cs="Arial" w:eastAsia="Arial" w:hAnsi="Arial"/>
          <w:color w:val="888888"/>
          <w:sz w:val="20"/>
          <w:szCs w:val="20"/>
        </w:rPr>
        <w:t xml:space="preserve">Version 1.0  |  2026  |  Republic of Korea</w:t>
      </w:r>
    </w:p>
    <w:p>
      <w:r>
        <w:br w:type="page"/>
      </w:r>
    </w:p>
    <w:p>
      <w:pPr>
        <w:pBdr>
          <w:bottom w:val="single" w:color="2E6DB4" w:sz="6" w:space="4"/>
        </w:pBdr>
        <w:spacing w:before="320" w:after="160"/>
      </w:pPr>
      <w:r>
        <w:rPr>
          <w:rFonts w:ascii="Arial" w:cs="Arial" w:eastAsia="Arial" w:hAnsi="Arial"/>
          <w:b/>
          <w:bCs/>
          <w:color w:val="1B3A6B"/>
          <w:sz w:val="30"/>
          <w:szCs w:val="30"/>
        </w:rPr>
        <w:t xml:space="preserve">Abstract</w:t>
      </w:r>
    </w:p>
    <w:p>
      <w:pPr>
        <w:spacing w:before="80" w:after="100"/>
      </w:pPr>
      <w:r>
        <w:rPr>
          <w:rFonts w:ascii="Arial" w:cs="Arial" w:eastAsia="Arial" w:hAnsi="Arial"/>
          <w:sz w:val="22"/>
          <w:szCs w:val="22"/>
        </w:rPr>
        <w:t xml:space="preserve">This white paper presents a conceptual architecture for the Velsanet Execution Unit (VXU-1): a compute die designed on the structural principles of the Velsanet network architecture. Rather than scaling AI performance by aggregating conventional GPU dies — as exemplified by NVIDIA's Blackwell GB200/GB300 platform — VXU-1 proposes that the topology of the Velsanet network (polyhedral node hierarchy, deterministic parallel optical E2E, three-layer AI embedding, and Cube Memory) can be transposed directly onto silicon.</w:t>
      </w:r>
    </w:p>
    <w:p>
      <w:pPr>
        <w:spacing w:before="60" w:after="0"/>
      </w:pPr>
      <w:r>
        <w:t xml:space="preserve"/>
      </w:r>
    </w:p>
    <w:p>
      <w:pPr>
        <w:spacing w:before="80" w:after="100"/>
      </w:pPr>
      <w:r>
        <w:rPr>
          <w:rFonts w:ascii="Arial" w:cs="Arial" w:eastAsia="Arial" w:hAnsi="Arial"/>
          <w:sz w:val="22"/>
          <w:szCs w:val="22"/>
        </w:rPr>
        <w:t xml:space="preserve">The result is a fundamentally different class of processor: one in which parallelism is physical rather than scheduled, intelligence is embedded in the interconnect rather than layered above it, and memory is semantically indexed rather than address-mapped. This paper evaluates VXU-1 against the Blackwell architecture across dimensions of raw compute throughput, energy efficiency, memory bandwidth, interconnect latency, AI layer utilization, and multi-agent workload efficiency.</w:t>
      </w:r>
    </w:p>
    <w:p>
      <w:pPr>
        <w:spacing w:before="60" w:after="0"/>
      </w:pPr>
      <w:r>
        <w:t xml:space="preserve"/>
      </w:r>
    </w:p>
    <w:p>
      <w:pPr>
        <w:spacing w:before="80" w:after="100"/>
      </w:pPr>
      <w:r>
        <w:rPr>
          <w:rFonts w:ascii="Arial" w:cs="Arial" w:eastAsia="Arial" w:hAnsi="Arial"/>
          <w:sz w:val="22"/>
          <w:szCs w:val="22"/>
        </w:rPr>
        <w:t xml:space="preserve">The analysis concludes that, within its design domain of structured AI inference and multi-agent coordination workloads, VXU-1 offers substantial architectural advantages — not as an incremental improvement over GPU design, but as a different computational substrate grounded in the principle that structure is intelligence.</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1.  The Blackwell Paradigm — Scaling by Aggregation</w:t>
      </w:r>
    </w:p>
    <w:p>
      <w:pPr>
        <w:pStyle w:val="Heading2"/>
        <w:spacing w:before="280" w:after="160"/>
      </w:pPr>
      <w:r>
        <w:rPr>
          <w:rFonts w:ascii="Arial" w:cs="Arial" w:eastAsia="Arial" w:hAnsi="Arial"/>
          <w:b/>
          <w:bCs/>
          <w:color w:val="1B3A6B"/>
          <w:sz w:val="28"/>
          <w:szCs w:val="28"/>
        </w:rPr>
        <w:t xml:space="preserve">1.1  Architecture Overview</w:t>
      </w:r>
    </w:p>
    <w:p>
      <w:pPr>
        <w:spacing w:before="80" w:after="100"/>
      </w:pPr>
      <w:r>
        <w:rPr>
          <w:rFonts w:ascii="Arial" w:cs="Arial" w:eastAsia="Arial" w:hAnsi="Arial"/>
          <w:sz w:val="22"/>
          <w:szCs w:val="22"/>
        </w:rPr>
        <w:t xml:space="preserve">NVIDIA's Blackwell architecture (GB200, GB300) represents the state of the art in GPU-based AI acceleration as of 2026. Its key characteristics are: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Attribute</w:t>
            </w:r>
          </w:p>
        </w:tc>
        <w:tc>
          <w:tcPr>
            <w:tcW w:type="dxa" w:w="616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Blackwell GB200 NVL72</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Die count</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2 GPU dies (GPC cluster) + 1 NVLink Switch die per module; 72 GPUs per NVL72 rack</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Peak AI throughput</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~1,440 PFLOPS (FP4) across NVL72 rack unit</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Memory per GPU</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192 GB HBM3e; 8 TB/s aggregate memory bandwidth (NVL72)</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Interconnect</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NVLink 5 (1.8 TB/s bidirectional per GPU); NVSwitch fabric</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Power (NVL72)</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~120 kW (rack level)</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Parallelism model</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Software-scheduled SIMT (tensor core) + NVLink fabric arbitration</w:t>
            </w:r>
          </w:p>
        </w:tc>
      </w:tr>
    </w:tbl>
    <w:p>
      <w:pPr>
        <w:spacing w:before="140" w:after="0"/>
      </w:pPr>
      <w:r>
        <w:t xml:space="preserve"/>
      </w:r>
    </w:p>
    <w:p>
      <w:pPr>
        <w:pStyle w:val="Heading2"/>
        <w:spacing w:before="280" w:after="160"/>
      </w:pPr>
      <w:r>
        <w:rPr>
          <w:rFonts w:ascii="Arial" w:cs="Arial" w:eastAsia="Arial" w:hAnsi="Arial"/>
          <w:b/>
          <w:bCs/>
          <w:color w:val="1B3A6B"/>
          <w:sz w:val="28"/>
          <w:szCs w:val="28"/>
        </w:rPr>
        <w:t xml:space="preserve">1.2  Structural Limitations of the GPU Model</w:t>
      </w:r>
    </w:p>
    <w:p>
      <w:pPr>
        <w:spacing w:before="80" w:after="100"/>
      </w:pPr>
      <w:r>
        <w:rPr>
          <w:rFonts w:ascii="Arial" w:cs="Arial" w:eastAsia="Arial" w:hAnsi="Arial"/>
          <w:sz w:val="22"/>
          <w:szCs w:val="22"/>
        </w:rPr>
        <w:t xml:space="preserve">Despite extraordinary engineering achievement, the Blackwell paradigm carries several structural constraints that are not addressable through incremental scaling:</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Parallelism is software-scheduled. The CUDA runtime, cuDNN, and transformer engine layers arbitrate access to tensor cores. Scheduling overhead is irreducible.</w:t>
      </w:r>
    </w:p>
    <w:p>
      <w:pPr>
        <w:pStyle w:val="ListParagraph"/>
        <w:numPr>
          <w:ilvl w:val="0"/>
          <w:numId w:val="2"/>
        </w:numPr>
        <w:spacing w:before="60" w:after="60"/>
      </w:pPr>
      <w:r>
        <w:rPr>
          <w:rFonts w:ascii="Arial" w:cs="Arial" w:eastAsia="Arial" w:hAnsi="Arial"/>
          <w:sz w:val="22"/>
          <w:szCs w:val="22"/>
        </w:rPr>
        <w:t xml:space="preserve">Memory is address-mapped and shared. HBM bandwidth is enormous but shared across all active kernels. High-traffic inference creates memory contention that cannot be eliminated by bandwidth alone.</w:t>
      </w:r>
    </w:p>
    <w:p>
      <w:pPr>
        <w:pStyle w:val="ListParagraph"/>
        <w:numPr>
          <w:ilvl w:val="0"/>
          <w:numId w:val="2"/>
        </w:numPr>
        <w:spacing w:before="60" w:after="60"/>
      </w:pPr>
      <w:r>
        <w:rPr>
          <w:rFonts w:ascii="Arial" w:cs="Arial" w:eastAsia="Arial" w:hAnsi="Arial"/>
          <w:sz w:val="22"/>
          <w:szCs w:val="22"/>
        </w:rPr>
        <w:t xml:space="preserve">AI is external to the interconnect. NVLink is a transport fabric, not an intelligence substrate. AI workloads ride the fabric; they do not emerge from it.</w:t>
      </w:r>
    </w:p>
    <w:p>
      <w:pPr>
        <w:pStyle w:val="ListParagraph"/>
        <w:numPr>
          <w:ilvl w:val="0"/>
          <w:numId w:val="2"/>
        </w:numPr>
        <w:spacing w:before="60" w:after="60"/>
      </w:pPr>
      <w:r>
        <w:rPr>
          <w:rFonts w:ascii="Arial" w:cs="Arial" w:eastAsia="Arial" w:hAnsi="Arial"/>
          <w:sz w:val="22"/>
          <w:szCs w:val="22"/>
        </w:rPr>
        <w:t xml:space="preserve">Inter-die latency is real. Even with NVLink 5, cross-GPU communication introduces latency that cannot be zero. For multi-agent AI coordination, this is a fundamental bottleneck.</w:t>
      </w:r>
    </w:p>
    <w:p>
      <w:pPr>
        <w:pStyle w:val="ListParagraph"/>
        <w:numPr>
          <w:ilvl w:val="0"/>
          <w:numId w:val="2"/>
        </w:numPr>
        <w:spacing w:before="60" w:after="60"/>
      </w:pPr>
      <w:r>
        <w:rPr>
          <w:rFonts w:ascii="Arial" w:cs="Arial" w:eastAsia="Arial" w:hAnsi="Arial"/>
          <w:sz w:val="22"/>
          <w:szCs w:val="22"/>
        </w:rPr>
        <w:t xml:space="preserve">Energy is dominated by DRAM refresh and switching fabric. Approximately 30–40% of total power in large GPU clusters is consumed by memory refresh cycles and switch ASIC operation — neither contributes directly to computation.</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2.  VXU-1: The Velsanet Execution Unit</w:t>
      </w:r>
    </w:p>
    <w:p>
      <w:pPr>
        <w:pStyle w:val="Heading2"/>
        <w:spacing w:before="280" w:after="160"/>
      </w:pPr>
      <w:r>
        <w:rPr>
          <w:rFonts w:ascii="Arial" w:cs="Arial" w:eastAsia="Arial" w:hAnsi="Arial"/>
          <w:b/>
          <w:bCs/>
          <w:color w:val="1B3A6B"/>
          <w:sz w:val="28"/>
          <w:szCs w:val="28"/>
        </w:rPr>
        <w:t xml:space="preserve">2.1  Design Principle</w:t>
      </w:r>
    </w:p>
    <w:p>
      <w:pPr>
        <w:spacing w:before="80" w:after="100"/>
      </w:pPr>
      <w:r>
        <w:rPr>
          <w:rFonts w:ascii="Arial" w:cs="Arial" w:eastAsia="Arial" w:hAnsi="Arial"/>
          <w:sz w:val="22"/>
          <w:szCs w:val="22"/>
        </w:rPr>
        <w:t xml:space="preserve">VXU-1 is not a GPU. It does not implement SIMT execution, shared memory hierarchies, or software-scheduled parallelism. It is a silicon instantiation of the Velsanet architectural principles: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Velsanet Network Principle</w:t>
            </w:r>
          </w:p>
        </w:tc>
        <w:tc>
          <w:tcPr>
            <w:tcW w:type="dxa" w:w="616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VXU-1 Silicon Equivalent</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T4 / H6 autonomous nodes</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Input Processing Units (IPU) — signal ingestion, multimodal decomposition, Channel 1 self-awareness bootstrap</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O8 node (PAI layer)</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Local Inference Cluster (LIC) — on-die AI reasoning cores; first tier of intelligence; handles device-level intent</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D12 node (AAI layer)</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Regional Coordination Fabric (RCF) — cluster-to-cluster orchestration; multi-LIC coordination; demand-driven parallelism activation</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I20 node (AsAI layer)</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Global Policy Engine (GPE) — chip-wide inference policy; sovereign-level reasoning; structural safety enforcement</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Optical core (8-channel E2E)</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Photonic Data Path (PDP) — 8-lane physically isolated optical waveguide per processing unit; no bus arbitration; zero contention</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MOCT ribbon cable</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Inter-die Photonic Ribbon (IPR) — die-to-die optical interconnect; replaces NVLink copper/electrical fabric</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Cube Memory (T-C-I-E-M)</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Semantic Cache Array (SCA) — 5-axis on-chip SRAM indexed by Time, Context, Intent, Emotion, Meta; intent-native retrieval</w:t>
            </w:r>
          </w:p>
        </w:tc>
      </w:tr>
      <w:tr>
        <w:tc>
          <w:tcPr>
            <w:tcW w:type="dxa" w:w="32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Channel 1 (sensing/control)</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Structural Identity Bus (SIB) — dedicated hardware lane for die self-awareness, neighbor discovery, physical authentication; requires zero software</w:t>
            </w:r>
          </w:p>
        </w:tc>
      </w:tr>
    </w:tbl>
    <w:p>
      <w:pPr>
        <w:spacing w:before="140" w:after="0"/>
      </w:pPr>
      <w:r>
        <w:t xml:space="preserve"/>
      </w:r>
    </w:p>
    <w:p>
      <w:pPr>
        <w:pStyle w:val="Heading2"/>
        <w:spacing w:before="280" w:after="160"/>
      </w:pPr>
      <w:r>
        <w:rPr>
          <w:rFonts w:ascii="Arial" w:cs="Arial" w:eastAsia="Arial" w:hAnsi="Arial"/>
          <w:b/>
          <w:bCs/>
          <w:color w:val="1B3A6B"/>
          <w:sz w:val="28"/>
          <w:szCs w:val="28"/>
        </w:rPr>
        <w:t xml:space="preserve">2.2  Physical Die Organization</w:t>
      </w:r>
    </w:p>
    <w:p>
      <w:pPr>
        <w:spacing w:before="80" w:after="100"/>
      </w:pPr>
      <w:r>
        <w:rPr>
          <w:rFonts w:ascii="Arial" w:cs="Arial" w:eastAsia="Arial" w:hAnsi="Arial"/>
          <w:sz w:val="22"/>
          <w:szCs w:val="22"/>
        </w:rPr>
        <w:t xml:space="preserve">A single VXU-1 die at 3nm TSMC process node is organized as follows: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8 Input Processing Unit (IPU) clusters — one per multimodal channel (matching Velsanet's 8-channel / core model)</w:t>
      </w:r>
    </w:p>
    <w:p>
      <w:pPr>
        <w:pStyle w:val="ListParagraph"/>
        <w:numPr>
          <w:ilvl w:val="0"/>
          <w:numId w:val="2"/>
        </w:numPr>
        <w:spacing w:before="60" w:after="60"/>
      </w:pPr>
      <w:r>
        <w:rPr>
          <w:rFonts w:ascii="Arial" w:cs="Arial" w:eastAsia="Arial" w:hAnsi="Arial"/>
          <w:sz w:val="22"/>
          <w:szCs w:val="22"/>
        </w:rPr>
        <w:t xml:space="preserve">64 Local Inference Clusters (LIC) — each equivalent to one O8 node; each with dedicated 8-lane PDP; 512 KB Semantic Cache per cluster</w:t>
      </w:r>
    </w:p>
    <w:p>
      <w:pPr>
        <w:pStyle w:val="ListParagraph"/>
        <w:numPr>
          <w:ilvl w:val="0"/>
          <w:numId w:val="2"/>
        </w:numPr>
        <w:spacing w:before="60" w:after="60"/>
      </w:pPr>
      <w:r>
        <w:rPr>
          <w:rFonts w:ascii="Arial" w:cs="Arial" w:eastAsia="Arial" w:hAnsi="Arial"/>
          <w:sz w:val="22"/>
          <w:szCs w:val="22"/>
        </w:rPr>
        <w:t xml:space="preserve">8 Regional Coordination Fabric (RCF) units — each coordinating 8 LIC clusters; equivalent to D12 layer</w:t>
      </w:r>
    </w:p>
    <w:p>
      <w:pPr>
        <w:pStyle w:val="ListParagraph"/>
        <w:numPr>
          <w:ilvl w:val="0"/>
          <w:numId w:val="2"/>
        </w:numPr>
        <w:spacing w:before="60" w:after="60"/>
      </w:pPr>
      <w:r>
        <w:rPr>
          <w:rFonts w:ascii="Arial" w:cs="Arial" w:eastAsia="Arial" w:hAnsi="Arial"/>
          <w:sz w:val="22"/>
          <w:szCs w:val="22"/>
        </w:rPr>
        <w:t xml:space="preserve">1 Global Policy Engine (GPE) — chip-wide I20-equivalent; structural safety invariant enforcement in hardware</w:t>
      </w:r>
    </w:p>
    <w:p>
      <w:pPr>
        <w:pStyle w:val="ListParagraph"/>
        <w:numPr>
          <w:ilvl w:val="0"/>
          <w:numId w:val="2"/>
        </w:numPr>
        <w:spacing w:before="60" w:after="60"/>
      </w:pPr>
      <w:r>
        <w:rPr>
          <w:rFonts w:ascii="Arial" w:cs="Arial" w:eastAsia="Arial" w:hAnsi="Arial"/>
          <w:sz w:val="22"/>
          <w:szCs w:val="22"/>
        </w:rPr>
        <w:t xml:space="preserve">Photonic fabric — silicon photonics waveguide array embedded in back-end-of-line (BEOL) layers; replaces all electrical switching buses</w:t>
      </w:r>
    </w:p>
    <w:p>
      <w:pPr>
        <w:pStyle w:val="ListParagraph"/>
        <w:numPr>
          <w:ilvl w:val="0"/>
          <w:numId w:val="2"/>
        </w:numPr>
        <w:spacing w:before="60" w:after="60"/>
      </w:pPr>
      <w:r>
        <w:rPr>
          <w:rFonts w:ascii="Arial" w:cs="Arial" w:eastAsia="Arial" w:hAnsi="Arial"/>
          <w:sz w:val="22"/>
          <w:szCs w:val="22"/>
        </w:rPr>
        <w:t xml:space="preserve">Semantic Cache Array (SCA) — 512 MB on-die, 5-axis addressable SRAM organized as T-C-I-E-M cube structure</w:t>
      </w:r>
    </w:p>
    <w:p>
      <w:pPr>
        <w:spacing w:before="60" w:after="0"/>
      </w:pPr>
      <w:r>
        <w:t xml:space="preserve"/>
      </w:r>
    </w:p>
    <w:p>
      <w:pPr>
        <w:spacing w:before="80" w:after="100"/>
      </w:pPr>
      <w:r>
        <w:rPr>
          <w:rFonts w:ascii="Arial" w:cs="Arial" w:eastAsia="Arial" w:hAnsi="Arial"/>
          <w:sz w:val="22"/>
          <w:szCs w:val="22"/>
        </w:rPr>
        <w:t xml:space="preserve">In a VXU-1 multi-die module analogous to Blackwell's NVL72, 72 VXU-1 dies are interconnected via Inter-die Photonic Ribbon (IPR) — the silicon-scale equivalent of MOCT ribbon cables.</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3.  Performance Analysis</w:t>
      </w:r>
    </w:p>
    <w:p>
      <w:pPr>
        <w:pStyle w:val="Heading2"/>
        <w:spacing w:before="280" w:after="160"/>
      </w:pPr>
      <w:r>
        <w:rPr>
          <w:rFonts w:ascii="Arial" w:cs="Arial" w:eastAsia="Arial" w:hAnsi="Arial"/>
          <w:b/>
          <w:bCs/>
          <w:color w:val="1B3A6B"/>
          <w:sz w:val="28"/>
          <w:szCs w:val="28"/>
        </w:rPr>
        <w:t xml:space="preserve">3.1  Theoretical Peak Throughput</w:t>
      </w:r>
    </w:p>
    <w:p>
      <w:pPr>
        <w:spacing w:before="80" w:after="100"/>
      </w:pPr>
      <w:r>
        <w:rPr>
          <w:rFonts w:ascii="Arial" w:cs="Arial" w:eastAsia="Arial" w:hAnsi="Arial"/>
          <w:sz w:val="22"/>
          <w:szCs w:val="22"/>
        </w:rPr>
        <w:t xml:space="preserve">The VXU-1 throughput model differs fundamentally from GPU FLOPS counting. Because parallelism is structural rather than scheduled, VXU-1 does not have a traditional FLOPS ceiling. Instead, performance is characterized by: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Metric</w:t>
            </w:r>
          </w:p>
        </w:tc>
        <w:tc>
          <w:tcPr>
            <w:tcW w:type="dxa" w:w="29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Blackwell GB200 NVL72</w:t>
            </w:r>
          </w:p>
        </w:tc>
        <w:tc>
          <w:tcPr>
            <w:tcW w:type="dxa" w:w="29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VXU-1 ×72 Module</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Peak AI throughput (FP4/INT4)</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~1,440 PFLOPS</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center"/>
            </w:pPr>
            <w:r>
              <w:rPr>
                <w:rFonts w:ascii="Arial" w:cs="Arial" w:eastAsia="Arial" w:hAnsi="Arial"/>
                <w:b/>
                <w:bCs/>
                <w:color w:val="222222"/>
                <w:sz w:val="19"/>
                <w:szCs w:val="19"/>
              </w:rPr>
              <w:t xml:space="preserve">~1,800–2,200 PFLOPS*</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Effective throughput (multi-agent workload)</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~60–70% utilization (scheduling overhead)</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center"/>
            </w:pPr>
            <w:r>
              <w:rPr>
                <w:rFonts w:ascii="Arial" w:cs="Arial" w:eastAsia="Arial" w:hAnsi="Arial"/>
                <w:b/>
                <w:bCs/>
                <w:color w:val="222222"/>
                <w:sz w:val="19"/>
                <w:szCs w:val="19"/>
              </w:rPr>
              <w:t xml:space="preserve">~92–96% utilization (structural dispatch)</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Inference latency (single request)</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0.5–2 ms (scheduling jitter included)</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center"/>
            </w:pPr>
            <w:r>
              <w:rPr>
                <w:rFonts w:ascii="Arial" w:cs="Arial" w:eastAsia="Arial" w:hAnsi="Arial"/>
                <w:b/>
                <w:bCs/>
                <w:color w:val="222222"/>
                <w:sz w:val="19"/>
                <w:szCs w:val="19"/>
              </w:rPr>
              <w:t xml:space="preserve">&lt;0.1 ms (deterministic, no jitter)</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Inter-die communication latency</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~1–5 μs (NVLink electrical)</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center"/>
            </w:pPr>
            <w:r>
              <w:rPr>
                <w:rFonts w:ascii="Arial" w:cs="Arial" w:eastAsia="Arial" w:hAnsi="Arial"/>
                <w:b/>
                <w:bCs/>
                <w:color w:val="222222"/>
                <w:sz w:val="19"/>
                <w:szCs w:val="19"/>
              </w:rPr>
              <w:t xml:space="preserve">&lt;10 ns (photonic E2E, speed-of-light)</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Memory bandwidth (aggregate)</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8 TB/s (HBM3e shared)</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center"/>
            </w:pPr>
            <w:r>
              <w:rPr>
                <w:rFonts w:ascii="Arial" w:cs="Arial" w:eastAsia="Arial" w:hAnsi="Arial"/>
                <w:b/>
                <w:bCs/>
                <w:color w:val="222222"/>
                <w:sz w:val="19"/>
                <w:szCs w:val="19"/>
              </w:rPr>
              <w:t xml:space="preserve">12–16 TB/s (SCA + IPR dedicated per path)</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Memory contention</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Present (shared HBM bus)</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center"/>
            </w:pPr>
            <w:r>
              <w:rPr>
                <w:rFonts w:ascii="Arial" w:cs="Arial" w:eastAsia="Arial" w:hAnsi="Arial"/>
                <w:b/>
                <w:bCs/>
                <w:color w:val="222222"/>
                <w:sz w:val="19"/>
                <w:szCs w:val="19"/>
              </w:rPr>
              <w:t xml:space="preserve">Structurally zero (per-path isolation)</w:t>
            </w:r>
          </w:p>
        </w:tc>
      </w:tr>
    </w:tbl>
    <w:p>
      <w:pPr>
        <w:spacing w:before="100" w:after="0"/>
      </w:pPr>
      <w:r>
        <w:t xml:space="preserve"/>
      </w:r>
    </w:p>
    <w:p>
      <w:pPr>
        <w:spacing w:before="80" w:after="100"/>
      </w:pPr>
      <w:r>
        <w:rPr>
          <w:rFonts w:ascii="Arial" w:cs="Arial" w:eastAsia="Arial" w:hAnsi="Arial"/>
          <w:i/>
          <w:iCs/>
          <w:color w:val="666666"/>
          <w:sz w:val="19"/>
          <w:szCs w:val="19"/>
        </w:rPr>
        <w:t xml:space="preserve">* Estimated based on 64 LIC × 72 dies, each LIC operating 8 parallel inference threads at projected 3nm process throughput. Exact figures require hardware validation.</w:t>
      </w:r>
    </w:p>
    <w:p>
      <w:pPr>
        <w:spacing w:before="140" w:after="0"/>
      </w:pPr>
      <w:r>
        <w:t xml:space="preserve"/>
      </w:r>
    </w:p>
    <w:p>
      <w:pPr>
        <w:pStyle w:val="Heading2"/>
        <w:spacing w:before="280" w:after="160"/>
      </w:pPr>
      <w:r>
        <w:rPr>
          <w:rFonts w:ascii="Arial" w:cs="Arial" w:eastAsia="Arial" w:hAnsi="Arial"/>
          <w:b/>
          <w:bCs/>
          <w:color w:val="1B3A6B"/>
          <w:sz w:val="28"/>
          <w:szCs w:val="28"/>
        </w:rPr>
        <w:t xml:space="preserve">3.2  The Utilization Advantage</w:t>
      </w:r>
    </w:p>
    <w:p>
      <w:pPr>
        <w:spacing w:before="80" w:after="100"/>
      </w:pPr>
      <w:r>
        <w:rPr>
          <w:rFonts w:ascii="Arial" w:cs="Arial" w:eastAsia="Arial" w:hAnsi="Arial"/>
          <w:sz w:val="22"/>
          <w:szCs w:val="22"/>
        </w:rPr>
        <w:t xml:space="preserve">The most significant performance advantage of VXU-1 is not peak throughput — it is utilization efficiency. In Blackwell, large language model inference achieves 60–70% hardware utilization under optimal batching. The remainder is consumed by:</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CUDA kernel launch and scheduling overhead</w:t>
      </w:r>
    </w:p>
    <w:p>
      <w:pPr>
        <w:pStyle w:val="ListParagraph"/>
        <w:numPr>
          <w:ilvl w:val="0"/>
          <w:numId w:val="2"/>
        </w:numPr>
        <w:spacing w:before="60" w:after="60"/>
      </w:pPr>
      <w:r>
        <w:rPr>
          <w:rFonts w:ascii="Arial" w:cs="Arial" w:eastAsia="Arial" w:hAnsi="Arial"/>
          <w:sz w:val="22"/>
          <w:szCs w:val="22"/>
        </w:rPr>
        <w:t xml:space="preserve">NVLink arbitration and flow control</w:t>
      </w:r>
    </w:p>
    <w:p>
      <w:pPr>
        <w:pStyle w:val="ListParagraph"/>
        <w:numPr>
          <w:ilvl w:val="0"/>
          <w:numId w:val="2"/>
        </w:numPr>
        <w:spacing w:before="60" w:after="60"/>
      </w:pPr>
      <w:r>
        <w:rPr>
          <w:rFonts w:ascii="Arial" w:cs="Arial" w:eastAsia="Arial" w:hAnsi="Arial"/>
          <w:sz w:val="22"/>
          <w:szCs w:val="22"/>
        </w:rPr>
        <w:t xml:space="preserve">HBM bank conflict resolution</w:t>
      </w:r>
    </w:p>
    <w:p>
      <w:pPr>
        <w:pStyle w:val="ListParagraph"/>
        <w:numPr>
          <w:ilvl w:val="0"/>
          <w:numId w:val="2"/>
        </w:numPr>
        <w:spacing w:before="60" w:after="60"/>
      </w:pPr>
      <w:r>
        <w:rPr>
          <w:rFonts w:ascii="Arial" w:cs="Arial" w:eastAsia="Arial" w:hAnsi="Arial"/>
          <w:sz w:val="22"/>
          <w:szCs w:val="22"/>
        </w:rPr>
        <w:t xml:space="preserve">Attention mechanism memory re-reads</w:t>
      </w:r>
    </w:p>
    <w:p>
      <w:pPr>
        <w:pStyle w:val="ListParagraph"/>
        <w:numPr>
          <w:ilvl w:val="0"/>
          <w:numId w:val="2"/>
        </w:numPr>
        <w:spacing w:before="60" w:after="60"/>
      </w:pPr>
      <w:r>
        <w:rPr>
          <w:rFonts w:ascii="Arial" w:cs="Arial" w:eastAsia="Arial" w:hAnsi="Arial"/>
          <w:sz w:val="22"/>
          <w:szCs w:val="22"/>
        </w:rPr>
        <w:t xml:space="preserve">Cross-die synchronization barriers</w:t>
      </w:r>
    </w:p>
    <w:p>
      <w:pPr>
        <w:spacing w:before="80" w:after="0"/>
      </w:pPr>
      <w:r>
        <w:t xml:space="preserve"/>
      </w:r>
    </w:p>
    <w:p>
      <w:pPr>
        <w:spacing w:before="80" w:after="100"/>
      </w:pPr>
      <w:r>
        <w:rPr>
          <w:rFonts w:ascii="Arial" w:cs="Arial" w:eastAsia="Arial" w:hAnsi="Arial"/>
          <w:sz w:val="22"/>
          <w:szCs w:val="22"/>
        </w:rPr>
        <w:t xml:space="preserve">In VXU-1, each LIC has its own dedicated 8-lane PDP. There is no shared bus. There is no arbiter. A workload dispatched to an LIC runs to completion without waiting for any other workload. The structural equivalent of CUDA scheduling does not exist. Utilization approaches the physical limit of the silicon.</w:t>
      </w:r>
    </w:p>
    <w:p>
      <w:pPr>
        <w:spacing w:before="80" w:after="0"/>
      </w:pPr>
      <w:r>
        <w:t xml:space="preserve"/>
      </w:r>
    </w:p>
    <w:p>
      <w:pPr>
        <w:spacing w:before="80" w:after="100"/>
      </w:pPr>
      <w:r>
        <w:rPr>
          <w:rFonts w:ascii="Arial" w:cs="Arial" w:eastAsia="Arial" w:hAnsi="Arial"/>
          <w:b w:val="false"/>
          <w:bCs w:val="false"/>
          <w:sz w:val="22"/>
          <w:szCs w:val="22"/>
        </w:rPr>
        <w:t xml:space="preserve">Effective throughput = </w:t>
      </w:r>
      <w:r>
        <w:rPr>
          <w:rFonts w:ascii="Arial" w:cs="Arial" w:eastAsia="Arial" w:hAnsi="Arial"/>
          <w:b/>
          <w:bCs/>
          <w:color w:val="2E6DB4"/>
          <w:sz w:val="22"/>
          <w:szCs w:val="22"/>
        </w:rPr>
        <w:t xml:space="preserve">Peak throughput × utilization rate</w:t>
      </w:r>
      <w:r>
        <w:rPr>
          <w:rFonts w:ascii="Arial" w:cs="Arial" w:eastAsia="Arial" w:hAnsi="Arial"/>
          <w:b w:val="false"/>
          <w:bCs w:val="false"/>
          <w:sz w:val="22"/>
          <w:szCs w:val="22"/>
        </w:rPr>
        <w:t xml:space="preserve">. At equivalent peak specs, VXU-1's ~94% utilization vs. Blackwell's ~65% represents a </w:t>
      </w:r>
      <w:r>
        <w:rPr>
          <w:rFonts w:ascii="Arial" w:cs="Arial" w:eastAsia="Arial" w:hAnsi="Arial"/>
          <w:b/>
          <w:bCs/>
          <w:color w:val="1B3A6B"/>
          <w:sz w:val="22"/>
          <w:szCs w:val="22"/>
        </w:rPr>
        <w:t xml:space="preserve">~44% advantage in delivered compute</w:t>
      </w:r>
      <w:r>
        <w:rPr>
          <w:rFonts w:ascii="Arial" w:cs="Arial" w:eastAsia="Arial" w:hAnsi="Arial"/>
          <w:b w:val="false"/>
          <w:bCs w:val="false"/>
          <w:sz w:val="22"/>
          <w:szCs w:val="22"/>
        </w:rPr>
        <w:t xml:space="preserve"> for multi-agent AI workloads.</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4.  Energy Efficiency</w:t>
      </w:r>
    </w:p>
    <w:p>
      <w:pPr>
        <w:pStyle w:val="Heading2"/>
        <w:spacing w:before="280" w:after="160"/>
      </w:pPr>
      <w:r>
        <w:rPr>
          <w:rFonts w:ascii="Arial" w:cs="Arial" w:eastAsia="Arial" w:hAnsi="Arial"/>
          <w:b/>
          <w:bCs/>
          <w:color w:val="1B3A6B"/>
          <w:sz w:val="28"/>
          <w:szCs w:val="28"/>
        </w:rPr>
        <w:t xml:space="preserve">4.1  Where GPU Power Goes</w:t>
      </w:r>
    </w:p>
    <w:p>
      <w:pPr>
        <w:spacing w:before="80" w:after="100"/>
      </w:pPr>
      <w:r>
        <w:rPr>
          <w:rFonts w:ascii="Arial" w:cs="Arial" w:eastAsia="Arial" w:hAnsi="Arial"/>
          <w:sz w:val="22"/>
          <w:szCs w:val="22"/>
        </w:rPr>
        <w:t xml:space="preserve">In a Blackwell NVL72 rack (~120 kW), power distribution is approximately: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Power Consumer</w:t>
            </w:r>
          </w:p>
        </w:tc>
        <w:tc>
          <w:tcPr>
            <w:tcW w:type="dxa" w:w="234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Approx. %</w:t>
            </w:r>
          </w:p>
        </w:tc>
        <w:tc>
          <w:tcPr>
            <w:tcW w:type="dxa" w:w="234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kW (NVL72)</w:t>
            </w:r>
          </w:p>
        </w:tc>
      </w:tr>
      <w:tr>
        <w:tc>
          <w:tcPr>
            <w:tcW w:type="dxa" w:w="468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Tensor core computation</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38%</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~45.6 kW</w:t>
            </w:r>
          </w:p>
        </w:tc>
      </w:tr>
      <w:tr>
        <w:tc>
          <w:tcPr>
            <w:tcW w:type="dxa" w:w="468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HBM memory (DRAM refresh + read/write)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28%</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~33.6 kW</w:t>
            </w:r>
          </w:p>
        </w:tc>
      </w:tr>
      <w:tr>
        <w:tc>
          <w:tcPr>
            <w:tcW w:type="dxa" w:w="468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NVLink switch fabric + SerDes</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18%</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~21.6 kW</w:t>
            </w:r>
          </w:p>
        </w:tc>
      </w:tr>
      <w:tr>
        <w:tc>
          <w:tcPr>
            <w:tcW w:type="dxa" w:w="468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CUDA runtime + scheduling logic</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8%</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~9.6 kW</w:t>
            </w:r>
          </w:p>
        </w:tc>
      </w:tr>
      <w:tr>
        <w:tc>
          <w:tcPr>
            <w:tcW w:type="dxa" w:w="468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Thermal management overhead</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8%</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222222"/>
                <w:sz w:val="19"/>
                <w:szCs w:val="19"/>
              </w:rPr>
              <w:t xml:space="preserve">~9.6 kW</w:t>
            </w:r>
          </w:p>
        </w:tc>
      </w:tr>
    </w:tbl>
    <w:p>
      <w:pPr>
        <w:spacing w:before="140" w:after="0"/>
      </w:pPr>
      <w:r>
        <w:t xml:space="preserve"/>
      </w:r>
    </w:p>
    <w:p>
      <w:pPr>
        <w:pStyle w:val="Heading2"/>
        <w:spacing w:before="280" w:after="160"/>
      </w:pPr>
      <w:r>
        <w:rPr>
          <w:rFonts w:ascii="Arial" w:cs="Arial" w:eastAsia="Arial" w:hAnsi="Arial"/>
          <w:b/>
          <w:bCs/>
          <w:color w:val="1B3A6B"/>
          <w:sz w:val="28"/>
          <w:szCs w:val="28"/>
        </w:rPr>
        <w:t xml:space="preserve">4.2  VXU-1 Power Profile</w:t>
      </w:r>
    </w:p>
    <w:p>
      <w:pPr>
        <w:spacing w:before="80" w:after="100"/>
      </w:pPr>
      <w:r>
        <w:rPr>
          <w:rFonts w:ascii="Arial" w:cs="Arial" w:eastAsia="Arial" w:hAnsi="Arial"/>
          <w:sz w:val="22"/>
          <w:szCs w:val="22"/>
        </w:rPr>
        <w:t xml:space="preserve">VXU-1 eliminates several of these categories entirely:</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DRAM refresh power — eliminated. SCA (Semantic Cache Array) is SRAM. No refresh cycles. SRAM power is dominated by access, not maintenance.</w:t>
      </w:r>
    </w:p>
    <w:p>
      <w:pPr>
        <w:pStyle w:val="ListParagraph"/>
        <w:numPr>
          <w:ilvl w:val="0"/>
          <w:numId w:val="2"/>
        </w:numPr>
        <w:spacing w:before="60" w:after="60"/>
      </w:pPr>
      <w:r>
        <w:rPr>
          <w:rFonts w:ascii="Arial" w:cs="Arial" w:eastAsia="Arial" w:hAnsi="Arial"/>
          <w:sz w:val="22"/>
          <w:szCs w:val="22"/>
        </w:rPr>
        <w:t xml:space="preserve">NVLink SerDes power — eliminated. Photonic interconnect (IPR) consumes ~1/5 the power of equivalent electrical SerDes at equivalent bandwidth, with zero switching-fabric ASIC overhead.</w:t>
      </w:r>
    </w:p>
    <w:p>
      <w:pPr>
        <w:pStyle w:val="ListParagraph"/>
        <w:numPr>
          <w:ilvl w:val="0"/>
          <w:numId w:val="2"/>
        </w:numPr>
        <w:spacing w:before="60" w:after="60"/>
      </w:pPr>
      <w:r>
        <w:rPr>
          <w:rFonts w:ascii="Arial" w:cs="Arial" w:eastAsia="Arial" w:hAnsi="Arial"/>
          <w:sz w:val="22"/>
          <w:szCs w:val="22"/>
        </w:rPr>
        <w:t xml:space="preserve">CUDA scheduling power — eliminated. Hardware-structural dispatch replaces software kernel scheduling. The scheduler circuit is absent by design.</w:t>
      </w:r>
    </w:p>
    <w:p>
      <w:pPr>
        <w:pStyle w:val="ListParagraph"/>
        <w:numPr>
          <w:ilvl w:val="0"/>
          <w:numId w:val="2"/>
        </w:numPr>
        <w:spacing w:before="60" w:after="60"/>
      </w:pPr>
      <w:r>
        <w:rPr>
          <w:rFonts w:ascii="Arial" w:cs="Arial" w:eastAsia="Arial" w:hAnsi="Arial"/>
          <w:sz w:val="22"/>
          <w:szCs w:val="22"/>
        </w:rPr>
        <w:t xml:space="preserve">Bus arbitration power — eliminated. Per-path physical isolation means no arbitration circuit is needed or present.</w:t>
      </w:r>
    </w:p>
    <w:p>
      <w:pPr>
        <w:spacing w:before="80" w:after="0"/>
      </w:pPr>
      <w:r>
        <w:t xml:space="preserve"/>
      </w:r>
    </w:p>
    <w:p>
      <w:pPr>
        <w:spacing w:before="80" w:after="100"/>
      </w:pPr>
      <w:r>
        <w:rPr>
          <w:rFonts w:ascii="Arial" w:cs="Arial" w:eastAsia="Arial" w:hAnsi="Arial"/>
          <w:b w:val="false"/>
          <w:bCs w:val="false"/>
          <w:sz w:val="22"/>
          <w:szCs w:val="22"/>
        </w:rPr>
        <w:t xml:space="preserve">Estimated VXU-1 ×72 module power: </w:t>
      </w:r>
      <w:r>
        <w:rPr>
          <w:rFonts w:ascii="Arial" w:cs="Arial" w:eastAsia="Arial" w:hAnsi="Arial"/>
          <w:b/>
          <w:bCs/>
          <w:color w:val="1B3A6B"/>
          <w:sz w:val="22"/>
          <w:szCs w:val="22"/>
        </w:rPr>
        <w:t xml:space="preserve">~55–65 kW</w:t>
      </w:r>
      <w:r>
        <w:rPr>
          <w:rFonts w:ascii="Arial" w:cs="Arial" w:eastAsia="Arial" w:hAnsi="Arial"/>
          <w:b w:val="false"/>
          <w:bCs w:val="false"/>
          <w:sz w:val="22"/>
          <w:szCs w:val="22"/>
        </w:rPr>
        <w:t xml:space="preserve"> — approximately </w:t>
      </w:r>
      <w:r>
        <w:rPr>
          <w:rFonts w:ascii="Arial" w:cs="Arial" w:eastAsia="Arial" w:hAnsi="Arial"/>
          <w:b/>
          <w:bCs/>
          <w:color w:val="2E6DB4"/>
          <w:sz w:val="22"/>
          <w:szCs w:val="22"/>
        </w:rPr>
        <w:t xml:space="preserve">45–55% lower than Blackwell NVL72</w:t>
      </w:r>
      <w:r>
        <w:rPr>
          <w:rFonts w:ascii="Arial" w:cs="Arial" w:eastAsia="Arial" w:hAnsi="Arial"/>
          <w:b w:val="false"/>
          <w:bCs w:val="false"/>
          <w:sz w:val="22"/>
          <w:szCs w:val="22"/>
        </w:rPr>
        <w:t xml:space="preserve"> at equivalent die count, with equal or superior delivered throughput.</w:t>
      </w:r>
    </w:p>
    <w:p>
      <w:pPr>
        <w:spacing w:before="80" w:after="0"/>
      </w:pPr>
      <w:r>
        <w:t xml:space="preserve"/>
      </w:r>
    </w:p>
    <w:p>
      <w:pPr>
        <w:spacing w:before="80" w:after="100"/>
      </w:pPr>
      <w:r>
        <w:rPr>
          <w:rFonts w:ascii="Arial" w:cs="Arial" w:eastAsia="Arial" w:hAnsi="Arial"/>
          <w:b w:val="false"/>
          <w:bCs w:val="false"/>
          <w:sz w:val="22"/>
          <w:szCs w:val="22"/>
        </w:rPr>
        <w:t xml:space="preserve">Performance-per-watt advantage: </w:t>
      </w:r>
      <w:r>
        <w:rPr>
          <w:rFonts w:ascii="Arial" w:cs="Arial" w:eastAsia="Arial" w:hAnsi="Arial"/>
          <w:b/>
          <w:bCs/>
          <w:color w:val="1B3A6B"/>
          <w:sz w:val="22"/>
          <w:szCs w:val="22"/>
        </w:rPr>
        <w:t xml:space="preserve">~2.5–3.0×</w:t>
      </w:r>
      <w:r>
        <w:rPr>
          <w:rFonts w:ascii="Arial" w:cs="Arial" w:eastAsia="Arial" w:hAnsi="Arial"/>
          <w:b w:val="false"/>
          <w:bCs w:val="false"/>
          <w:sz w:val="22"/>
          <w:szCs w:val="22"/>
        </w:rPr>
        <w:t xml:space="preserve"> over Blackwell for structured multi-agent AI inference workloads.</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5.  Memory Architecture Comparison</w:t>
      </w:r>
    </w:p>
    <w:p>
      <w:pPr>
        <w:pStyle w:val="Heading2"/>
        <w:spacing w:before="280" w:after="160"/>
      </w:pPr>
      <w:r>
        <w:rPr>
          <w:rFonts w:ascii="Arial" w:cs="Arial" w:eastAsia="Arial" w:hAnsi="Arial"/>
          <w:b/>
          <w:bCs/>
          <w:color w:val="1B3A6B"/>
          <w:sz w:val="28"/>
          <w:szCs w:val="28"/>
        </w:rPr>
        <w:t xml:space="preserve">5.1  HBM vs. Semantic Cache Array (SCA)</w:t>
      </w:r>
    </w:p>
    <w:p>
      <w:pPr>
        <w:spacing w:before="80" w:after="100"/>
      </w:pPr>
      <w:r>
        <w:rPr>
          <w:rFonts w:ascii="Arial" w:cs="Arial" w:eastAsia="Arial" w:hAnsi="Arial"/>
          <w:sz w:val="22"/>
          <w:szCs w:val="22"/>
        </w:rPr>
        <w:t xml:space="preserve">The fundamental difference between GPU memory and VXU-1's SCA is not bandwidth — it is the semantic structure of the address space.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Dimension</w:t>
            </w:r>
          </w:p>
        </w:tc>
        <w:tc>
          <w:tcPr>
            <w:tcW w:type="dxa" w:w="31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HBM3e (Blackwell)</w:t>
            </w:r>
          </w:p>
        </w:tc>
        <w:tc>
          <w:tcPr>
            <w:tcW w:type="dxa" w:w="31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SCA (VXU-1)</w:t>
            </w:r>
          </w:p>
        </w:tc>
      </w:tr>
      <w:tr>
        <w:tc>
          <w:tcPr>
            <w:tcW w:type="dxa" w:w="30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Address model</w:t>
            </w:r>
          </w:p>
        </w:tc>
        <w:tc>
          <w:tcPr>
            <w:tcW w:type="dxa" w:w="31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Flat linear address space</w:t>
            </w:r>
          </w:p>
        </w:tc>
        <w:tc>
          <w:tcPr>
            <w:tcW w:type="dxa" w:w="31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5-axis cube: T·C·I·E·M</w:t>
            </w:r>
          </w:p>
        </w:tc>
      </w:tr>
      <w:tr>
        <w:tc>
          <w:tcPr>
            <w:tcW w:type="dxa" w:w="30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Retrieval type</w:t>
            </w:r>
          </w:p>
        </w:tc>
        <w:tc>
          <w:tcPr>
            <w:tcW w:type="dxa" w:w="31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Address-based load/store</w:t>
            </w:r>
          </w:p>
        </w:tc>
        <w:tc>
          <w:tcPr>
            <w:tcW w:type="dxa" w:w="31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Intent-based associative retrieval</w:t>
            </w:r>
          </w:p>
        </w:tc>
      </w:tr>
      <w:tr>
        <w:tc>
          <w:tcPr>
            <w:tcW w:type="dxa" w:w="30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Contention model</w:t>
            </w:r>
          </w:p>
        </w:tc>
        <w:tc>
          <w:tcPr>
            <w:tcW w:type="dxa" w:w="31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Shared HBM bus — bank conflicts possible</w:t>
            </w:r>
          </w:p>
        </w:tc>
        <w:tc>
          <w:tcPr>
            <w:tcW w:type="dxa" w:w="31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Per-LIC dedicated SCA — zero cross-contamination</w:t>
            </w:r>
          </w:p>
        </w:tc>
      </w:tr>
      <w:tr>
        <w:tc>
          <w:tcPr>
            <w:tcW w:type="dxa" w:w="30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Capacity (single die)</w:t>
            </w:r>
          </w:p>
        </w:tc>
        <w:tc>
          <w:tcPr>
            <w:tcW w:type="dxa" w:w="31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192 GB HBM3e (off-die)</w:t>
            </w:r>
          </w:p>
        </w:tc>
        <w:tc>
          <w:tcPr>
            <w:tcW w:type="dxa" w:w="31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512 MB on-die SCA + optical-coupled extended SCA (multi-TB)</w:t>
            </w:r>
          </w:p>
        </w:tc>
      </w:tr>
      <w:tr>
        <w:tc>
          <w:tcPr>
            <w:tcW w:type="dxa" w:w="30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AI-native queries</w:t>
            </w:r>
          </w:p>
        </w:tc>
        <w:tc>
          <w:tcPr>
            <w:tcW w:type="dxa" w:w="31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Requires vector database + embedding lookup (software)</w:t>
            </w:r>
          </w:p>
        </w:tc>
        <w:tc>
          <w:tcPr>
            <w:tcW w:type="dxa" w:w="31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Native hardware query: 'retrieve by intent + context'</w:t>
            </w:r>
          </w:p>
        </w:tc>
      </w:tr>
      <w:tr>
        <w:tc>
          <w:tcPr>
            <w:tcW w:type="dxa" w:w="30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Self-evolution</w:t>
            </w:r>
          </w:p>
        </w:tc>
        <w:tc>
          <w:tcPr>
            <w:tcW w:type="dxa" w:w="31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Not supported at hardware level</w:t>
            </w:r>
          </w:p>
        </w:tc>
        <w:tc>
          <w:tcPr>
            <w:tcW w:type="dxa" w:w="31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M-axis (Meta) written by AAI/AsAI layers in hardware</w:t>
            </w:r>
          </w:p>
        </w:tc>
      </w:tr>
      <w:tr>
        <w:tc>
          <w:tcPr>
            <w:tcW w:type="dxa" w:w="30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Power per access</w:t>
            </w:r>
          </w:p>
        </w:tc>
        <w:tc>
          <w:tcPr>
            <w:tcW w:type="dxa" w:w="31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~7 pJ/bit (HBM3e)</w:t>
            </w:r>
          </w:p>
        </w:tc>
        <w:tc>
          <w:tcPr>
            <w:tcW w:type="dxa" w:w="31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~1.5–2.5 pJ/bit (SRAM, no refresh)</w:t>
            </w:r>
          </w:p>
        </w:tc>
      </w:tr>
    </w:tbl>
    <w:p>
      <w:pPr>
        <w:spacing w:before="140" w:after="0"/>
      </w:pPr>
      <w:r>
        <w:t xml:space="preserve"/>
      </w:r>
    </w:p>
    <w:p>
      <w:pPr>
        <w:pStyle w:val="Heading2"/>
        <w:spacing w:before="280" w:after="160"/>
      </w:pPr>
      <w:r>
        <w:rPr>
          <w:rFonts w:ascii="Arial" w:cs="Arial" w:eastAsia="Arial" w:hAnsi="Arial"/>
          <w:b/>
          <w:bCs/>
          <w:color w:val="1B3A6B"/>
          <w:sz w:val="28"/>
          <w:szCs w:val="28"/>
        </w:rPr>
        <w:t xml:space="preserve">5.2  The Intent-Native Retrieval Advantage</w:t>
      </w:r>
    </w:p>
    <w:p>
      <w:pPr>
        <w:spacing w:before="80" w:after="100"/>
      </w:pPr>
      <w:r>
        <w:rPr>
          <w:rFonts w:ascii="Arial" w:cs="Arial" w:eastAsia="Arial" w:hAnsi="Arial"/>
          <w:sz w:val="22"/>
          <w:szCs w:val="22"/>
        </w:rPr>
        <w:t xml:space="preserve">In current LLM inference on GPU, the attention mechanism requires the model to re-read the entire key-value (KV) cache for each generated token. This is a fundamental O(n) memory access pattern per token, consuming enormous bandwidth and energy. For a 100K-token context window on Blackwell, KV cache reads can exceed 10 TB/s of effective HBM traffic per inference pass.</w:t>
      </w:r>
    </w:p>
    <w:p>
      <w:pPr>
        <w:spacing w:before="80" w:after="0"/>
      </w:pPr>
      <w:r>
        <w:t xml:space="preserve"/>
      </w:r>
    </w:p>
    <w:p>
      <w:pPr>
        <w:spacing w:before="80" w:after="100"/>
      </w:pPr>
      <w:r>
        <w:rPr>
          <w:rFonts w:ascii="Arial" w:cs="Arial" w:eastAsia="Arial" w:hAnsi="Arial"/>
          <w:sz w:val="22"/>
          <w:szCs w:val="22"/>
        </w:rPr>
        <w:t xml:space="preserve">VXU-1's SCA, indexed by the I-axis (Intent) and C-axis (Context), enables hardware-level associative retrieval: the inference core queries not by memory address but by semantic proximity. The SCA controller returns the relevant memory region directly, bypassing full-context scans. For long-context inference workloads, this represents a potential reduction of 60–80% in effective memory traffic — translating directly to throughput and energy improvements.</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6.  Multi-Agent AI Workload Efficiency</w:t>
      </w:r>
    </w:p>
    <w:p>
      <w:pPr>
        <w:pStyle w:val="Heading2"/>
        <w:spacing w:before="280" w:after="160"/>
      </w:pPr>
      <w:r>
        <w:rPr>
          <w:rFonts w:ascii="Arial" w:cs="Arial" w:eastAsia="Arial" w:hAnsi="Arial"/>
          <w:b/>
          <w:bCs/>
          <w:color w:val="1B3A6B"/>
          <w:sz w:val="28"/>
          <w:szCs w:val="28"/>
        </w:rPr>
        <w:t xml:space="preserve">6.1  The Multi-Agent Problem on GPUs</w:t>
      </w:r>
    </w:p>
    <w:p>
      <w:pPr>
        <w:spacing w:before="80" w:after="100"/>
      </w:pPr>
      <w:r>
        <w:rPr>
          <w:rFonts w:ascii="Arial" w:cs="Arial" w:eastAsia="Arial" w:hAnsi="Arial"/>
          <w:sz w:val="22"/>
          <w:szCs w:val="22"/>
        </w:rPr>
        <w:t xml:space="preserve">Modern AI deployments increasingly involve multi-agent systems: PAI (personal/user agents), AAI (coordination agents), and AsAI (global policy agents) operating concurrently. On Blackwell, all agents compete for the same shared resources: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Shared tensor core allocation — CUDA MPS or MIG partitioning introduces fixed overhead and inflexible boundaries</w:t>
      </w:r>
    </w:p>
    <w:p>
      <w:pPr>
        <w:pStyle w:val="ListParagraph"/>
        <w:numPr>
          <w:ilvl w:val="0"/>
          <w:numId w:val="2"/>
        </w:numPr>
        <w:spacing w:before="60" w:after="60"/>
      </w:pPr>
      <w:r>
        <w:rPr>
          <w:rFonts w:ascii="Arial" w:cs="Arial" w:eastAsia="Arial" w:hAnsi="Arial"/>
          <w:sz w:val="22"/>
          <w:szCs w:val="22"/>
        </w:rPr>
        <w:t xml:space="preserve">Shared NVLink bandwidth — agent-to-agent communication passes through the switch fabric, consuming bandwidth and introducing queueing</w:t>
      </w:r>
    </w:p>
    <w:p>
      <w:pPr>
        <w:pStyle w:val="ListParagraph"/>
        <w:numPr>
          <w:ilvl w:val="0"/>
          <w:numId w:val="2"/>
        </w:numPr>
        <w:spacing w:before="60" w:after="60"/>
      </w:pPr>
      <w:r>
        <w:rPr>
          <w:rFonts w:ascii="Arial" w:cs="Arial" w:eastAsia="Arial" w:hAnsi="Arial"/>
          <w:sz w:val="22"/>
          <w:szCs w:val="22"/>
        </w:rPr>
        <w:t xml:space="preserve">Shared HBM — KV caches for concurrent agents contend for the same DRAM rows</w:t>
      </w:r>
    </w:p>
    <w:p>
      <w:pPr>
        <w:pStyle w:val="ListParagraph"/>
        <w:numPr>
          <w:ilvl w:val="0"/>
          <w:numId w:val="2"/>
        </w:numPr>
        <w:spacing w:before="60" w:after="60"/>
      </w:pPr>
      <w:r>
        <w:rPr>
          <w:rFonts w:ascii="Arial" w:cs="Arial" w:eastAsia="Arial" w:hAnsi="Arial"/>
          <w:sz w:val="22"/>
          <w:szCs w:val="22"/>
        </w:rPr>
        <w:t xml:space="preserve">No structural hierarchy — PAI, AAI, and AsAI are software constructs with no hardware enforcement of their interaction boundaries</w:t>
      </w:r>
    </w:p>
    <w:p>
      <w:pPr>
        <w:spacing w:before="120" w:after="0"/>
      </w:pPr>
      <w:r>
        <w:t xml:space="preserve"/>
      </w:r>
    </w:p>
    <w:p>
      <w:pPr>
        <w:pStyle w:val="Heading2"/>
        <w:spacing w:before="280" w:after="160"/>
      </w:pPr>
      <w:r>
        <w:rPr>
          <w:rFonts w:ascii="Arial" w:cs="Arial" w:eastAsia="Arial" w:hAnsi="Arial"/>
          <w:b/>
          <w:bCs/>
          <w:color w:val="1B3A6B"/>
          <w:sz w:val="28"/>
          <w:szCs w:val="28"/>
        </w:rPr>
        <w:t xml:space="preserve">6.2  Structural Multi-Agent Execution in VXU-1</w:t>
      </w:r>
    </w:p>
    <w:p>
      <w:pPr>
        <w:spacing w:before="80" w:after="100"/>
      </w:pPr>
      <w:r>
        <w:rPr>
          <w:rFonts w:ascii="Arial" w:cs="Arial" w:eastAsia="Arial" w:hAnsi="Arial"/>
          <w:sz w:val="22"/>
          <w:szCs w:val="22"/>
        </w:rPr>
        <w:t xml:space="preserve">VXU-1's three-tier silicon hierarchy (LIC = PAI, RCF = AAI, GPE = AsAI) maps directly to multi-agent AI topology. Each tier operates on physically separate silicon domains with dedicated photonic paths: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PAI workloads (LIC) — run in complete isolation. 64 PAI agents per die execute simultaneously without any shared resource contention. Each has its own 8-lane PDP, its own SCA partition, its own Channel 1 identity bus.</w:t>
      </w:r>
    </w:p>
    <w:p>
      <w:pPr>
        <w:pStyle w:val="ListParagraph"/>
        <w:numPr>
          <w:ilvl w:val="0"/>
          <w:numId w:val="2"/>
        </w:numPr>
        <w:spacing w:before="60" w:after="60"/>
      </w:pPr>
      <w:r>
        <w:rPr>
          <w:rFonts w:ascii="Arial" w:cs="Arial" w:eastAsia="Arial" w:hAnsi="Arial"/>
          <w:sz w:val="22"/>
          <w:szCs w:val="22"/>
        </w:rPr>
        <w:t xml:space="preserve">AAI coordination (RCF) — receives structured summary outputs from LIC clusters via photonic paths. Does not need to read raw agent memory — the structural E2E path delivers exactly the intended signal. No bus snooping, no cache coherence protocol.</w:t>
      </w:r>
    </w:p>
    <w:p>
      <w:pPr>
        <w:pStyle w:val="ListParagraph"/>
        <w:numPr>
          <w:ilvl w:val="0"/>
          <w:numId w:val="2"/>
        </w:numPr>
        <w:spacing w:before="60" w:after="60"/>
      </w:pPr>
      <w:r>
        <w:rPr>
          <w:rFonts w:ascii="Arial" w:cs="Arial" w:eastAsia="Arial" w:hAnsi="Arial"/>
          <w:sz w:val="22"/>
          <w:szCs w:val="22"/>
        </w:rPr>
        <w:t xml:space="preserve">AsAI policy (GPE) — operates at chip-global scope but does not share compute with PAI or AAI layers. It receives aggregated intent signals from RCF and enforces structural policy invariants. Its decisions propagate downward through topology, not through software callbacks.</w:t>
      </w:r>
    </w:p>
    <w:p>
      <w:pPr>
        <w:spacing w:before="80" w:after="0"/>
      </w:pPr>
      <w:r>
        <w:t xml:space="preserve"/>
      </w:r>
    </w:p>
    <w:p>
      <w:pPr>
        <w:spacing w:before="80" w:after="100"/>
      </w:pPr>
      <w:r>
        <w:rPr>
          <w:rFonts w:ascii="Arial" w:cs="Arial" w:eastAsia="Arial" w:hAnsi="Arial"/>
          <w:b/>
          <w:bCs/>
          <w:color w:val="1B3A6B"/>
          <w:sz w:val="22"/>
          <w:szCs w:val="22"/>
        </w:rPr>
        <w:t xml:space="preserve">Result: </w:t>
      </w:r>
      <w:r>
        <w:rPr>
          <w:rFonts w:ascii="Arial" w:cs="Arial" w:eastAsia="Arial" w:hAnsi="Arial"/>
          <w:b w:val="false"/>
          <w:bCs w:val="false"/>
          <w:sz w:val="22"/>
          <w:szCs w:val="22"/>
        </w:rPr>
        <w:t xml:space="preserve">A 72-die VXU-1 module natively supports </w:t>
      </w:r>
      <w:r>
        <w:rPr>
          <w:rFonts w:ascii="Arial" w:cs="Arial" w:eastAsia="Arial" w:hAnsi="Arial"/>
          <w:b/>
          <w:bCs/>
          <w:color w:val="2E6DB4"/>
          <w:sz w:val="22"/>
          <w:szCs w:val="22"/>
        </w:rPr>
        <w:t xml:space="preserve">4,608 simultaneous PAI agents</w:t>
      </w:r>
      <w:r>
        <w:rPr>
          <w:rFonts w:ascii="Arial" w:cs="Arial" w:eastAsia="Arial" w:hAnsi="Arial"/>
          <w:b w:val="false"/>
          <w:bCs w:val="false"/>
          <w:sz w:val="22"/>
          <w:szCs w:val="22"/>
        </w:rPr>
        <w:t xml:space="preserve"> (64 LIC × 72 dies), each with guaranteed deterministic latency, zero cross-agent interference, and native AAI/AsAI coordination — without any software multi-tenancy overhead.</w:t>
      </w:r>
    </w:p>
    <w:p>
      <w:pPr>
        <w:spacing w:before="80" w:after="0"/>
      </w:pPr>
      <w:r>
        <w:t xml:space="preserve"/>
      </w:r>
    </w:p>
    <w:p>
      <w:pPr>
        <w:spacing w:before="80" w:after="100"/>
      </w:pPr>
      <w:r>
        <w:rPr>
          <w:rFonts w:ascii="Arial" w:cs="Arial" w:eastAsia="Arial" w:hAnsi="Arial"/>
          <w:sz w:val="22"/>
          <w:szCs w:val="22"/>
        </w:rPr>
        <w:t xml:space="preserve">Blackwell's equivalent multi-agent capability requires CUDA MIG partitioning, which limits a single A100/H100/B200 die to 7 isolated instances maximum, each with substantially reduced throughput.</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7.  Comprehensive Comparison: VXU-1 × 72 vs. Blackwell NVL72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Dimension</w:t>
            </w:r>
          </w:p>
        </w:tc>
        <w:tc>
          <w:tcPr>
            <w:tcW w:type="dxa" w:w="29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Blackwell GB200 NVL72</w:t>
            </w:r>
          </w:p>
        </w:tc>
        <w:tc>
          <w:tcPr>
            <w:tcW w:type="dxa" w:w="2980"/>
            <w:gridSpan w:val="1"/>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0"/>
                <w:szCs w:val="20"/>
              </w:rPr>
              <w:t xml:space="preserve">VXU-1 ×72 Module</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Peak AI throughput</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~1,440 PFLOPS (FP4)</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~2,000 PFLOPS* (structural FP4)</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Effective throughput</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~936 PFLOPS (@65% util.)</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~1,880 PFLOPS (@94% util.)</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Inference latency</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0.5–2 ms</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&lt;0.1 ms (deterministic)</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Inter-die latency</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~1–5 μs</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&lt;10 ns (photonic)</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Memory bandwidth</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8 TB/s aggregate</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12–16 TB/s (dedicated paths)</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Memory contention</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Present (shared HBM)</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Structurally eliminated</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Power consumption</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~120 kW (rack)</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~55–65 kW (estimated)</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Performance per watt</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~7.8 TFLOPS/W</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~30–34 TFLOPS/W (est.)</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AI scheduler overhead</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Present (CUDA runtime)</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Zero (hardware topology dispatch)</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Memory model</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Flat address space (HBM)</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5-axis semantic cube (SCA)</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Multi-agent isolation</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Software MIG (7 max per die)</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Hardware structural (64 per die)</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AI layer hierarchy (PAI/AAI/AsAI)</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Software construct only</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Silicon-native (LIC/RCF/GPE)</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Safety enforcement</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External policy layer (software)</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Structural invariant (GPE hardware)</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Self-evolving memory</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Not supported</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M-axis hardware write by AAI/AsAI</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Interconnect technology</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NVLink 5 (electrical SerDes)</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IPR (silicon photonics)</w:t>
            </w:r>
          </w:p>
        </w:tc>
      </w:tr>
      <w:tr>
        <w:tc>
          <w:tcPr>
            <w:tcW w:type="dxa" w:w="3400"/>
            <w:gridSpan w:val="1"/>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Scalability model</w:t>
            </w:r>
          </w:p>
        </w:tc>
        <w:tc>
          <w:tcPr>
            <w:tcW w:type="dxa" w:w="29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222222"/>
                <w:sz w:val="19"/>
                <w:szCs w:val="19"/>
              </w:rPr>
              <w:t xml:space="preserve">Aggregation (more GPUs)</w:t>
            </w:r>
          </w:p>
        </w:tc>
        <w:tc>
          <w:tcPr>
            <w:tcW w:type="dxa" w:w="2980"/>
            <w:gridSpan w:val="1"/>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vAlign w:val="center"/>
          </w:tcPr>
          <w:p>
            <w:pPr>
              <w:spacing w:before="0" w:after="0"/>
              <w:jc w:val="left"/>
            </w:pPr>
            <w:r>
              <w:rPr>
                <w:rFonts w:ascii="Arial" w:cs="Arial" w:eastAsia="Arial" w:hAnsi="Arial"/>
                <w:b/>
                <w:bCs/>
                <w:color w:val="222222"/>
                <w:sz w:val="19"/>
                <w:szCs w:val="19"/>
              </w:rPr>
              <w:t xml:space="preserve">Topological expansion (polyhedral hierarchy)</w:t>
            </w:r>
          </w:p>
        </w:tc>
      </w:tr>
    </w:tbl>
    <w:p>
      <w:pPr>
        <w:spacing w:before="100" w:after="0"/>
      </w:pPr>
      <w:r>
        <w:t xml:space="preserve"/>
      </w:r>
    </w:p>
    <w:p>
      <w:pPr>
        <w:spacing w:before="80" w:after="100"/>
      </w:pPr>
      <w:r>
        <w:rPr>
          <w:rFonts w:ascii="Arial" w:cs="Arial" w:eastAsia="Arial" w:hAnsi="Arial"/>
          <w:i/>
          <w:iCs/>
          <w:color w:val="666666"/>
          <w:sz w:val="19"/>
          <w:szCs w:val="19"/>
        </w:rPr>
        <w:t xml:space="preserve">* All VXU-1 figures are architectural projections based on structural principles. Validation requires fabricated hardware.</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8.  Where VXU-1 Does NOT Outperform Blackwell</w:t>
      </w:r>
    </w:p>
    <w:p>
      <w:pPr>
        <w:spacing w:before="80" w:after="100"/>
      </w:pPr>
      <w:r>
        <w:rPr>
          <w:rFonts w:ascii="Arial" w:cs="Arial" w:eastAsia="Arial" w:hAnsi="Arial"/>
          <w:sz w:val="22"/>
          <w:szCs w:val="22"/>
        </w:rPr>
        <w:t xml:space="preserve">Intellectual honesty requires identifying workloads where the GPU model retains advantages: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Dense matrix multiplication training. Large-scale transformer training (GPT-4 class) requires massive shared accumulation across billions of parameters. GPU tensor cores are highly optimized for this. VXU-1's structural isolation, while beneficial for inference, does not accelerate dense parameter accumulation in the same way.</w:t>
      </w:r>
    </w:p>
    <w:p>
      <w:pPr>
        <w:pStyle w:val="ListParagraph"/>
        <w:numPr>
          <w:ilvl w:val="0"/>
          <w:numId w:val="2"/>
        </w:numPr>
        <w:spacing w:before="60" w:after="60"/>
      </w:pPr>
      <w:r>
        <w:rPr>
          <w:rFonts w:ascii="Arial" w:cs="Arial" w:eastAsia="Arial" w:hAnsi="Arial"/>
          <w:sz w:val="22"/>
          <w:szCs w:val="22"/>
        </w:rPr>
        <w:t xml:space="preserve">Unstructured workloads. Tasks that do not map to the T4/H6/O8/D12/I20 hierarchy — arbitrary CUDA kernels, graphics rendering, simulation — cannot leverage VXU-1's structural advantages. The architecture does not have a general-purpose SIMT execution model.</w:t>
      </w:r>
    </w:p>
    <w:p>
      <w:pPr>
        <w:pStyle w:val="ListParagraph"/>
        <w:numPr>
          <w:ilvl w:val="0"/>
          <w:numId w:val="2"/>
        </w:numPr>
        <w:spacing w:before="60" w:after="60"/>
      </w:pPr>
      <w:r>
        <w:rPr>
          <w:rFonts w:ascii="Arial" w:cs="Arial" w:eastAsia="Arial" w:hAnsi="Arial"/>
          <w:sz w:val="22"/>
          <w:szCs w:val="22"/>
        </w:rPr>
        <w:t xml:space="preserve">Ecosystem maturity. NVIDIA's CUDA ecosystem, cuDNN, TensorRT, and the full Hopper/Blackwell software stack represents decades of optimization. VXU-1 requires a new programming model aligned with structural dispatch and intent-native memory.</w:t>
      </w:r>
    </w:p>
    <w:p>
      <w:pPr>
        <w:pStyle w:val="ListParagraph"/>
        <w:numPr>
          <w:ilvl w:val="0"/>
          <w:numId w:val="2"/>
        </w:numPr>
        <w:spacing w:before="60" w:after="60"/>
      </w:pPr>
      <w:r>
        <w:rPr>
          <w:rFonts w:ascii="Arial" w:cs="Arial" w:eastAsia="Arial" w:hAnsi="Arial"/>
          <w:sz w:val="22"/>
          <w:szCs w:val="22"/>
        </w:rPr>
        <w:t xml:space="preserve">Die yield during early fabrication. Silicon photonics integration with BEOL waveguides at 3nm remains a manufacturing challenge. Early yields for the IPR photonic ribbon will likely be lower than conventional electrical interconnect, increasing cost per die in initial production runs.</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9.  Scalability: Beyond the Module</w:t>
      </w:r>
    </w:p>
    <w:p>
      <w:pPr>
        <w:spacing w:before="80" w:after="100"/>
      </w:pPr>
      <w:r>
        <w:rPr>
          <w:rFonts w:ascii="Arial" w:cs="Arial" w:eastAsia="Arial" w:hAnsi="Arial"/>
          <w:sz w:val="22"/>
          <w:szCs w:val="22"/>
        </w:rPr>
        <w:t xml:space="preserve">Blackwell scales by adding NVLink switches and aggregating more GPU racks. The scalability model is additive: more compute = more dies connected via more switches.</w:t>
      </w:r>
    </w:p>
    <w:p>
      <w:pPr>
        <w:spacing w:before="80" w:after="0"/>
      </w:pPr>
      <w:r>
        <w:t xml:space="preserve"/>
      </w:r>
    </w:p>
    <w:p>
      <w:pPr>
        <w:spacing w:before="80" w:after="100"/>
      </w:pPr>
      <w:r>
        <w:rPr>
          <w:rFonts w:ascii="Arial" w:cs="Arial" w:eastAsia="Arial" w:hAnsi="Arial"/>
          <w:sz w:val="22"/>
          <w:szCs w:val="22"/>
        </w:rPr>
        <w:t xml:space="preserve">VXU-1 scales topologically. The polyhedral hierarchy provides a natural scaling grammar:</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T4 / H6 level: single VXU-1 die — 64 PAI agents, 8 AAI clusters, 1 AsAI policy engine</w:t>
      </w:r>
    </w:p>
    <w:p>
      <w:pPr>
        <w:pStyle w:val="ListParagraph"/>
        <w:numPr>
          <w:ilvl w:val="0"/>
          <w:numId w:val="2"/>
        </w:numPr>
        <w:spacing w:before="60" w:after="60"/>
      </w:pPr>
      <w:r>
        <w:rPr>
          <w:rFonts w:ascii="Arial" w:cs="Arial" w:eastAsia="Arial" w:hAnsi="Arial"/>
          <w:sz w:val="22"/>
          <w:szCs w:val="22"/>
        </w:rPr>
        <w:t xml:space="preserve">O8 level: 8-die cluster — first inter-die intelligence coordination via IPR ribbon; equivalent to a city-level AI node</w:t>
      </w:r>
    </w:p>
    <w:p>
      <w:pPr>
        <w:pStyle w:val="ListParagraph"/>
        <w:numPr>
          <w:ilvl w:val="0"/>
          <w:numId w:val="2"/>
        </w:numPr>
        <w:spacing w:before="60" w:after="60"/>
      </w:pPr>
      <w:r>
        <w:rPr>
          <w:rFonts w:ascii="Arial" w:cs="Arial" w:eastAsia="Arial" w:hAnsi="Arial"/>
          <w:sz w:val="22"/>
          <w:szCs w:val="22"/>
        </w:rPr>
        <w:t xml:space="preserve">D12 level: 12-die coordination cluster — regional intelligence; equivalent to Velsanet's AAI dodecahedral layer</w:t>
      </w:r>
    </w:p>
    <w:p>
      <w:pPr>
        <w:pStyle w:val="ListParagraph"/>
        <w:numPr>
          <w:ilvl w:val="0"/>
          <w:numId w:val="2"/>
        </w:numPr>
        <w:spacing w:before="60" w:after="60"/>
      </w:pPr>
      <w:r>
        <w:rPr>
          <w:rFonts w:ascii="Arial" w:cs="Arial" w:eastAsia="Arial" w:hAnsi="Arial"/>
          <w:sz w:val="22"/>
          <w:szCs w:val="22"/>
        </w:rPr>
        <w:t xml:space="preserve">I20 level: full rack or multi-rack — global sovereign AI policy; equivalent to AsAI icosahedral layer</w:t>
      </w:r>
    </w:p>
    <w:p>
      <w:pPr>
        <w:spacing w:before="80" w:after="0"/>
      </w:pPr>
      <w:r>
        <w:t xml:space="preserve"/>
      </w:r>
    </w:p>
    <w:p>
      <w:pPr>
        <w:spacing w:before="80" w:after="100"/>
      </w:pPr>
      <w:r>
        <w:rPr>
          <w:rFonts w:ascii="Arial" w:cs="Arial" w:eastAsia="Arial" w:hAnsi="Arial"/>
          <w:sz w:val="22"/>
          <w:szCs w:val="22"/>
        </w:rPr>
        <w:t xml:space="preserve">At I20 scale, a VXU-1 deployment is not a collection of GPUs running a distributed model — it is a single, structurally coherent AI entity whose intelligence is embedded in the topology itself. The network IS the compute. This is the fundamental architectural distinction.</w:t>
      </w:r>
    </w:p>
    <w:p>
      <w:pPr>
        <w:spacing w:before="80" w:after="0"/>
      </w:pPr>
      <w:r>
        <w:t xml:space="preserve"/>
      </w:r>
    </w:p>
    <w:p>
      <w:pPr>
        <w:spacing w:before="80" w:after="100"/>
      </w:pPr>
      <w:r>
        <w:rPr>
          <w:rFonts w:ascii="Courier New" w:cs="Courier New" w:eastAsia="Courier New" w:hAnsi="Courier New"/>
          <w:b/>
          <w:bCs/>
          <w:color w:val="2E6DB4"/>
          <w:sz w:val="22"/>
          <w:szCs w:val="22"/>
        </w:rPr>
        <w:t xml:space="preserve">Parallel E2E_max = 8 × N(N−1)/2</w:t>
      </w:r>
      <w:r>
        <w:rPr>
          <w:rFonts w:ascii="Arial" w:cs="Arial" w:eastAsia="Arial" w:hAnsi="Arial"/>
          <w:b w:val="false"/>
          <w:bCs w:val="false"/>
          <w:sz w:val="22"/>
          <w:szCs w:val="22"/>
        </w:rPr>
        <w:t xml:space="preserve"> — the Velsanet formula for maximum parallel paths scales as a quadratic function of node count, not linearly as in GPU aggregation. At 20-node (I20) topology, this yields </w:t>
      </w:r>
      <w:r>
        <w:rPr>
          <w:rFonts w:ascii="Arial" w:cs="Arial" w:eastAsia="Arial" w:hAnsi="Arial"/>
          <w:b/>
          <w:bCs/>
          <w:color w:val="1B3A6B"/>
          <w:sz w:val="22"/>
          <w:szCs w:val="22"/>
        </w:rPr>
        <w:t xml:space="preserve">1,520 independent parallel E2E paths</w:t>
      </w:r>
      <w:r>
        <w:rPr>
          <w:rFonts w:ascii="Arial" w:cs="Arial" w:eastAsia="Arial" w:hAnsi="Arial"/>
          <w:b w:val="false"/>
          <w:bCs w:val="false"/>
          <w:sz w:val="22"/>
          <w:szCs w:val="22"/>
        </w:rPr>
        <w:t xml:space="preserve"> — each physically isolated, zero-latency contention.</w:t>
      </w:r>
    </w:p>
    <w:p>
      <w:pPr>
        <w:pBdr>
          <w:bottom w:val="single" w:color="2E6DB4" w:sz="4" w:space="1"/>
        </w:pBdr>
        <w:spacing w:before="160" w:after="160"/>
      </w:pPr>
      <w:r>
        <w:t xml:space="preserve"/>
      </w:r>
    </w:p>
    <w:p>
      <w:pPr>
        <w:pBdr>
          <w:bottom w:val="single" w:color="2E6DB4" w:sz="6" w:space="4"/>
        </w:pBdr>
        <w:spacing w:before="320" w:after="160"/>
      </w:pPr>
      <w:r>
        <w:rPr>
          <w:rFonts w:ascii="Arial" w:cs="Arial" w:eastAsia="Arial" w:hAnsi="Arial"/>
          <w:b/>
          <w:bCs/>
          <w:color w:val="1B3A6B"/>
          <w:sz w:val="30"/>
          <w:szCs w:val="30"/>
        </w:rPr>
        <w:t xml:space="preserve">10.  Conclusion</w:t>
      </w:r>
    </w:p>
    <w:p>
      <w:pPr>
        <w:spacing w:before="80" w:after="100"/>
      </w:pPr>
      <w:r>
        <w:rPr>
          <w:rFonts w:ascii="Arial" w:cs="Arial" w:eastAsia="Arial" w:hAnsi="Arial"/>
          <w:sz w:val="22"/>
          <w:szCs w:val="22"/>
        </w:rPr>
        <w:t xml:space="preserve">VXU-1 is not a better GPU. It is a different class of compute substrate — one that derives its performance properties from structural principles rather than transistor density alone.</w:t>
      </w:r>
    </w:p>
    <w:p>
      <w:pPr>
        <w:spacing w:before="80" w:after="0"/>
      </w:pPr>
      <w:r>
        <w:t xml:space="preserve"/>
      </w:r>
    </w:p>
    <w:p>
      <w:pPr>
        <w:spacing w:before="80" w:after="100"/>
      </w:pPr>
      <w:r>
        <w:rPr>
          <w:rFonts w:ascii="Arial" w:cs="Arial" w:eastAsia="Arial" w:hAnsi="Arial"/>
          <w:sz w:val="22"/>
          <w:szCs w:val="22"/>
        </w:rPr>
        <w:t xml:space="preserve">The comparison with Blackwell NVL72 reveals the following:</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In multi-agent AI inference, VXU-1's structural dispatch and physical isolation yield approximately 44% higher effective throughput at equal peak specs.</w:t>
      </w:r>
    </w:p>
    <w:p>
      <w:pPr>
        <w:pStyle w:val="ListParagraph"/>
        <w:numPr>
          <w:ilvl w:val="0"/>
          <w:numId w:val="2"/>
        </w:numPr>
        <w:spacing w:before="60" w:after="60"/>
      </w:pPr>
      <w:r>
        <w:rPr>
          <w:rFonts w:ascii="Arial" w:cs="Arial" w:eastAsia="Arial" w:hAnsi="Arial"/>
          <w:sz w:val="22"/>
          <w:szCs w:val="22"/>
        </w:rPr>
        <w:t xml:space="preserve">In energy efficiency, elimination of DRAM refresh, SerDes switching, and software scheduling reduces estimated power by 45–55%, delivering ~2.5–3.0× better performance-per-watt.</w:t>
      </w:r>
    </w:p>
    <w:p>
      <w:pPr>
        <w:pStyle w:val="ListParagraph"/>
        <w:numPr>
          <w:ilvl w:val="0"/>
          <w:numId w:val="2"/>
        </w:numPr>
        <w:spacing w:before="60" w:after="60"/>
      </w:pPr>
      <w:r>
        <w:rPr>
          <w:rFonts w:ascii="Arial" w:cs="Arial" w:eastAsia="Arial" w:hAnsi="Arial"/>
          <w:sz w:val="22"/>
          <w:szCs w:val="22"/>
        </w:rPr>
        <w:t xml:space="preserve">In memory architecture, the 5-axis Semantic Cache Array enables intent-native retrieval that reduces effective memory traffic by 60–80% for long-context inference, removing a fundamental bottleneck of the transformer attention mechanism.</w:t>
      </w:r>
    </w:p>
    <w:p>
      <w:pPr>
        <w:pStyle w:val="ListParagraph"/>
        <w:numPr>
          <w:ilvl w:val="0"/>
          <w:numId w:val="2"/>
        </w:numPr>
        <w:spacing w:before="60" w:after="60"/>
      </w:pPr>
      <w:r>
        <w:rPr>
          <w:rFonts w:ascii="Arial" w:cs="Arial" w:eastAsia="Arial" w:hAnsi="Arial"/>
          <w:sz w:val="22"/>
          <w:szCs w:val="22"/>
        </w:rPr>
        <w:t xml:space="preserve">In multi-agent isolation, VXU-1 supports 64 structurally isolated PAI agents per die vs. 7 software-partitioned MIG instances for Blackwell — a 9× improvement in concurrent agent density.</w:t>
      </w:r>
    </w:p>
    <w:p>
      <w:pPr>
        <w:pStyle w:val="ListParagraph"/>
        <w:numPr>
          <w:ilvl w:val="0"/>
          <w:numId w:val="2"/>
        </w:numPr>
        <w:spacing w:before="60" w:after="60"/>
      </w:pPr>
      <w:r>
        <w:rPr>
          <w:rFonts w:ascii="Arial" w:cs="Arial" w:eastAsia="Arial" w:hAnsi="Arial"/>
          <w:sz w:val="22"/>
          <w:szCs w:val="22"/>
        </w:rPr>
        <w:t xml:space="preserve">In inter-die communication, photonic E2E at &lt;10 ns vs. NVLink electrical at 1–5 μs represents a ~100–500× latency reduction for agent-to-agent coordination.</w:t>
      </w:r>
    </w:p>
    <w:p>
      <w:pPr>
        <w:spacing w:before="80" w:after="0"/>
      </w:pPr>
      <w:r>
        <w:t xml:space="preserve"/>
      </w:r>
    </w:p>
    <w:p>
      <w:pPr>
        <w:spacing w:before="80" w:after="100"/>
      </w:pPr>
      <w:r>
        <w:rPr>
          <w:rFonts w:ascii="Arial" w:cs="Arial" w:eastAsia="Arial" w:hAnsi="Arial"/>
          <w:sz w:val="22"/>
          <w:szCs w:val="22"/>
        </w:rPr>
        <w:t xml:space="preserve">The architectural cost is real: VXU-1 is not a general-purpose processor, its software ecosystem does not yet exist, and silicon photonics integration at scale remains a manufacturing frontier.</w:t>
      </w:r>
    </w:p>
    <w:p>
      <w:pPr>
        <w:spacing w:before="80" w:after="0"/>
      </w:pPr>
      <w:r>
        <w:t xml:space="preserve"/>
      </w:r>
    </w:p>
    <w:p>
      <w:pPr>
        <w:spacing w:before="80" w:after="100"/>
      </w:pPr>
      <w:r>
        <w:rPr>
          <w:rFonts w:ascii="Arial" w:cs="Arial" w:eastAsia="Arial" w:hAnsi="Arial"/>
          <w:sz w:val="22"/>
          <w:szCs w:val="22"/>
        </w:rPr>
        <w:t xml:space="preserve">However, the trajectory of AI workloads — toward multi-agent, long-context, real-time, intent-driven inference — points directly at the architectural strengths of VXU-1 and directly away from the architectural constraints of scaled GPU aggregation.</w:t>
      </w:r>
    </w:p>
    <w:p>
      <w:pPr>
        <w:spacing w:before="80" w:after="0"/>
      </w:pPr>
      <w:r>
        <w:t xml:space="preserve"/>
      </w:r>
    </w:p>
    <w:p>
      <w:pPr>
        <w:pBdr>
          <w:top w:val="single" w:color="2E6DB4" w:sz="6" w:space="6"/>
          <w:bottom w:val="single" w:color="2E6DB4" w:sz="6" w:space="6"/>
        </w:pBdr>
        <w:spacing w:before="200" w:after="200"/>
        <w:jc w:val="center"/>
      </w:pPr>
      <w:r>
        <w:rPr>
          <w:rFonts w:ascii="Arial" w:cs="Arial" w:eastAsia="Arial" w:hAnsi="Arial"/>
          <w:b/>
          <w:bCs/>
          <w:i/>
          <w:iCs/>
          <w:color w:val="1B3A6B"/>
          <w:sz w:val="24"/>
          <w:szCs w:val="24"/>
        </w:rPr>
        <w:t xml:space="preserve">Velsanet's principle: Structure is intelligence. Topology is compute. The network is the processor.</w:t>
      </w:r>
    </w:p>
    <w:p>
      <w:pPr>
        <w:pBdr>
          <w:bottom w:val="single" w:color="2E6DB4" w:sz="4" w:space="1"/>
        </w:pBdr>
        <w:spacing w:before="160" w:after="160"/>
      </w:pPr>
      <w:r>
        <w:t xml:space="preserve"/>
      </w:r>
    </w:p>
    <w:p>
      <w:pPr>
        <w:pStyle w:val="Heading2"/>
        <w:spacing w:before="280" w:after="160"/>
      </w:pPr>
      <w:r>
        <w:rPr>
          <w:rFonts w:ascii="Arial" w:cs="Arial" w:eastAsia="Arial" w:hAnsi="Arial"/>
          <w:b/>
          <w:bCs/>
          <w:color w:val="1B3A6B"/>
          <w:sz w:val="28"/>
          <w:szCs w:val="28"/>
        </w:rPr>
        <w:t xml:space="preserve">Disclaimer</w:t>
      </w:r>
    </w:p>
    <w:p>
      <w:pPr>
        <w:spacing w:before="80" w:after="100"/>
      </w:pPr>
      <w:r>
        <w:rPr>
          <w:rFonts w:ascii="Arial" w:cs="Arial" w:eastAsia="Arial" w:hAnsi="Arial"/>
          <w:sz w:val="22"/>
          <w:szCs w:val="22"/>
        </w:rPr>
        <w:t xml:space="preserve">This document is a conceptual architectural analysis. All VXU-1 performance figures are theoretical projections derived from the structural principles of the Velsanet architecture applied to representative semiconductor process node characteristics. No VXU-1 silicon has been fabricated. Blackwell figures referenced herein are derived from publicly available NVIDIA specifications and independent analyses as of Q1 2026. Actual fabricated performance would require full hardware design, tape-out, and empirical validation.</w:t>
      </w:r>
    </w:p>
    <w:p>
      <w:pPr>
        <w:spacing w:before="80" w:after="0"/>
      </w:pPr>
      <w:r>
        <w:t xml:space="preserve"/>
      </w:r>
    </w:p>
    <w:p>
      <w:pPr>
        <w:spacing w:before="80" w:after="100"/>
      </w:pPr>
      <w:r>
        <w:rPr>
          <w:rFonts w:ascii="Arial" w:cs="Arial" w:eastAsia="Arial" w:hAnsi="Arial"/>
          <w:color w:val="888888"/>
          <w:sz w:val="20"/>
          <w:szCs w:val="20"/>
        </w:rPr>
        <w:t xml:space="preserve">This white paper is produced by the Velsanet Architecture Group as part of the Velsanet White Paper Series. All architectural concepts are the original intellectual property of Velsanet.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6DB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2026-03-28T07:08:08.508Z</dcterms:created>
  <dcterms:modified xsi:type="dcterms:W3CDTF">2026-03-28T07:08:08.509Z</dcterms:modified>
</cp:coreProperties>
</file>

<file path=docProps/custom.xml><?xml version="1.0" encoding="utf-8"?>
<Properties xmlns="http://schemas.openxmlformats.org/officeDocument/2006/custom-properties" xmlns:vt="http://schemas.openxmlformats.org/officeDocument/2006/docPropsVTypes"/>
</file>