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rFonts w:ascii="Arial" w:cs="Arial" w:eastAsia="Arial" w:hAnsi="Arial"/>
          <w:b/>
          <w:bCs/>
          <w:color w:val="1A3A5C"/>
          <w:sz w:val="64"/>
          <w:szCs w:val="64"/>
        </w:rPr>
        <w:t xml:space="preserve">VELSANET</w:t>
      </w:r>
    </w:p>
    <w:p>
      <w:pPr>
        <w:spacing w:after="80" w:before="0"/>
        <w:jc w:val="center"/>
      </w:pPr>
      <w:r>
        <w:rPr>
          <w:rFonts w:ascii="Arial" w:cs="Arial" w:eastAsia="Arial" w:hAnsi="Arial"/>
          <w:color w:val="999999"/>
          <w:sz w:val="20"/>
          <w:szCs w:val="20"/>
        </w:rPr>
        <w:t xml:space="preserve">White Paper #WP-ECO-06</w:t>
      </w:r>
    </w:p>
    <w:p>
      <w:pPr>
        <w:pBdr>
          <w:bottom w:val="single" w:color="2E6DA4" w:sz="8" w:space="4"/>
        </w:pBdr>
        <w:spacing w:after="0" w:before="200"/>
        <w:jc w:val="center"/>
      </w:pPr>
      <w:r>
        <w:rPr>
          <w:rFonts w:ascii="Arial" w:cs="Arial" w:eastAsia="Arial" w:hAnsi="Arial"/>
          <w:b/>
          <w:bCs/>
          <w:color w:val="2E6DA4"/>
          <w:sz w:val="44"/>
          <w:szCs w:val="44"/>
        </w:rPr>
        <w:t xml:space="preserve">The Education Economy</w:t>
      </w:r>
    </w:p>
    <w:p>
      <w:pPr>
        <w:spacing w:after="600" w:before="240"/>
        <w:jc w:val="center"/>
      </w:pPr>
      <w:r>
        <w:rPr>
          <w:rFonts w:ascii="Arial" w:cs="Arial" w:eastAsia="Arial" w:hAnsi="Arial"/>
          <w:color w:val="444444"/>
          <w:sz w:val="26"/>
          <w:szCs w:val="26"/>
        </w:rPr>
        <w:t xml:space="preserve">How Velsanet Transforms Learning Through Structural Cognition, Intent-Driven Matching, and Sovereign Knowledge</w:t>
      </w:r>
    </w:p>
    <w:p>
      <w:pPr>
        <w:spacing w:after="120" w:before="0"/>
        <w:jc w:val="center"/>
      </w:pPr>
      <w:r>
        <w:rPr>
          <w:rFonts w:ascii="Arial" w:cs="Arial" w:eastAsia="Arial" w:hAnsi="Arial"/>
          <w:b/>
          <w:bCs/>
          <w:color w:val="333333"/>
          <w:sz w:val="26"/>
          <w:szCs w:val="26"/>
        </w:rPr>
        <w:t xml:space="preserve">Changho Song</w:t>
      </w:r>
    </w:p>
    <w:p>
      <w:pPr>
        <w:spacing w:after="80" w:before="0"/>
        <w:jc w:val="center"/>
      </w:pPr>
      <w:r>
        <w:rPr>
          <w:rFonts w:ascii="Arial" w:cs="Arial" w:eastAsia="Arial" w:hAnsi="Arial"/>
          <w:color w:val="888888"/>
          <w:sz w:val="20"/>
          <w:szCs w:val="20"/>
        </w:rPr>
        <w:t xml:space="preserve">Independent Researcher  ·  Velsanet Architecture</w:t>
      </w:r>
    </w:p>
    <w:p>
      <w:pPr>
        <w:spacing w:after="0" w:before="0"/>
        <w:jc w:val="center"/>
      </w:pPr>
      <w:r>
        <w:rPr>
          <w:rFonts w:ascii="Arial" w:cs="Arial" w:eastAsia="Arial" w:hAnsi="Arial"/>
          <w:color w:val="888888"/>
          <w:sz w:val="20"/>
          <w:szCs w:val="20"/>
        </w:rPr>
        <w:t xml:space="preserve">April 2026</w:t>
      </w:r>
    </w:p>
    <w:p>
      <w:r>
        <w:br w:type="page"/>
      </w:r>
    </w:p>
    <w:p>
      <w:pPr>
        <w:pStyle w:val="Heading1"/>
        <w:spacing w:after="200" w:before="480"/>
      </w:pPr>
      <w:r>
        <w:rPr>
          <w:rFonts w:ascii="Arial" w:cs="Arial" w:eastAsia="Arial" w:hAnsi="Arial"/>
          <w:b/>
          <w:bCs/>
          <w:color w:val="1A3A5C"/>
          <w:sz w:val="34"/>
          <w:szCs w:val="34"/>
        </w:rPr>
        <w:t xml:space="preserve">1. The Education System's Structural Problem</w:t>
      </w:r>
    </w:p>
    <w:p>
      <w:pPr>
        <w:pStyle w:val="Heading2"/>
        <w:spacing w:after="160" w:before="320"/>
      </w:pPr>
      <w:r>
        <w:rPr>
          <w:rFonts w:ascii="Arial" w:cs="Arial" w:eastAsia="Arial" w:hAnsi="Arial"/>
          <w:b/>
          <w:bCs/>
          <w:color w:val="2E6DA4"/>
          <w:sz w:val="26"/>
          <w:szCs w:val="26"/>
        </w:rPr>
        <w:t xml:space="preserve">1.1 A System Designed for the Average</w:t>
      </w:r>
    </w:p>
    <w:p>
      <w:pPr>
        <w:spacing w:after="80" w:before="80"/>
      </w:pPr>
      <w:r>
        <w:rPr>
          <w:rFonts w:ascii="Arial" w:cs="Arial" w:eastAsia="Arial" w:hAnsi="Arial"/>
          <w:color w:val="222222"/>
          <w:sz w:val="22"/>
          <w:szCs w:val="22"/>
        </w:rPr>
        <w:t xml:space="preserve">The modern education system was designed for industrial-age efficiency: standardize the curriculum, batch-process students by age, and assess everyone against the same benchmark. This model maximized throughput. It did not maximize learning.</w:t>
      </w:r>
    </w:p>
    <w:p>
      <w:pPr>
        <w:spacing w:after="60" w:before="60"/>
      </w:pPr>
      <w:r>
        <w:t xml:space="preserve"/>
      </w:r>
    </w:p>
    <w:p>
      <w:pPr>
        <w:spacing w:after="80" w:before="80"/>
      </w:pPr>
      <w:r>
        <w:rPr>
          <w:rFonts w:ascii="Arial" w:cs="Arial" w:eastAsia="Arial" w:hAnsi="Arial"/>
          <w:color w:val="222222"/>
          <w:sz w:val="22"/>
          <w:szCs w:val="22"/>
        </w:rPr>
        <w:t xml:space="preserve">Every structural failure in education traces back to the same root: the system does not know who the student actually is. It knows their age, their grades, and their test scores. It does not know how they think, how they learn, what they are motivated by, or where their cognitive bottlenecks lie.</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13"/>
        <w:gridCol w:w="4013"/>
      </w:tblGrid>
      <w:tr>
        <w:trPr>
          <w:tblHeader/>
        </w:trPr>
        <w:tc>
          <w:tcPr>
            <w:tcW w:type="dxa" w:w="20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Structural Failure</w:t>
            </w:r>
          </w:p>
        </w:tc>
        <w:tc>
          <w:tcPr>
            <w:tcW w:type="dxa" w:w="3013"/>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Current Reality</w:t>
            </w:r>
          </w:p>
        </w:tc>
        <w:tc>
          <w:tcPr>
            <w:tcW w:type="dxa" w:w="4013"/>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Consequence</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Unknown learner</w:t>
            </w:r>
          </w:p>
        </w:tc>
        <w:tc>
          <w:tcPr>
            <w:tcW w:type="dxa" w:w="30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Teachers work with 30 students simultaneously — individual cognitive profiles impossible to maintain</w:t>
            </w:r>
          </w:p>
        </w:tc>
        <w:tc>
          <w:tcPr>
            <w:tcW w:type="dxa" w:w="40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Students who learn differently fall behind; advanced students are held back; potential is systematically wasted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Credential inflation</w:t>
            </w:r>
          </w:p>
        </w:tc>
        <w:tc>
          <w:tcPr>
            <w:tcW w:type="dxa" w:w="30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Degrees certify time spent, not competence achieved — employers cannot verify actual capability</w:t>
            </w:r>
          </w:p>
        </w:tc>
        <w:tc>
          <w:tcPr>
            <w:tcW w:type="dxa" w:w="40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Employers demand ever-higher credentials; candidates over-invest in signaling; mismatch between education and employment</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Access inequality</w:t>
            </w:r>
          </w:p>
        </w:tc>
        <w:tc>
          <w:tcPr>
            <w:tcW w:type="dxa" w:w="30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Quality education requires proximity to elite institutions and financial resources</w:t>
            </w:r>
          </w:p>
        </w:tc>
        <w:tc>
          <w:tcPr>
            <w:tcW w:type="dxa" w:w="40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Talent distributed globally; opportunity concentrated geographically and economically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Static curriculum</w:t>
            </w:r>
          </w:p>
        </w:tc>
        <w:tc>
          <w:tcPr>
            <w:tcW w:type="dxa" w:w="30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Course content updated on academic cycles — years behind current knowledge and industry need</w:t>
            </w:r>
          </w:p>
        </w:tc>
        <w:tc>
          <w:tcPr>
            <w:tcW w:type="dxa" w:w="40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Graduates enter workforce with outdated skills; retraining cycles create continuous economic friction</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Misaligned incentives</w:t>
            </w:r>
          </w:p>
        </w:tc>
        <w:tc>
          <w:tcPr>
            <w:tcW w:type="dxa" w:w="30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Institutions rewarded for enrollment and retention, not for learning outcomes</w:t>
            </w:r>
          </w:p>
        </w:tc>
        <w:tc>
          <w:tcPr>
            <w:tcW w:type="dxa" w:w="40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Marketing budgets exceed teaching budgets; student debt accumulates without commensurate skill development</w:t>
            </w:r>
          </w:p>
        </w:tc>
      </w:tr>
    </w:tbl>
    <w:p>
      <w:pPr>
        <w:spacing w:after="60" w:before="60"/>
      </w:pPr>
      <w:r>
        <w:t xml:space="preserve"/>
      </w:r>
    </w:p>
    <w:p>
      <w:pPr>
        <w:pBdr>
          <w:left w:val="single" w:color="2E6DA4" w:sz="6" w:space="8"/>
        </w:pBdr>
        <w:spacing w:after="160" w:before="160"/>
        <w:ind w:left="720" w:right="720"/>
      </w:pPr>
      <w:r>
        <w:rPr>
          <w:rFonts w:ascii="Arial" w:cs="Arial" w:eastAsia="Arial" w:hAnsi="Arial"/>
          <w:i/>
          <w:iCs/>
          <w:color w:val="2E6DA4"/>
          <w:sz w:val="24"/>
          <w:szCs w:val="24"/>
        </w:rPr>
        <w:t xml:space="preserve">The education system does not fail students because educators lack dedication. It fails because the structure cannot see the individual student — and therefore cannot serve them.</w:t>
      </w:r>
    </w:p>
    <w:p>
      <w:pPr>
        <w:pBdr>
          <w:bottom w:val="single" w:color="2E6DA4" w:sz="4" w:space="1"/>
        </w:pBdr>
        <w:spacing w:after="240" w:before="240"/>
      </w:pPr>
    </w:p>
    <w:p>
      <w:pPr>
        <w:pStyle w:val="Heading1"/>
        <w:spacing w:after="200" w:before="480"/>
      </w:pPr>
      <w:r>
        <w:rPr>
          <w:rFonts w:ascii="Arial" w:cs="Arial" w:eastAsia="Arial" w:hAnsi="Arial"/>
          <w:b/>
          <w:bCs/>
          <w:color w:val="1A3A5C"/>
          <w:sz w:val="34"/>
          <w:szCs w:val="34"/>
        </w:rPr>
        <w:t xml:space="preserve">2. The Velsanet Education Architecture</w:t>
      </w:r>
    </w:p>
    <w:p>
      <w:pPr>
        <w:pStyle w:val="Heading2"/>
        <w:spacing w:after="160" w:before="320"/>
      </w:pPr>
      <w:r>
        <w:rPr>
          <w:rFonts w:ascii="Arial" w:cs="Arial" w:eastAsia="Arial" w:hAnsi="Arial"/>
          <w:b/>
          <w:bCs/>
          <w:color w:val="2E6DA4"/>
          <w:sz w:val="26"/>
          <w:szCs w:val="26"/>
        </w:rPr>
        <w:t xml:space="preserve">2.1 PAI — The Personal Learning Cognitive Layer</w:t>
      </w:r>
    </w:p>
    <w:p>
      <w:pPr>
        <w:spacing w:after="80" w:before="80"/>
      </w:pPr>
      <w:r>
        <w:rPr>
          <w:rFonts w:ascii="Arial" w:cs="Arial" w:eastAsia="Arial" w:hAnsi="Arial"/>
          <w:color w:val="222222"/>
          <w:sz w:val="22"/>
          <w:szCs w:val="22"/>
        </w:rPr>
        <w:t xml:space="preserve">In the Velsanet education economy, PAI is the individual's learning intelligence — the cognitive layer that knows how they learn better than any teacher or institution has ever been able to know.</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013"/>
        <w:gridCol w:w="3813"/>
      </w:tblGrid>
      <w:tr>
        <w:trPr>
          <w:tblHeader/>
        </w:trPr>
        <w:tc>
          <w:tcPr>
            <w:tcW w:type="dxa" w:w="22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PAI Learning Function</w:t>
            </w:r>
          </w:p>
        </w:tc>
        <w:tc>
          <w:tcPr>
            <w:tcW w:type="dxa" w:w="3013"/>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What It Captures</w:t>
            </w:r>
          </w:p>
        </w:tc>
        <w:tc>
          <w:tcPr>
            <w:tcW w:type="dxa" w:w="3813"/>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Educational Value</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Learning modality detection</w:t>
            </w:r>
          </w:p>
        </w:tc>
        <w:tc>
          <w:tcPr>
            <w:tcW w:type="dxa" w:w="30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CH1/CH2 channels track visual vs. audio vs. text comprehension rates; CH6 tracks active vs. passive engagement</w:t>
            </w:r>
          </w:p>
        </w:tc>
        <w:tc>
          <w:tcPr>
            <w:tcW w:type="dxa" w:w="38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Content delivered in the format that produces maximum retention for this specific individual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Attention and focus patterns</w:t>
            </w:r>
          </w:p>
        </w:tc>
        <w:tc>
          <w:tcPr>
            <w:tcW w:type="dxa" w:w="30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T-axis records concentration duration, distraction triggers, peak performance windows</w:t>
            </w:r>
          </w:p>
        </w:tc>
        <w:tc>
          <w:tcPr>
            <w:tcW w:type="dxa" w:w="38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Learning scheduled to align with individual cognitive rhythm — not institutional timetable</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Comprehension depth tracking</w:t>
            </w:r>
          </w:p>
        </w:tc>
        <w:tc>
          <w:tcPr>
            <w:tcW w:type="dxa" w:w="30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SEU encapsulates every learning event — what was understood, what was uncertain, what was misunderstood</w:t>
            </w:r>
          </w:p>
        </w:tc>
        <w:tc>
          <w:tcPr>
            <w:tcW w:type="dxa" w:w="38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Gaps identified structurally before they compound into foundational deficits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Motivation and intent sensing</w:t>
            </w:r>
          </w:p>
        </w:tc>
        <w:tc>
          <w:tcPr>
            <w:tcW w:type="dxa" w:w="30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I-axis captures learning motivation — intrinsic curiosity vs. extrinsic pressure vs. goal-oriented focus</w:t>
            </w:r>
          </w:p>
        </w:tc>
        <w:tc>
          <w:tcPr>
            <w:tcW w:type="dxa" w:w="38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Content framed to align with individual motivation state — maximizing engagement and retention</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Knowledge state modeling</w:t>
            </w:r>
          </w:p>
        </w:tc>
        <w:tc>
          <w:tcPr>
            <w:tcW w:type="dxa" w:w="30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Cube Memory Layer maintains continuous model of what the individual knows and does not know</w:t>
            </w:r>
          </w:p>
        </w:tc>
        <w:tc>
          <w:tcPr>
            <w:tcW w:type="dxa" w:w="38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Every new content delivery calibrated against actual knowledge state — not assumed curriculum position</w:t>
            </w:r>
          </w:p>
        </w:tc>
      </w:tr>
    </w:tbl>
    <w:p>
      <w:pPr>
        <w:spacing w:after="60" w:before="60"/>
      </w:pPr>
      <w:r>
        <w:t xml:space="preserve"/>
      </w:r>
    </w:p>
    <w:p>
      <w:pPr>
        <w:pStyle w:val="Heading2"/>
        <w:spacing w:after="160" w:before="320"/>
      </w:pPr>
      <w:r>
        <w:rPr>
          <w:rFonts w:ascii="Arial" w:cs="Arial" w:eastAsia="Arial" w:hAnsi="Arial"/>
          <w:b/>
          <w:bCs/>
          <w:color w:val="2E6DA4"/>
          <w:sz w:val="26"/>
          <w:szCs w:val="26"/>
        </w:rPr>
        <w:t xml:space="preserve">2.2 AAI — The Education Validation and Matching Layer</w:t>
      </w:r>
    </w:p>
    <w:p>
      <w:pPr>
        <w:spacing w:after="80" w:before="80"/>
      </w:pPr>
      <w:r>
        <w:rPr>
          <w:rFonts w:ascii="Arial" w:cs="Arial" w:eastAsia="Arial" w:hAnsi="Arial"/>
          <w:color w:val="222222"/>
          <w:sz w:val="22"/>
          <w:szCs w:val="22"/>
        </w:rPr>
        <w:t xml:space="preserve">Education AAI performs three simultaneous functions that no current educational institution can combine: validating the quality and credentials of learning providers, matching learner intent with optimal content and instruction, and certifying genuine competence acquisition.</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AAI Education Role</w:t>
            </w:r>
          </w:p>
        </w:tc>
        <w:tc>
          <w:tcPr>
            <w:tcW w:type="dxa" w:w="6226"/>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Function</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Provider credential validation</w:t>
            </w:r>
          </w:p>
        </w:tc>
        <w:tc>
          <w:tcPr>
            <w:tcW w:type="dxa" w:w="62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All teaching AsAI providers structurally verified — qualifications, teaching effectiveness record, domain expertise, outcome history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Learning intent matching</w:t>
            </w:r>
          </w:p>
        </w:tc>
        <w:tc>
          <w:tcPr>
            <w:tcW w:type="dxa" w:w="6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PAI learning intent received and matched against global registry of content, courses, tutors, and programs — optimal match determined structurally</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Competence certification</w:t>
            </w:r>
          </w:p>
        </w:tc>
        <w:tc>
          <w:tcPr>
            <w:tcW w:type="dxa" w:w="62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Learning outcomes verified structurally through PAI knowledge state assessment — certificates issued based on demonstrated competence, not time spent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Curriculum integrity</w:t>
            </w:r>
          </w:p>
        </w:tc>
        <w:tc>
          <w:tcPr>
            <w:tcW w:type="dxa" w:w="6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Course content validated against current knowledge standards — outdated or inaccurate content flagged structurally before delivery</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Payment mediation</w:t>
            </w:r>
          </w:p>
        </w:tc>
        <w:tc>
          <w:tcPr>
            <w:tcW w:type="dxa" w:w="62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Learning transactions mediated structurally — payment contingent on AAI-verified learning outcome achievement, not course enrollment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Cross-border recognition</w:t>
            </w:r>
          </w:p>
        </w:tc>
        <w:tc>
          <w:tcPr>
            <w:tcW w:type="dxa" w:w="6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Competence certificates issued under AAI structural verification recognized globally — jurisdiction-specific credential translation handled at Q4 layer</w:t>
            </w:r>
          </w:p>
        </w:tc>
      </w:tr>
    </w:tbl>
    <w:p>
      <w:pPr>
        <w:spacing w:after="60" w:before="60"/>
      </w:pPr>
      <w:r>
        <w:t xml:space="preserve"/>
      </w:r>
    </w:p>
    <w:p>
      <w:pPr>
        <w:pBdr>
          <w:left w:val="single" w:color="2E6DA4" w:sz="6" w:space="8"/>
        </w:pBdr>
        <w:spacing w:after="160" w:before="160"/>
        <w:ind w:left="720" w:right="720"/>
      </w:pPr>
      <w:r>
        <w:rPr>
          <w:rFonts w:ascii="Arial" w:cs="Arial" w:eastAsia="Arial" w:hAnsi="Arial"/>
          <w:i/>
          <w:iCs/>
          <w:color w:val="2E6DA4"/>
          <w:sz w:val="24"/>
          <w:szCs w:val="24"/>
        </w:rPr>
        <w:t xml:space="preserve">Education AAI does not replace teachers. It ensures that every teacher reaches every student at exactly the point where that student needs them — structurally matched, contextually prepared, and outcome-accountable.</w:t>
      </w:r>
    </w:p>
    <w:p>
      <w:pPr>
        <w:spacing w:after="60" w:before="60"/>
      </w:pPr>
      <w:r>
        <w:t xml:space="preserve"/>
      </w:r>
    </w:p>
    <w:p>
      <w:pPr>
        <w:pStyle w:val="Heading2"/>
        <w:spacing w:after="160" w:before="320"/>
      </w:pPr>
      <w:r>
        <w:rPr>
          <w:rFonts w:ascii="Arial" w:cs="Arial" w:eastAsia="Arial" w:hAnsi="Arial"/>
          <w:b/>
          <w:bCs/>
          <w:color w:val="2E6DA4"/>
          <w:sz w:val="26"/>
          <w:szCs w:val="26"/>
        </w:rPr>
        <w:t xml:space="preserve">2.3 AsAI — The Learning Execution Layer</w:t>
      </w:r>
    </w:p>
    <w:p>
      <w:pPr>
        <w:spacing w:after="80" w:before="80"/>
      </w:pPr>
      <w:r>
        <w:rPr>
          <w:rFonts w:ascii="Arial" w:cs="Arial" w:eastAsia="Arial" w:hAnsi="Arial"/>
          <w:color w:val="222222"/>
          <w:sz w:val="22"/>
          <w:szCs w:val="22"/>
        </w:rPr>
        <w:t xml:space="preserve">Education AsAI encompasses every entity that delivers learning: individual tutors, educational institutions, content platforms, certification bodies, and corporate training providers. In the Velsanet education economy, these providers compete on one thing: structurally verified learning outcomes.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AsAI Education Provider</w:t>
            </w:r>
          </w:p>
        </w:tc>
        <w:tc>
          <w:tcPr>
            <w:tcW w:type="dxa" w:w="6626"/>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What Changes</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Individual tutors</w:t>
            </w:r>
          </w:p>
        </w:tc>
        <w:tc>
          <w:tcPr>
            <w:tcW w:type="dxa" w:w="66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Matched to learners whose PAI profiles align with their teaching strengths. Sessions begin with complete PAI learning context. Compensation structured around AAI-verified outcome achievement.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Universities and colleges</w:t>
            </w:r>
          </w:p>
        </w:tc>
        <w:tc>
          <w:tcPr>
            <w:tcW w:type="dxa" w:w="66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Compete on structural outcome metrics — graduate competence levels, employment alignment, knowledge retention. Enrollment marketing replaced by AAI registry quality record.</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Online course platforms</w:t>
            </w:r>
          </w:p>
        </w:tc>
        <w:tc>
          <w:tcPr>
            <w:tcW w:type="dxa" w:w="66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Content indexed by PAI-recognizable competence targets. Delivery adapted in real time to individual learning patterns. Completion certificates issued only on AAI-verified competence demonstration.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Corporate training providers</w:t>
            </w:r>
          </w:p>
        </w:tc>
        <w:tc>
          <w:tcPr>
            <w:tcW w:type="dxa" w:w="66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Training intent received from enterprise AAI. Content delivered against specific competence gap profiles. Outcome verified structurally — training budget tied to measurable skill acquisition.</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AI tutoring systems</w:t>
            </w:r>
          </w:p>
        </w:tc>
        <w:tc>
          <w:tcPr>
            <w:tcW w:type="dxa" w:w="66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Compete as AsAI providers in the global education registry. Differentiated by PAI compatibility — how well their cognitive model aligns with individual learner profiles.</w:t>
            </w:r>
          </w:p>
        </w:tc>
      </w:tr>
    </w:tbl>
    <w:p>
      <w:pPr>
        <w:pBdr>
          <w:bottom w:val="single" w:color="2E6DA4" w:sz="4" w:space="1"/>
        </w:pBdr>
        <w:spacing w:after="240" w:before="240"/>
      </w:pPr>
    </w:p>
    <w:p>
      <w:pPr>
        <w:pStyle w:val="Heading1"/>
        <w:spacing w:after="200" w:before="480"/>
      </w:pPr>
      <w:r>
        <w:rPr>
          <w:rFonts w:ascii="Arial" w:cs="Arial" w:eastAsia="Arial" w:hAnsi="Arial"/>
          <w:b/>
          <w:bCs/>
          <w:color w:val="1A3A5C"/>
          <w:sz w:val="34"/>
          <w:szCs w:val="34"/>
        </w:rPr>
        <w:t xml:space="preserve">3. The Scenario — Learning Without Searching</w:t>
      </w:r>
    </w:p>
    <w:p>
      <w:pPr>
        <w:spacing w:after="80" w:before="80"/>
      </w:pPr>
      <w:r>
        <w:rPr>
          <w:rFonts w:ascii="Arial" w:cs="Arial" w:eastAsia="Arial" w:hAnsi="Arial"/>
          <w:color w:val="222222"/>
          <w:sz w:val="22"/>
          <w:szCs w:val="22"/>
        </w:rPr>
        <w:t xml:space="preserve">A student wants to learn machine learning for a specific application in medical imaging. Today: they search online, compare courses, read reviews, guess at quality, pay upfront, and discover fit only after significant time investment.</w:t>
      </w:r>
    </w:p>
    <w:p>
      <w:pPr>
        <w:spacing w:after="60" w:before="60"/>
      </w:pPr>
      <w:r>
        <w:t xml:space="preserve"/>
      </w:r>
    </w:p>
    <w:p>
      <w:pPr>
        <w:spacing w:after="80" w:before="80"/>
      </w:pPr>
      <w:r>
        <w:rPr>
          <w:rFonts w:ascii="Arial" w:cs="Arial" w:eastAsia="Arial" w:hAnsi="Arial"/>
          <w:color w:val="222222"/>
          <w:sz w:val="22"/>
          <w:szCs w:val="22"/>
        </w:rPr>
        <w:t xml:space="preserve">In the Velsanet education economy:</w:t>
      </w:r>
    </w:p>
    <w:p>
      <w:pPr>
        <w:spacing w:after="60" w:before="60"/>
      </w:pPr>
      <w:r>
        <w:t xml:space="preserve"/>
      </w:r>
    </w:p>
    <w:p>
      <w:pPr>
        <w:pStyle w:val="ListParagraph"/>
        <w:numPr>
          <w:ilvl w:val="0"/>
          <w:numId w:val="2"/>
        </w:numPr>
        <w:spacing w:after="80" w:before="80"/>
      </w:pPr>
      <w:r>
        <w:rPr>
          <w:rFonts w:ascii="Arial" w:cs="Arial" w:eastAsia="Arial" w:hAnsi="Arial"/>
          <w:sz w:val="22"/>
          <w:szCs w:val="22"/>
        </w:rPr>
        <w:t xml:space="preserve">PAI generates structured learning intent: domain, application context, current knowledge state, learning style profile, time availability, budget constraints</w:t>
      </w:r>
    </w:p>
    <w:p>
      <w:pPr>
        <w:pStyle w:val="ListParagraph"/>
        <w:numPr>
          <w:ilvl w:val="0"/>
          <w:numId w:val="2"/>
        </w:numPr>
        <w:spacing w:after="80" w:before="80"/>
      </w:pPr>
      <w:r>
        <w:rPr>
          <w:rFonts w:ascii="Arial" w:cs="Arial" w:eastAsia="Arial" w:hAnsi="Arial"/>
          <w:sz w:val="22"/>
          <w:szCs w:val="22"/>
        </w:rPr>
        <w:t xml:space="preserve">Education AAI receives intent and searches global provider registry for optimal matches — verified providers whose teaching approach matches PAI learning profile, whose content matches the specific application need, whose outcome record is structurally verified</w:t>
      </w:r>
    </w:p>
    <w:p>
      <w:pPr>
        <w:pStyle w:val="ListParagraph"/>
        <w:numPr>
          <w:ilvl w:val="0"/>
          <w:numId w:val="2"/>
        </w:numPr>
        <w:spacing w:after="80" w:before="80"/>
      </w:pPr>
      <w:r>
        <w:rPr>
          <w:rFonts w:ascii="Arial" w:cs="Arial" w:eastAsia="Arial" w:hAnsi="Arial"/>
          <w:sz w:val="22"/>
          <w:szCs w:val="22"/>
        </w:rPr>
        <w:t xml:space="preserve">AAI presents curated options with structural quality evidence — not star ratings, but verified outcome data from learners with similar PAI profiles</w:t>
      </w:r>
    </w:p>
    <w:p>
      <w:pPr>
        <w:pStyle w:val="ListParagraph"/>
        <w:numPr>
          <w:ilvl w:val="0"/>
          <w:numId w:val="2"/>
        </w:numPr>
        <w:spacing w:after="80" w:before="80"/>
      </w:pPr>
      <w:r>
        <w:rPr>
          <w:rFonts w:ascii="Arial" w:cs="Arial" w:eastAsia="Arial" w:hAnsi="Arial"/>
          <w:sz w:val="22"/>
          <w:szCs w:val="22"/>
        </w:rPr>
        <w:t xml:space="preserve">Student selects and payment is structured around milestone achievement — not upfront enrollment</w:t>
      </w:r>
    </w:p>
    <w:p>
      <w:pPr>
        <w:pStyle w:val="ListParagraph"/>
        <w:numPr>
          <w:ilvl w:val="0"/>
          <w:numId w:val="2"/>
        </w:numPr>
        <w:spacing w:after="80" w:before="80"/>
      </w:pPr>
      <w:r>
        <w:rPr>
          <w:rFonts w:ascii="Arial" w:cs="Arial" w:eastAsia="Arial" w:hAnsi="Arial"/>
          <w:sz w:val="22"/>
          <w:szCs w:val="22"/>
        </w:rPr>
        <w:t xml:space="preserve">Learning begins with provider already knowing the student's complete cognitive profile</w:t>
      </w:r>
    </w:p>
    <w:p>
      <w:pPr>
        <w:pStyle w:val="ListParagraph"/>
        <w:numPr>
          <w:ilvl w:val="0"/>
          <w:numId w:val="2"/>
        </w:numPr>
        <w:spacing w:after="80" w:before="80"/>
      </w:pPr>
      <w:r>
        <w:rPr>
          <w:rFonts w:ascii="Arial" w:cs="Arial" w:eastAsia="Arial" w:hAnsi="Arial"/>
          <w:sz w:val="22"/>
          <w:szCs w:val="22"/>
        </w:rPr>
        <w:t xml:space="preserve">Progress tracked structurally by PAI — gaps addressed automatically, pace adjusted continuously</w:t>
      </w:r>
    </w:p>
    <w:p>
      <w:pPr>
        <w:pStyle w:val="ListParagraph"/>
        <w:numPr>
          <w:ilvl w:val="0"/>
          <w:numId w:val="2"/>
        </w:numPr>
        <w:spacing w:after="80" w:before="80"/>
      </w:pPr>
      <w:r>
        <w:rPr>
          <w:rFonts w:ascii="Arial" w:cs="Arial" w:eastAsia="Arial" w:hAnsi="Arial"/>
          <w:sz w:val="22"/>
          <w:szCs w:val="22"/>
        </w:rPr>
        <w:t xml:space="preserve">On competence achievement, AAI issues structural certificate — verifiable by any employer globally without credential checking intermediary</w:t>
      </w:r>
    </w:p>
    <w:p>
      <w:pPr>
        <w:spacing w:after="60" w:before="60"/>
      </w:pPr>
      <w:r>
        <w:t xml:space="preserve"/>
      </w:r>
    </w:p>
    <w:p>
      <w:pPr>
        <w:pBdr>
          <w:left w:val="single" w:color="2E6DA4" w:sz="6" w:space="8"/>
        </w:pBdr>
        <w:spacing w:after="160" w:before="160"/>
        <w:ind w:left="720" w:right="720"/>
      </w:pPr>
      <w:r>
        <w:rPr>
          <w:rFonts w:ascii="Arial" w:cs="Arial" w:eastAsia="Arial" w:hAnsi="Arial"/>
          <w:i/>
          <w:iCs/>
          <w:color w:val="2E6DA4"/>
          <w:sz w:val="24"/>
          <w:szCs w:val="24"/>
        </w:rPr>
        <w:t xml:space="preserve">The student never searches. The student never guesses. The student never pays for content that does not fit. The structure finds the teacher. The teacher finds the student. Learning happens.</w:t>
      </w:r>
    </w:p>
    <w:p>
      <w:pPr>
        <w:pBdr>
          <w:bottom w:val="single" w:color="2E6DA4" w:sz="4" w:space="1"/>
        </w:pBdr>
        <w:spacing w:after="240" w:before="240"/>
      </w:pPr>
    </w:p>
    <w:p>
      <w:pPr>
        <w:pStyle w:val="Heading1"/>
        <w:spacing w:after="200" w:before="480"/>
      </w:pPr>
      <w:r>
        <w:rPr>
          <w:rFonts w:ascii="Arial" w:cs="Arial" w:eastAsia="Arial" w:hAnsi="Arial"/>
          <w:b/>
          <w:bCs/>
          <w:color w:val="1A3A5C"/>
          <w:sz w:val="34"/>
          <w:szCs w:val="34"/>
        </w:rPr>
        <w:t xml:space="preserve">4. The Competence Economy</w:t>
      </w:r>
    </w:p>
    <w:p>
      <w:pPr>
        <w:pStyle w:val="Heading2"/>
        <w:spacing w:after="160" w:before="320"/>
      </w:pPr>
      <w:r>
        <w:rPr>
          <w:rFonts w:ascii="Arial" w:cs="Arial" w:eastAsia="Arial" w:hAnsi="Arial"/>
          <w:b/>
          <w:bCs/>
          <w:color w:val="2E6DA4"/>
          <w:sz w:val="26"/>
          <w:szCs w:val="26"/>
        </w:rPr>
        <w:t xml:space="preserve">4.1 The End of the Credential Proxy</w:t>
      </w:r>
    </w:p>
    <w:p>
      <w:pPr>
        <w:spacing w:after="80" w:before="80"/>
      </w:pPr>
      <w:r>
        <w:rPr>
          <w:rFonts w:ascii="Arial" w:cs="Arial" w:eastAsia="Arial" w:hAnsi="Arial"/>
          <w:color w:val="222222"/>
          <w:sz w:val="22"/>
          <w:szCs w:val="22"/>
        </w:rPr>
        <w:t xml:space="preserve">The degree is a proxy. It signals that someone spent time in an institution that had certain admission standards. It does not directly certify what they know or what they can do. Employers have always known this — and have always had to build their own assessment processes on top of credential screening.</w:t>
      </w:r>
    </w:p>
    <w:p>
      <w:pPr>
        <w:spacing w:after="60" w:before="60"/>
      </w:pPr>
      <w:r>
        <w:t xml:space="preserve"/>
      </w:r>
    </w:p>
    <w:p>
      <w:pPr>
        <w:spacing w:after="80" w:before="80"/>
      </w:pPr>
      <w:r>
        <w:rPr>
          <w:rFonts w:ascii="Arial" w:cs="Arial" w:eastAsia="Arial" w:hAnsi="Arial"/>
          <w:color w:val="222222"/>
          <w:sz w:val="22"/>
          <w:szCs w:val="22"/>
        </w:rPr>
        <w:t xml:space="preserve">AAI-issued structural competence certificates are not proxies. They are direct structural attestations of what an individual knows and can do — verified through PAI knowledge state assessment, not institutional time-serving.</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rPr>
          <w:tblHeader/>
        </w:trPr>
        <w:tc>
          <w:tcPr>
            <w:tcW w:type="dxa" w:w="22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Credential Type</w:t>
            </w:r>
          </w:p>
        </w:tc>
        <w:tc>
          <w:tcPr>
            <w:tcW w:type="dxa" w:w="3413"/>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Current Form</w:t>
            </w:r>
          </w:p>
        </w:tc>
        <w:tc>
          <w:tcPr>
            <w:tcW w:type="dxa" w:w="3413"/>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Velsanet Form</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University degree</w:t>
            </w:r>
          </w:p>
        </w:tc>
        <w:tc>
          <w:tcPr>
            <w:tcW w:type="dxa" w:w="34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Proxy for 3-4 years institutional attendance</w:t>
            </w:r>
          </w:p>
        </w:tc>
        <w:tc>
          <w:tcPr>
            <w:tcW w:type="dxa" w:w="34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Structural competence map — verifiable, domain-specific, outcome-based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Professional certification</w:t>
            </w:r>
          </w:p>
        </w:tc>
        <w:tc>
          <w:tcPr>
            <w:tcW w:type="dxa" w:w="34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Exam passed on a given day — knowledge may decay</w:t>
            </w:r>
          </w:p>
        </w:tc>
        <w:tc>
          <w:tcPr>
            <w:tcW w:type="dxa" w:w="34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Continuous PAI competence tracking — certification reflects current state</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Work experience</w:t>
            </w:r>
          </w:p>
        </w:tc>
        <w:tc>
          <w:tcPr>
            <w:tcW w:type="dxa" w:w="34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Self-reported — employer verification cumbersome</w:t>
            </w:r>
          </w:p>
        </w:tc>
        <w:tc>
          <w:tcPr>
            <w:tcW w:type="dxa" w:w="34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Structural record of AAI-validated work execution — verifiable by any party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Skills assessment</w:t>
            </w:r>
          </w:p>
        </w:tc>
        <w:tc>
          <w:tcPr>
            <w:tcW w:type="dxa" w:w="34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Periodic test or portfolio review</w:t>
            </w:r>
          </w:p>
        </w:tc>
        <w:tc>
          <w:tcPr>
            <w:tcW w:type="dxa" w:w="34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Continuous PAI knowledge state — always current, always structural</w:t>
            </w:r>
          </w:p>
        </w:tc>
      </w:tr>
    </w:tbl>
    <w:p>
      <w:pPr>
        <w:spacing w:after="60" w:before="60"/>
      </w:pPr>
      <w:r>
        <w:t xml:space="preserve"/>
      </w:r>
    </w:p>
    <w:p>
      <w:pPr>
        <w:pStyle w:val="Heading2"/>
        <w:spacing w:after="160" w:before="320"/>
      </w:pPr>
      <w:r>
        <w:rPr>
          <w:rFonts w:ascii="Arial" w:cs="Arial" w:eastAsia="Arial" w:hAnsi="Arial"/>
          <w:b/>
          <w:bCs/>
          <w:color w:val="2E6DA4"/>
          <w:sz w:val="26"/>
          <w:szCs w:val="26"/>
        </w:rPr>
        <w:t xml:space="preserve">4.2 New Education Business Models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Business Model</w:t>
            </w:r>
          </w:p>
        </w:tc>
        <w:tc>
          <w:tcPr>
            <w:tcW w:type="dxa" w:w="6226"/>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Outcome-contingent tuition</w:t>
            </w:r>
          </w:p>
        </w:tc>
        <w:tc>
          <w:tcPr>
            <w:tcW w:type="dxa" w:w="62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Educational providers paid only on AAI-verified competence achievement — no outcome, no payment. Aligns institutional incentive with learning result.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Lifelong learning subscription</w:t>
            </w:r>
          </w:p>
        </w:tc>
        <w:tc>
          <w:tcPr>
            <w:tcW w:type="dxa" w:w="6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PAI continuously identifies knowledge gaps relative to career trajectory. AAI matches micro-learning content automatically. Subscription covers continuous upskilling.</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Competence gap marketplace</w:t>
            </w:r>
          </w:p>
        </w:tc>
        <w:tc>
          <w:tcPr>
            <w:tcW w:type="dxa" w:w="62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Employers publish structural competence requirements. Education AAI matches learners seeking employment with providers who can close specific gaps. Employer co-funds targeted upskilling.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Knowledge cooperative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Expert individuals register as AsAI teaching providers. PAI-matched learners access expertise directly. AAI handles quality verification, payment, and outcome certification.</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AI-native curriculum design</w:t>
            </w:r>
          </w:p>
        </w:tc>
        <w:tc>
          <w:tcPr>
            <w:tcW w:type="dxa" w:w="62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Curriculum designed around PAI intent patterns — built to match what learners actually need, not what institutions traditionally offer.</w:t>
            </w:r>
          </w:p>
        </w:tc>
      </w:tr>
    </w:tbl>
    <w:p>
      <w:pPr>
        <w:pBdr>
          <w:bottom w:val="single" w:color="2E6DA4" w:sz="4" w:space="1"/>
        </w:pBdr>
        <w:spacing w:after="240" w:before="240"/>
      </w:pPr>
    </w:p>
    <w:p>
      <w:pPr>
        <w:pStyle w:val="Heading1"/>
        <w:spacing w:after="200" w:before="480"/>
      </w:pPr>
      <w:r>
        <w:rPr>
          <w:rFonts w:ascii="Arial" w:cs="Arial" w:eastAsia="Arial" w:hAnsi="Arial"/>
          <w:b/>
          <w:bCs/>
          <w:color w:val="1A3A5C"/>
          <w:sz w:val="34"/>
          <w:szCs w:val="34"/>
        </w:rPr>
        <w:t xml:space="preserve">5. Conclusion</w:t>
      </w:r>
    </w:p>
    <w:p>
      <w:pPr>
        <w:spacing w:after="80" w:before="80"/>
      </w:pPr>
      <w:r>
        <w:rPr>
          <w:rFonts w:ascii="Arial" w:cs="Arial" w:eastAsia="Arial" w:hAnsi="Arial"/>
          <w:color w:val="222222"/>
          <w:sz w:val="22"/>
          <w:szCs w:val="22"/>
        </w:rPr>
        <w:t xml:space="preserve">Education fails structurally because it cannot see the individual student. Every student receives the same content, at the same pace, assessed against the same standard — regardless of how they think, what they know, or what they need.</w:t>
      </w:r>
    </w:p>
    <w:p>
      <w:pPr>
        <w:spacing w:after="60" w:before="60"/>
      </w:pPr>
      <w:r>
        <w:t xml:space="preserve"/>
      </w:r>
    </w:p>
    <w:p>
      <w:pPr>
        <w:spacing w:after="80" w:before="80"/>
      </w:pPr>
      <w:r>
        <w:rPr>
          <w:rFonts w:ascii="Arial" w:cs="Arial" w:eastAsia="Arial" w:hAnsi="Arial"/>
          <w:color w:val="222222"/>
          <w:sz w:val="22"/>
          <w:szCs w:val="22"/>
        </w:rPr>
        <w:t xml:space="preserve">Velsanet makes the individual student structurally visible. PAI knows how they learn. AAI matches them with who can teach them best. AsAI delivers learning that is calibrated to their cognitive profile. And the outcome is certified structurally — not by an institution's brand, but by verified competence.</w:t>
      </w:r>
    </w:p>
    <w:p>
      <w:pPr>
        <w:spacing w:after="60" w:before="60"/>
      </w:pPr>
      <w:r>
        <w:t xml:space="preserve"/>
      </w:r>
    </w:p>
    <w:p>
      <w:pPr>
        <w:pBdr>
          <w:left w:val="single" w:color="2E6DA4" w:sz="6" w:space="8"/>
        </w:pBdr>
        <w:spacing w:after="160" w:before="160"/>
        <w:ind w:left="720" w:right="720"/>
      </w:pPr>
      <w:r>
        <w:rPr>
          <w:rFonts w:ascii="Arial" w:cs="Arial" w:eastAsia="Arial" w:hAnsi="Arial"/>
          <w:i/>
          <w:iCs/>
          <w:color w:val="2E6DA4"/>
          <w:sz w:val="24"/>
          <w:szCs w:val="24"/>
        </w:rPr>
        <w:t xml:space="preserve">In the Velsanet education economy, there is no such thing as a student who cannot learn. There is only a student who has not yet been matched with the teacher and the format that works for them.</w:t>
      </w:r>
    </w:p>
    <w:p>
      <w:pPr>
        <w:pBdr>
          <w:bottom w:val="single" w:color="2E6DA4" w:sz="4" w:space="1"/>
        </w:pBdr>
        <w:spacing w:after="240" w:before="240"/>
      </w:pPr>
    </w:p>
    <w:p>
      <w:pPr>
        <w:spacing w:after="80" w:before="400"/>
        <w:jc w:val="center"/>
      </w:pPr>
      <w:r>
        <w:rPr>
          <w:rFonts w:ascii="Arial" w:cs="Arial" w:eastAsia="Arial" w:hAnsi="Arial"/>
          <w:color w:val="888888"/>
          <w:sz w:val="18"/>
          <w:szCs w:val="18"/>
        </w:rPr>
        <w:t xml:space="preserve">Changho Song  ·  joa337@gmail.com</w:t>
      </w:r>
    </w:p>
    <w:p>
      <w:pPr>
        <w:spacing w:after="80" w:before="0"/>
        <w:jc w:val="center"/>
      </w:pPr>
      <w:r>
        <w:rPr>
          <w:rFonts w:ascii="Arial" w:cs="Arial" w:eastAsia="Arial" w:hAnsi="Arial"/>
          <w:color w:val="888888"/>
          <w:sz w:val="18"/>
          <w:szCs w:val="18"/>
        </w:rPr>
        <w:t xml:space="preserve">github.com/joa337/velsanet-whitepapers</w:t>
      </w:r>
    </w:p>
    <w:p>
      <w:pPr>
        <w:spacing w:after="0" w:before="0"/>
        <w:jc w:val="center"/>
      </w:pPr>
      <w:r>
        <w:rPr>
          <w:rFonts w:ascii="Arial" w:cs="Arial" w:eastAsia="Arial" w:hAnsi="Arial"/>
          <w:color w:val="AAAAAA"/>
          <w:sz w:val="18"/>
          <w:szCs w:val="18"/>
        </w:rPr>
        <w:t xml:space="preserve">April 2026  ·  Velsanet White Paper #WP-ECO-06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A3A5C"/>
      <w:sz w:val="34"/>
      <w:szCs w:val="34"/>
    </w:rPr>
  </w:style>
  <w:style w:type="paragraph" w:styleId="Heading2">
    <w:name w:val="Heading 2"/>
    <w:basedOn w:val="Normal"/>
    <w:next w:val="Normal"/>
    <w:qFormat/>
    <w:pPr>
      <w:spacing w:after="160" w:before="320"/>
      <w:outlineLvl w:val="1"/>
    </w:pPr>
    <w:rPr>
      <w:rFonts w:ascii="Arial" w:cs="Arial" w:eastAsia="Arial" w:hAnsi="Arial"/>
      <w:b/>
      <w:bCs/>
      <w:color w:val="2E6DA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2026-04-10T22:09:53.819Z</dcterms:created>
  <dcterms:modified xsi:type="dcterms:W3CDTF">2026-04-10T22:09:53.820Z</dcterms:modified>
</cp:coreProperties>
</file>

<file path=docProps/custom.xml><?xml version="1.0" encoding="utf-8"?>
<Properties xmlns="http://schemas.openxmlformats.org/officeDocument/2006/custom-properties" xmlns:vt="http://schemas.openxmlformats.org/officeDocument/2006/docPropsVTypes"/>
</file>