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WP#28 — EAI E2E Center Deployment Guide</w:t>
      </w:r>
    </w:p>
    <w:p>
      <w:pPr>
        <w:spacing w:after="160" w:before="40"/>
        <w:jc w:val="center"/>
      </w:pPr>
      <w:r>
        <w:rPr>
          <w:i/>
          <w:iCs/>
          <w:color w:val="595959"/>
          <w:sz w:val="18"/>
          <w:szCs w:val="18"/>
        </w:rPr>
        <w:t xml:space="preserve">Outdoor Installation · CH11 Independent Power · Dual E2E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2"/>
        <w:gridCol w:w="700"/>
        <w:gridCol w:w="3225"/>
        <w:gridCol w:w="4373"/>
      </w:tblGrid>
      <w:tr>
        <w:trPr>
          <w:tblHeader/>
        </w:trPr>
        <w:tc>
          <w:tcPr>
            <w:tcW w:type="dxa" w:w="106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2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06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(R2) │ 2026</w:t>
            </w:r>
          </w:p>
        </w:tc>
        <w:tc>
          <w:tcPr>
            <w:tcW w:type="dxa" w:w="32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 Outdoor Install, CH11 Power, Dual E2E Field Validation</w:t>
            </w:r>
          </w:p>
        </w:tc>
        <w:tc>
          <w:tcPr>
            <w:tcW w:type="dxa" w:w="4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Cognition Cube HW Design v1.1 §1.1, §5.3, §7.1; Structure Diagram §5; WP#24 §11.1; WP#25 R1; WP#26 §5, §6</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deployment and field-validation parameters in this document — not confidentiality — is the mechanism by which conformance and interoperability are controlled.</w:t>
            </w:r>
          </w:p>
        </w:tc>
      </w:tr>
    </w:tbl>
    <w:p>
      <w:pPr>
        <w:spacing w:after="80"/>
      </w:pPr>
    </w:p>
    <w:p>
      <w:pPr>
        <w:pStyle w:val="Heading1"/>
        <w:spacing w:after="120" w:before="260"/>
      </w:pPr>
      <w:r>
        <w:t xml:space="preserve">1. Purpose and Scope</w:t>
      </w:r>
    </w:p>
    <w:p>
      <w:pPr>
        <w:spacing w:after="140"/>
      </w:pPr>
      <w:r>
        <w:t xml:space="preserve">WP#28 is the deployment-facing counterpart to WP#26 for the EAI (Embodied AI) side of the Velsanet Cognition Cube architecture — the companion document to WP#27 (PAI AI Data Center Deployment Guide). Where WP#26 fixed the SEU1 and SEU2 RTL engine templates and their physical isolation at the register-transfer level, this document fixes how an EAI instance is actually installed and validated in the field: outdoor environmental requirements, CH11 independent-power field implementation, and the acceptance test procedure for Dual E2E physical isolation.</w:t>
      </w:r>
    </w:p>
    <w:p>
      <w:pPr>
        <w:spacing w:after="140"/>
      </w:pPr>
      <w:r>
        <w:t xml:space="preserve">Scope includes: outdoor installation requirements (Section 4); CH11 independent-power field implementation (Section 5); Dual E2E field validation procedure (Section 6); and EAI field power specification (Section 7).</w:t>
      </w:r>
    </w:p>
    <w:p>
      <w:pPr>
        <w:spacing w:after="140"/>
      </w:pPr>
      <w:r>
        <w:t xml:space="preserve">Out of scope: the SEU1/SEU2 RTL engines themselves (WP#26, unchanged here); PAI/AI Data Center deployment (WP#27); O8/D12/I20 geographic placement (deferred per WP#25 R1-4 to a separate forthcoming document).</w:t>
      </w:r>
    </w:p>
    <w:p>
      <w:pPr>
        <w:pStyle w:val="Heading1"/>
        <w:spacing w:after="120" w:before="260"/>
      </w:pPr>
      <w:r>
        <w:t xml:space="preserve">2. Positioning in the Document Sequence</w:t>
      </w:r>
    </w:p>
    <w:p>
      <w:pPr>
        <w:spacing w:after="140"/>
      </w:pPr>
      <w:r>
        <w:t xml:space="preserve">WP#28 was proposed at WP#24 §11.1 and restated at WP#25 R1 Table C-2 and WP#26 Table 2-1/11-1. This document, together with WP#27, completes that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102"/>
        <w:gridCol w:w="4605"/>
        <w:gridCol w:w="1802"/>
      </w:tblGrid>
      <w:tr>
        <w:trPr>
          <w:tblHeader/>
        </w:trPr>
        <w:tc>
          <w:tcPr>
            <w:tcW w:type="dxa" w:w="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6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WP#28</w:t>
      </w:r>
    </w:p>
    <w:p>
      <w:pPr>
        <w:pStyle w:val="Heading1"/>
        <w:spacing w:after="120" w:before="260"/>
      </w:pPr>
      <w:r>
        <w:t xml:space="preserve">3. Deployment Context — EAI at the E2E Center</w:t>
      </w:r>
    </w:p>
    <w:p>
      <w:pPr>
        <w:spacing w:after="140"/>
      </w:pPr>
      <w:r>
        <w:t xml:space="preserve">Cognition Cube HW Design v1.1 §1.1: EAI is deployed at the E2E Center (city/regional scale, O8/D12 nodes), running a 16-channel Dual E2E Cognition Cube (perception + control) — structurally distinct from PAI’s 8-channel single-E2E deployment at the AI Data Center (WP#27). Per WP#25 R1 §B.13.1, an EAI instance is exactly the instance for which Core Stack Layer 1 (SEU2-A) is active; this is the control-activation criterion that makes it EAI rather than PAI, and it is why this document’s field requirements — outdoor rating, CH11, Dual E2E isolation — have no PAI counterpart.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3"/>
        <w:gridCol w:w="3477"/>
        <w:gridCol w:w="4100"/>
      </w:tblGrid>
      <w:tr>
        <w:trPr>
          <w:tblHeader/>
        </w:trPr>
        <w:tc>
          <w:tcPr>
            <w:tcW w:type="dxa" w:w="17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Design Item</w:t>
            </w:r>
          </w:p>
        </w:tc>
        <w:tc>
          <w:tcPr>
            <w:tcW w:type="dxa" w:w="34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 (E2E Center)</w:t>
            </w:r>
          </w:p>
        </w:tc>
        <w:tc>
          <w:tcPr>
            <w:tcW w:type="dxa" w:w="4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 (AI Data Center, for contrast — see WP#27)</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count</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16-channel Dual E2E (SEU1 + SEU2)</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8-channel single E2E (SEU1 only)</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Override</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independent power + relay required</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applied</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(outdoor pole installation)</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Deployment pattern</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 PAI-N concurrent</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M-Axis use</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Mission experience, autonomy growth</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Interpretation tags, policy updates</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supply</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PoE++ or independent DC + UPS</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w:t>
            </w:r>
          </w:p>
        </w:tc>
      </w:tr>
    </w:tbl>
    <w:p>
      <w:pPr>
        <w:spacing w:after="80"/>
      </w:pPr>
    </w:p>
    <w:p>
      <w:pPr>
        <w:spacing w:after="160" w:before="40"/>
        <w:jc w:val="center"/>
      </w:pPr>
      <w:r>
        <w:rPr>
          <w:i/>
          <w:iCs/>
          <w:color w:val="595959"/>
          <w:sz w:val="18"/>
          <w:szCs w:val="18"/>
        </w:rPr>
        <w:t xml:space="preserve">Table 3-1. EAI vs PAI Design Differences (restated from Cognition Cube HW Design v1.1 Table 7-1)</w:t>
      </w:r>
    </w:p>
    <w:p>
      <w:pPr>
        <w:pStyle w:val="Heading1"/>
        <w:spacing w:after="120" w:before="260"/>
      </w:pPr>
      <w:r>
        <w:t xml:space="preserve">4. Outdoor Installation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0"/>
        <w:gridCol w:w="8230"/>
      </w:tblGrid>
      <w:tr>
        <w:trPr>
          <w:tblHeader/>
        </w:trPr>
        <w:tc>
          <w:tcPr>
            <w:tcW w:type="dxa" w:w="11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2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(dust/splash protection),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Operating temperature</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−10°C to +60°C,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 sized for outdoor pole installation,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Connector policy</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factory-fused MOCT ribbon throughout, unchanged from the indoor/DC case (WP#24 §1.4, WP#27 §5); outdoor length does not introduce field connectors</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Mounting pattern</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 — one EAI instance per physical platform, per Table 3-1, distinct from PAI’s shared-hub multi-instance pattern (WP#27 §4)</w:t>
            </w:r>
          </w:p>
        </w:tc>
      </w:tr>
    </w:tbl>
    <w:p>
      <w:pPr>
        <w:spacing w:after="80"/>
      </w:pPr>
    </w:p>
    <w:p>
      <w:pPr>
        <w:spacing w:after="160" w:before="40"/>
        <w:jc w:val="center"/>
      </w:pPr>
      <w:r>
        <w:rPr>
          <w:i/>
          <w:iCs/>
          <w:color w:val="595959"/>
          <w:sz w:val="18"/>
          <w:szCs w:val="18"/>
        </w:rPr>
        <w:t xml:space="preserve">Table 4-1. Outdoor Installation Requirements</w:t>
      </w:r>
    </w:p>
    <w:p>
      <w:pPr>
        <w:spacing w:after="140"/>
      </w:pPr>
      <w:r>
        <w:rPr>
          <w:b/>
          <w:bCs/>
        </w:rPr>
        <w:t xml:space="preserve">Reference — IP54 basis (IEC 60529 / EN 60529):</w:t>
      </w:r>
      <w:r>
        <w:rPr>
          <w:b/>
          <w:bCs/>
        </w:rPr>
        <w:t xml:space="preserve"> </w:t>
      </w:r>
      <w:r>
        <w:rPr>
          <w:i/>
          <w:iCs/>
        </w:rPr>
        <w:t xml:space="preserve">IP54 = first digit 5 (dust-protected: no harmful dust deposit, not fully dust-tight) + second digit 4 (protected against water splashing from any direction). Per IEC 60529 and general industry practice, IP54 covers indoor and sheltered outdoor use; it is not rated for direct water jets, pressure washing, or sustained heavy rain. Fully exposed outdoor pole installations (no canopy/shelter) more commonly specify IP65 (dust-tight + low-pressure water jets) or IP66 (dust-tight + powerful water jets) in comparable telecom/industrial outdoor equipment.</w:t>
      </w:r>
    </w:p>
    <w:p>
      <w:pPr>
        <w:spacing w:after="140"/>
      </w:pPr>
      <w:r>
        <w:rPr>
          <w:b/>
          <w:bCs/>
        </w:rPr>
        <w:t xml:space="preserve">Open — OI-28-01:</w:t>
      </w:r>
      <w:r>
        <w:rPr>
          <w:b/>
          <w:bCs/>
        </w:rPr>
        <w:t xml:space="preserve"> </w:t>
      </w:r>
      <w:r>
        <w:rPr>
          <w:i/>
          <w:iCs/>
        </w:rPr>
        <w:t xml:space="preserve">The</w:t>
      </w:r>
      <w:r>
        <w:rPr>
          <w:i/>
          <w:iCs/>
        </w:rPr>
        <w:t xml:space="preserve"> </w:t>
      </w:r>
      <w:r>
        <w:rPr>
          <w:b/>
          <w:bCs/>
        </w:rPr>
        <w:t xml:space="preserve">*“</w:t>
      </w:r>
      <w:r>
        <w:rPr>
          <w:b/>
          <w:bCs/>
        </w:rPr>
        <w:t xml:space="preserve">**+</w:t>
      </w:r>
      <w:r>
        <w:rPr>
          <w:b/>
          <w:bCs/>
        </w:rPr>
        <w:t xml:space="preserve">**”</w:t>
      </w:r>
      <w:r>
        <w:rPr>
          <w:b/>
          <w:bCs/>
        </w:rPr>
        <w:t xml:space="preserve"> </w:t>
      </w:r>
      <w:r>
        <w:t xml:space="preserve">in IP54+ is confirmed by the source spec (Cognition Cube HW Design v1.1 Table 7-1) as a floor, not a ceiling — but given the IEC 60529 distinction above, a fully exposed pole-mounted EAI unit (Table 4-1, no canopy) is a IP65/IP66 use case by common industry practice, not a IP54 one. This is flagged as a technical caution, not a change to the spec: if the deployment is truly fully exposed (not sheltered), IP54 alone is likely under-specified. Final rating remains 창호</w:t>
      </w:r>
      <w:r>
        <w:rPr>
          <w:b/>
          <w:bCs/>
        </w:rPr>
        <w:t xml:space="preserve">**’</w:t>
      </w:r>
      <w:r>
        <w:rPr>
          <w:i/>
          <w:iCs/>
        </w:rPr>
        <w:t xml:space="preserve">*s site-specific decision.</w:t>
      </w:r>
    </w:p>
    <w:p>
      <w:pPr>
        <w:spacing w:after="140"/>
      </w:pPr>
      <w:r>
        <w:rPr>
          <w:b/>
          <w:bCs/>
        </w:rPr>
        <w:t xml:space="preserve">Open — OI-28-02:</w:t>
      </w:r>
      <w:r>
        <w:rPr>
          <w:b/>
          <w:bCs/>
        </w:rPr>
        <w:t xml:space="preserve"> </w:t>
      </w:r>
      <w:r>
        <w:rPr>
          <w:i/>
          <w:iCs/>
        </w:rPr>
        <w:t xml:space="preserve">Pole/mounting mechanical hardware (bracket load rating, vibration tolerance for a MOCT ribbon under mounting stress) is not specified — this is mechanical engineering scope, not Cognition Cube architecture scope, and is out of scope for this document as an architecture record.</w:t>
      </w:r>
    </w:p>
    <w:p>
      <w:pPr>
        <w:pStyle w:val="Heading1"/>
        <w:spacing w:after="120" w:before="260"/>
      </w:pPr>
      <w:r>
        <w:t xml:space="preserve">5. CH11 Independent-Power Field Implementation</w:t>
      </w:r>
    </w:p>
    <w:p>
      <w:pPr>
        <w:spacing w:after="140"/>
      </w:pPr>
      <w:r>
        <w:t xml:space="preserve">CH11 (Safety Override) is structurally isolated from the rest of the EAI’s channels: it shares no register, bus, or logic path with SEU synchronization of any kind (WP#24 §5; WP#25 R1 Table B-3, “Excluded” classification). This section fixes the field-hardware implementation of that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5"/>
        <w:gridCol w:w="8145"/>
      </w:tblGrid>
      <w:tr>
        <w:trPr>
          <w:tblHeader/>
        </w:trPr>
        <w:tc>
          <w:tcPr>
            <w:tcW w:type="dxa" w:w="121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Component</w:t>
            </w:r>
          </w:p>
        </w:tc>
        <w:tc>
          <w:tcPr>
            <w:tcW w:type="dxa" w:w="81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type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EN 50205 Type A/B — ≥1 NO (load path) + ≥1 NC (monitor path), mechanically linked so both cannot close under a single fault (Cognition Cube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power source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Supercapacitor bank, sized as C ≥ (I×t)/ΔV against CH11 controller + relay-hold current (Cognition Cube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Self-sustain duration</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≥30 s independent of main power, per WP#24 Table 5-2 and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 physically separate from E2E #1’s Main PSU (WP#24 Table 5-2)</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propagation guarantee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(control plane, carrying CH11) failure is structurally independent of E2E #1 (perception plane) failure and vice versa (WP#24 Table 5-2; WP#26 §6.1)</w:t>
            </w:r>
          </w:p>
        </w:tc>
      </w:tr>
    </w:tbl>
    <w:p>
      <w:pPr>
        <w:spacing w:after="80"/>
      </w:pPr>
    </w:p>
    <w:p>
      <w:pPr>
        <w:spacing w:after="160" w:before="40"/>
        <w:jc w:val="center"/>
      </w:pPr>
      <w:r>
        <w:rPr>
          <w:i/>
          <w:iCs/>
          <w:color w:val="595959"/>
          <w:sz w:val="18"/>
          <w:szCs w:val="18"/>
        </w:rPr>
        <w:t xml:space="preserve">Table 5-1. CH11 Field Power Implementation</w:t>
      </w:r>
    </w:p>
    <w:p>
      <w:pPr>
        <w:spacing w:after="140"/>
      </w:pPr>
      <w:r>
        <w:t xml:space="preserve">This field requirement is the physical-layer counterpart to WP#26’s OI-06a resolution (m_axis_layer_lock_arbiter.sv): that module arbitrates AAI/AsAI access to M-Axis at the RTL level, but explicitly does not touch CH11, which — per WP#24 §5 — shares no register, bus, or logic path with anything else in the system, by design, at both the RTL layer (WP#26) and the field-hardware layer (this section).</w:t>
      </w:r>
    </w:p>
    <w:p>
      <w:pPr>
        <w:pStyle w:val="Heading2"/>
        <w:spacing w:after="120" w:before="260"/>
      </w:pPr>
      <w:r>
        <w:t xml:space="preserve">5.1 Reference Relay Options — EN 50205</w:t>
      </w:r>
    </w:p>
    <w:p>
      <w:pPr>
        <w:spacing w:after="140"/>
      </w:pPr>
      <w:r>
        <w:t xml:space="preserve">The specification requires a force-guided relay certified to EN 50205 Type A or Type B; it does not mandate a vendor. The table below lists commercially available reference options meeting that certification, to make the requirement concrete without narrowing it to a single sole-sourced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839"/>
        <w:gridCol w:w="2582"/>
        <w:gridCol w:w="4325"/>
      </w:tblGrid>
      <w:tr>
        <w:trPr>
          <w:tblHeader/>
        </w:trPr>
        <w:tc>
          <w:tcPr>
            <w:tcW w:type="dxa" w:w="16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Reference Part</w:t>
            </w:r>
          </w:p>
        </w:tc>
        <w:tc>
          <w:tcPr>
            <w:tcW w:type="dxa" w:w="83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 50205 Type</w:t>
            </w:r>
          </w:p>
        </w:tc>
        <w:tc>
          <w:tcPr>
            <w:tcW w:type="dxa" w:w="25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Contact Rating</w:t>
            </w:r>
          </w:p>
        </w:tc>
        <w:tc>
          <w:tcPr>
            <w:tcW w:type="dxa" w:w="43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Finder 50 Series</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B</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 to 8A, 250VAC</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PCB relay, 2 CO contacts, compact form factor</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Schrack/TE SR6 Series</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A</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8A, 250VAC (3NO+3NC / 4NO+2NC / 5NO+1NC)</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Reinforced inter-contact insulation; industrial safety-relay family</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Weidmuller RIDERSERIES FG</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B</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6A, 2 CO</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Miniature industrial relay for signal monitoring in safety circuits</w:t>
            </w:r>
          </w:p>
        </w:tc>
      </w:tr>
    </w:tbl>
    <w:p>
      <w:pPr>
        <w:spacing w:after="80"/>
      </w:pPr>
    </w:p>
    <w:p>
      <w:pPr>
        <w:spacing w:after="160" w:before="40"/>
        <w:jc w:val="center"/>
      </w:pPr>
      <w:r>
        <w:rPr>
          <w:i/>
          <w:iCs/>
          <w:color w:val="595959"/>
          <w:sz w:val="18"/>
          <w:szCs w:val="18"/>
        </w:rPr>
        <w:t xml:space="preserve">Table 5-2. EN 50205 Reference Relay Options (commercially available, non-exclusive)</w:t>
      </w:r>
    </w:p>
    <w:p>
      <w:pPr>
        <w:spacing w:after="140"/>
      </w:pPr>
      <w:r>
        <w:rPr>
          <w:b/>
          <w:bCs/>
        </w:rPr>
        <w:t xml:space="preserve">Open — OI-28-05:</w:t>
      </w:r>
      <w:r>
        <w:rPr>
          <w:b/>
          <w:bCs/>
        </w:rPr>
        <w:t xml:space="preserve"> </w:t>
      </w:r>
      <w:r>
        <w:rPr>
          <w:i/>
          <w:iCs/>
        </w:rPr>
        <w:t xml:space="preserve">Final relay selection (specific part number, contact rating margin against actual CH11 controller/relay-hold current, and Type A vs Type B choice) is not made here — the three options above are presented as a shortlist meeting the certification requirement, not as the selected part. Decision owner: 창호 / hardware procurement.</w:t>
      </w:r>
    </w:p>
    <w:p>
      <w:pPr>
        <w:pStyle w:val="Heading2"/>
        <w:spacing w:after="120" w:before="260"/>
      </w:pPr>
      <w:r>
        <w:t xml:space="preserve">5.2 Supercapacitor Sizing — Worked Example</w:t>
      </w:r>
    </w:p>
    <w:p>
      <w:pPr>
        <w:spacing w:after="140"/>
      </w:pPr>
      <w:r>
        <w:t xml:space="preserve">Cognition Cube Structure Diagram §5 fixes the sizing formula (C ≥ (I×t)/ΔV) but not the input values, which depend on the actual CH11 controller and relay-coil current draw — not yet fixed in any Velsanet document. The worked example below applies the formula using illustrative industry-typical values, to make the calculation concrete and reusable once real current figures are available; the resulting capacitance is explicitly not a spec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8"/>
        <w:gridCol w:w="8242"/>
      </w:tblGrid>
      <w:tr>
        <w:trPr>
          <w:tblHeader/>
        </w:trPr>
        <w:tc>
          <w:tcPr>
            <w:tcW w:type="dxa" w:w="11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Step</w:t>
            </w:r>
          </w:p>
        </w:tc>
        <w:tc>
          <w:tcPr>
            <w:tcW w:type="dxa" w:w="82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Illustrative Calculation</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Assumed load</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 ≈ 20W (illustrative — CH11 controller + relay coil hold current at typical 24V industrial control levels; NOT a Velsanet-confirmed figure)</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Target hold-up time</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 = 30s (fixed — WP#24 Table 5-2, Structure Diagram §5)</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Voltage window</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24V nominal, 20% allowable droop → V_start = 24V, V_end = 19.2V (standard industrial-backup design practice)</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Energy required</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 P × t = 20W × 30s = 600J</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Capacitance</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2E / (V_start² − V_end²) = 1200 / (576 − 368.64) = 1200 / 207.36 ≈ 5.8F minimum, before tolerance margin</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With margin</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Applying a typical ±20% cell-tolerance margin (standard supercapacitor datasheet practice): C ≈ 7F class bank</w:t>
            </w:r>
          </w:p>
        </w:tc>
      </w:tr>
    </w:tbl>
    <w:p>
      <w:pPr>
        <w:spacing w:after="80"/>
      </w:pPr>
    </w:p>
    <w:p>
      <w:pPr>
        <w:spacing w:after="160" w:before="40"/>
        <w:jc w:val="center"/>
      </w:pPr>
      <w:r>
        <w:rPr>
          <w:i/>
          <w:iCs/>
          <w:color w:val="595959"/>
          <w:sz w:val="18"/>
          <w:szCs w:val="18"/>
        </w:rPr>
        <w:t xml:space="preserve">Table 5-3. Illustrative Supercapacitor Sizing Calculation (formula per Structure Diagram §5; example values only)</w:t>
      </w:r>
    </w:p>
    <w:p>
      <w:pPr>
        <w:spacing w:after="140"/>
      </w:pPr>
      <w:r>
        <w:rPr>
          <w:b/>
          <w:bCs/>
        </w:rPr>
        <w:t xml:space="preserve">Reference — Reference power-management ICs:</w:t>
      </w:r>
      <w:r>
        <w:rPr>
          <w:b/>
          <w:bCs/>
        </w:rPr>
        <w:t xml:space="preserve"> </w:t>
      </w:r>
      <w:r>
        <w:rPr>
          <w:i/>
          <w:iCs/>
        </w:rPr>
        <w:t xml:space="preserve">For implementation reference only: Analog Devices LTC4041 (supercapacitor backup power management, step-down charging + step-up backup boost, up to 2.5A) and LTC3226 (2-cell supercapacitor charger with backup, auto cell balancing) are commercially available parts designed specifically for this class of supercapacitor-backup circuit, cited here as a starting point for the CH11 power path design, not as a selected component.</w:t>
      </w:r>
    </w:p>
    <w:p>
      <w:pPr>
        <w:spacing w:after="140"/>
      </w:pPr>
      <w:r>
        <w:rPr>
          <w:b/>
          <w:bCs/>
        </w:rPr>
        <w:t xml:space="preserve">Open — OI-28-03:</w:t>
      </w:r>
      <w:r>
        <w:rPr>
          <w:b/>
          <w:bCs/>
        </w:rPr>
        <w:t xml:space="preserve"> </w:t>
      </w:r>
      <w:r>
        <w:rPr>
          <w:i/>
          <w:iCs/>
        </w:rPr>
        <w:t xml:space="preserve">The actual CH11 controller + relay-hold current draw — the real input to the formula above — is not yet measured or specified in any Velsanet document. Table 5-3</w:t>
      </w:r>
      <w:r>
        <w:rPr>
          <w:b/>
          <w:bCs/>
        </w:rPr>
        <w:t xml:space="preserve">*’</w:t>
      </w:r>
      <w:r>
        <w:rPr>
          <w:i/>
          <w:iCs/>
        </w:rPr>
        <w:t xml:space="preserve">*s ≈7F figure is illustrative only and will change once that current is known. Field-replaceable-unit policy (replacement interval, end-of-life detection, field test procedure to verify ≥30s self-sustain without full discharge) is also not specified. Decision owner: 창호 / hardware validation.</w:t>
      </w:r>
    </w:p>
    <w:p>
      <w:pPr>
        <w:pStyle w:val="Heading1"/>
        <w:spacing w:after="120" w:before="260"/>
      </w:pPr>
      <w:r>
        <w:t xml:space="preserve">6. Dual E2E Field Validation</w:t>
      </w:r>
    </w:p>
    <w:p>
      <w:pPr>
        <w:spacing w:after="140"/>
      </w:pPr>
      <w:r>
        <w:t xml:space="preserve">This section defines the field acceptance test for the physical isolation WP#24 Table 5-2 requires and WP#26 §6.1 assumes at the RTL level. Passing this procedure is what confirms, for a specific installed unit, that the architecture’s isolation guarantee actually holds in that unit’s hardware — not just in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2"/>
        <w:gridCol w:w="4075"/>
        <w:gridCol w:w="4553"/>
      </w:tblGrid>
      <w:tr>
        <w:trPr>
          <w:tblHeader/>
        </w:trPr>
        <w:tc>
          <w:tcPr>
            <w:tcW w:type="dxa" w:w="73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Validation Item</w:t>
            </w:r>
          </w:p>
        </w:tc>
        <w:tc>
          <w:tcPr>
            <w:tcW w:type="dxa" w:w="407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Procedure</w:t>
            </w:r>
          </w:p>
        </w:tc>
        <w:tc>
          <w:tcPr>
            <w:tcW w:type="dxa" w:w="45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Criterion</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 allocation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Verify E2E #1 traffic confined to Cores #1–24 (ribbon upper group) and E2E #2 to Cores #25–48 (lower group), per WP#24 Table 5-2</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Zero cross-talk between groups, measured at the DEMUX Engine output (WP#26 §7)</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Disconnect Main PSU; verify E2E #2 (Backup UPS + supercapacitor) remains powered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operation continues uninterrupted; CH11 self-sustain ≥30s confirmed (Section 5)</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Clock source isolation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Inject fault on PTP master clock (E2E #1 source); verify E2E #2’s independent Crystal OSC is unaffected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timing reference unaffected, consistent with WP#25 R1 Table B-4 (“independent oscillator… itself part of the fault-isolation guarantee”)</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propagation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 an E2E #1 (perception plane) fault; verify no E2E #2 (control plane) fault is observed, and vice versa</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ABORTED has no effect on SEU2 assembly state and vice versa, per WP#25 R1 §B.11.2 / §B.8</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override path</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Trigger CH11 Safety Override with E2E #2 main path simulated-faulted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opens load path via independent power alone, per Section 5 Table 5-1</w:t>
            </w:r>
          </w:p>
        </w:tc>
      </w:tr>
    </w:tbl>
    <w:p>
      <w:pPr>
        <w:spacing w:after="80"/>
      </w:pPr>
    </w:p>
    <w:p>
      <w:pPr>
        <w:spacing w:after="160" w:before="40"/>
        <w:jc w:val="center"/>
      </w:pPr>
      <w:r>
        <w:rPr>
          <w:i/>
          <w:iCs/>
          <w:color w:val="595959"/>
          <w:sz w:val="18"/>
          <w:szCs w:val="18"/>
        </w:rPr>
        <w:t xml:space="preserve">Table 6-1. Dual E2E Field Validation Procedure</w:t>
      </w:r>
    </w:p>
    <w:p>
      <w:pPr>
        <w:spacing w:after="140"/>
      </w:pPr>
      <w:r>
        <w:t xml:space="preserve">This procedure is the field-hardware analog of WP#26 Table C-1 (Cross-Reference to Hardware Validation Strategy, WP#25 R1), which specifies the same independence guarantees at the RTL/simulation level. Table 6-1 above is what confirms those simulated guarantees against a physically installed unit, not a substitute for the RTL-level validation WP#26 already requires.</w:t>
      </w:r>
    </w:p>
    <w:p>
      <w:pPr>
        <w:spacing w:after="140"/>
      </w:pPr>
      <w:r>
        <w:rPr>
          <w:b/>
          <w:bCs/>
        </w:rPr>
        <w:t xml:space="preserve">Open — OI-28-04:</w:t>
      </w:r>
      <w:r>
        <w:rPr>
          <w:b/>
          <w:bCs/>
        </w:rPr>
        <w:t xml:space="preserve"> </w:t>
      </w:r>
      <w:r>
        <w:rPr>
          <w:i/>
          <w:iCs/>
        </w:rPr>
        <w:t xml:space="preserve">Test equipment and exact fault-injection method for each row of Table 6-1 (e.g., how a PTP master fault is actually injected in the field vs. in simulation) are not specified — this is field-test-procedure detail, a step below architecture-record scope, and is proposed as a candidate for a future field validation runbook rather than resolved here.</w:t>
      </w:r>
    </w:p>
    <w:p>
      <w:pPr>
        <w:pStyle w:val="Heading1"/>
        <w:spacing w:after="120" w:before="260"/>
      </w:pPr>
      <w:r>
        <w:t xml:space="preserve">7. EAI Field Power Specification</w:t>
      </w:r>
    </w:p>
    <w:p>
      <w:pPr>
        <w:spacing w:after="140"/>
      </w:pPr>
      <w:r>
        <w:t xml:space="preserve">Per Table 3-1, EAI draws PoE++ or independent DC + UPS — a deliberate contrast to PAI’s data-center-PDU-only requirement (WP#27 §6), reflecting that a field-deployed EAI instance has no facility-level power redundancy to rely on and must carry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7981"/>
      </w:tblGrid>
      <w:tr>
        <w:trPr>
          <w:tblHeader/>
        </w:trPr>
        <w:tc>
          <w:tcPr>
            <w:tcW w:type="dxa" w:w="13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798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power (E2E #1)</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Main PSU (WP#24 Table 5-2) — PoE++ or independent DC, per Table 3-1</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Backup/independent power (E2E #2)</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(WP#24 Table 5-2; Section 5 above)</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 (Section 4) — power components share the same outdoor rating as the rest of the unit</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between E2E #1 and E2E #2, unlike PAI where no such isolation is needed between instances (WP#27 §6) — here the isolation is between planes within one instance, not between instances</w:t>
            </w:r>
          </w:p>
        </w:tc>
      </w:tr>
    </w:tbl>
    <w:p>
      <w:pPr>
        <w:spacing w:after="80"/>
      </w:pPr>
    </w:p>
    <w:p>
      <w:pPr>
        <w:spacing w:after="160" w:before="40"/>
        <w:jc w:val="center"/>
      </w:pPr>
      <w:r>
        <w:rPr>
          <w:i/>
          <w:iCs/>
          <w:color w:val="595959"/>
          <w:sz w:val="18"/>
          <w:szCs w:val="18"/>
        </w:rPr>
        <w:t xml:space="preserve">Table 7-1. EAI Field Power Specification</w:t>
      </w:r>
    </w:p>
    <w:p>
      <w:pPr>
        <w:pStyle w:val="Heading1"/>
        <w:spacing w:after="120" w:before="260"/>
      </w:pPr>
      <w:r>
        <w:t xml:space="preserve">8. Conclusion and Open Items</w:t>
      </w:r>
    </w:p>
    <w:p>
      <w:pPr>
        <w:spacing w:after="140"/>
      </w:pPr>
      <w:r>
        <w:t xml:space="preserve">WP#28 completes the EAI-side deployment guide proposed at WP#24 §11.1, alongside its companion WP#27. Outdoor installation requirements are fixed at the environmental and physical level (Section 4), CH11 independent power is specified down to relay type and supercapacitor sizing basis (Section 5), a Dual E2E field acceptance test procedure is defined against the isolation guarantees WP#24/#25/#26 already require at the specification and RTL levels (Section 6), and EAI field power is fixed as carrying its own redundancy rather than relying on facility power (Section 7).</w:t>
      </w:r>
    </w:p>
    <w:p>
      <w:pPr>
        <w:spacing w:after="140"/>
      </w:pPr>
      <w:r>
        <w:t xml:space="preserve">R2 adds external, industry-standard reference values and reference products (IEC 60529 IP-rating basis, EN 50205-certified relay shortlist, a worked supercapacitor sizing example) — all clearly distinguished from Velsanet-specific decisions still pending. No Velsanet-specific number was invented in this revision: real current draw, final relay selection, and final IP rating remain open and are owned by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OI-28-01</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Exact IP rating beyond the IP54+ floor — IEC 60529 basis now cited (Section 4); IP65/66 flagged as the likely fit for fully exposed installs; final rating still site-specific</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OI-28-02</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Pole/mounting mechanical hardware specification — mechanical engineering scope, not Cognition Cube architecture scope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OI-28-03</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Actual CH11 controller + relay-hold current draw — worked sizing methodology now given (Section 5.2); real input current still unmeasured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OI-28-04</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Exact test equipment and fault-injection method for each Dual E2E field validation item — candidate for a future field validation runbook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OI-28-05</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Final EN 50205 relay part selection — shortlist of 3 reference options now given (Section 5.1); final part/rating margin still pending</w:t>
            </w:r>
          </w:p>
        </w:tc>
      </w:tr>
    </w:tbl>
    <w:p>
      <w:pPr>
        <w:spacing w:after="80"/>
      </w:pPr>
    </w:p>
    <w:p>
      <w:pPr>
        <w:spacing w:after="160" w:before="40"/>
        <w:jc w:val="center"/>
      </w:pPr>
      <w:r>
        <w:rPr>
          <w:i/>
          <w:iCs/>
          <w:color w:val="595959"/>
          <w:sz w:val="18"/>
          <w:szCs w:val="18"/>
        </w:rPr>
        <w:t xml:space="preserve">Table 8-1. WP#28 Open Items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
        <w:gridCol w:w="2016"/>
        <w:gridCol w:w="4416"/>
        <w:gridCol w:w="2112"/>
      </w:tblGrid>
      <w:tr>
        <w:trPr>
          <w:tblHeader/>
        </w:trPr>
        <w:tc>
          <w:tcPr>
            <w:tcW w:type="dxa" w:w="8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0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4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1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 — 3 open items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 — 4 open items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8-2. Future Document Proposals — Updated at WP#28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2026-07-12T05:33:39.616Z</dcterms:created>
  <dcterms:modified xsi:type="dcterms:W3CDTF">2026-07-12T05:33:39.616Z</dcterms:modified>
</cp:coreProperties>
</file>

<file path=docProps/custom.xml><?xml version="1.0" encoding="utf-8"?>
<Properties xmlns="http://schemas.openxmlformats.org/officeDocument/2006/custom-properties" xmlns:vt="http://schemas.openxmlformats.org/officeDocument/2006/docPropsVTypes"/>
</file>