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color w:val="1A1A1A"/>
          <w:sz w:val="36"/>
          <w:szCs w:val="36"/>
        </w:rPr>
        <w:t xml:space="preserve">Velsanet Architecture Update Log</w:t>
      </w:r>
    </w:p>
    <w:p>
      <w:r>
        <w:rPr>
          <w:rFonts w:ascii="Arial" w:cs="Arial" w:eastAsia="Arial" w:hAnsi="Arial"/>
          <w:i/>
          <w:iCs/>
          <w:color w:val="888888"/>
          <w:sz w:val="20"/>
          <w:szCs w:val="20"/>
        </w:rPr>
        <w:t xml:space="preserve">Pending revisions — to be applied at next White Paper revision cycle</w:t>
      </w:r>
    </w:p>
    <w:p>
      <w:r>
        <w:rPr>
          <w:rFonts w:ascii="Arial" w:cs="Arial" w:eastAsia="Arial" w:hAnsi="Arial"/>
          <w:color w:val="888888"/>
          <w:sz w:val="18"/>
          <w:szCs w:val="18"/>
        </w:rPr>
        <w:t xml:space="preserve">Status: ACCUMULATING   |   Last updated: 2026.03.09   |   Items: 3</w:t>
      </w:r>
    </w:p>
    <w:p>
      <w:r>
        <w:t xml:space="preserve"/>
      </w:r>
    </w:p>
    <w:p>
      <w:pPr>
        <w:pBdr>
          <w:bottom w:val="single" w:color="1A6B8A" w:sz="8" w:space="1"/>
        </w:pBdr>
      </w:pPr>
      <w:r>
        <w:t xml:space="preserve"/>
      </w:r>
    </w:p>
    <w:p>
      <w:r>
        <w:t xml:space="preserve"/>
      </w:r>
    </w:p>
    <w:p>
      <w:r>
        <w:rPr>
          <w:rFonts w:ascii="Arial" w:cs="Arial" w:eastAsia="Arial" w:hAnsi="Arial"/>
          <w:b/>
          <w:bCs/>
          <w:color w:val="1A6B8A"/>
          <w:sz w:val="26"/>
          <w:szCs w:val="26"/>
        </w:rPr>
        <w:t xml:space="preserve">UPDATE #001</w:t>
      </w:r>
      <w:r>
        <w:rPr>
          <w:rFonts w:ascii="Arial" w:cs="Arial" w:eastAsia="Arial" w:hAnsi="Arial"/>
          <w:color w:val="888888"/>
          <w:sz w:val="20"/>
          <w:szCs w:val="20"/>
        </w:rPr>
        <w:t xml:space="preserve">   2026.03.09</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b/>
                <w:bCs/>
                <w:color w:val="1A6B8A"/>
                <w:sz w:val="18"/>
                <w:szCs w:val="18"/>
              </w:rPr>
              <w:t xml:space="preserve">Target WP</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White Paper #01 — Network White Paper v2.0</w:t>
            </w:r>
          </w:p>
        </w:tc>
      </w:tr>
      <w:tr>
        <w:tc>
          <w:tcPr>
            <w:tcW w:type="dxa" w:w="20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b/>
                <w:bCs/>
                <w:color w:val="1A6B8A"/>
                <w:sz w:val="18"/>
                <w:szCs w:val="18"/>
              </w:rPr>
              <w:t xml:space="preserve">Section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Chapter 3 — Node &amp; Link Structure</w:t>
            </w:r>
          </w:p>
        </w:tc>
      </w:tr>
      <w:tr>
        <w:tc>
          <w:tcPr>
            <w:tcW w:type="dxa" w:w="20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b/>
                <w:bCs/>
                <w:color w:val="1A6B8A"/>
                <w:sz w:val="18"/>
                <w:szCs w:val="18"/>
              </w:rPr>
              <w:t xml:space="preserve">Type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Formal Definition (Text / Formula)</w:t>
            </w:r>
          </w:p>
        </w:tc>
      </w:tr>
      <w:tr>
        <w:tc>
          <w:tcPr>
            <w:tcW w:type="dxa" w:w="20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b/>
                <w:bCs/>
                <w:color w:val="1A6B8A"/>
                <w:sz w:val="18"/>
                <w:szCs w:val="18"/>
              </w:rPr>
              <w:t xml:space="preserve">Status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PENDING</w:t>
            </w:r>
          </w:p>
        </w:tc>
      </w:tr>
    </w:tbl>
    <w:p>
      <w:r>
        <w:t xml:space="preserve"/>
      </w:r>
    </w:p>
    <w:p>
      <w:r>
        <w:rPr>
          <w:rFonts w:ascii="Arial" w:cs="Arial" w:eastAsia="Arial" w:hAnsi="Arial"/>
          <w:b/>
          <w:bCs/>
          <w:color w:val="1A1A1A"/>
          <w:sz w:val="22"/>
          <w:szCs w:val="22"/>
        </w:rPr>
        <w:t xml:space="preserve">Node_5 Convergence Rule — Formal Definition</w:t>
      </w:r>
    </w:p>
    <w:p>
      <w:r>
        <w:t xml:space="preserve"/>
      </w:r>
    </w:p>
    <w:p>
      <w:pPr>
        <w:spacing w:line="320"/>
      </w:pPr>
      <w:r>
        <w:rPr>
          <w:rFonts w:ascii="Arial" w:cs="Arial" w:eastAsia="Arial" w:hAnsi="Arial"/>
          <w:color w:val="555555"/>
          <w:sz w:val="19"/>
          <w:szCs w:val="19"/>
        </w:rPr>
        <w:t xml:space="preserve">WP01 Figure 3.1 expresses the rhizome + Platonic solid structure visually. The convergence rule from T4 rhizome into H6 is depicted in diagram form only. This update provides the canonical text and numeric definition to be added to WP01.</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b/>
                <w:bCs/>
                <w:color w:val="555555"/>
                <w:sz w:val="18"/>
                <w:szCs w:val="18"/>
              </w:rPr>
              <w:t xml:space="preserve">Node_5 optical cores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24  (revised from 20 — aligned to ribbon stack structure)</w:t>
            </w:r>
          </w:p>
        </w:tc>
      </w:tr>
      <w:tr>
        <w:tc>
          <w:tcPr>
            <w:tcW w:type="dxa" w:w="28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b/>
                <w:bCs/>
                <w:color w:val="555555"/>
                <w:sz w:val="18"/>
                <w:szCs w:val="18"/>
              </w:rPr>
              <w:t xml:space="preserve">Allocation per T4</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2 cores per user</w:t>
            </w:r>
          </w:p>
        </w:tc>
      </w:tr>
      <w:tr>
        <w:tc>
          <w:tcPr>
            <w:tcW w:type="dxa" w:w="28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b/>
                <w:bCs/>
                <w:color w:val="555555"/>
                <w:sz w:val="18"/>
                <w:szCs w:val="18"/>
              </w:rPr>
              <w:t xml:space="preserve">Total slots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24 ÷ 2 = 12 slots</w:t>
            </w:r>
          </w:p>
        </w:tc>
      </w:tr>
      <w:tr>
        <w:tc>
          <w:tcPr>
            <w:tcW w:type="dxa" w:w="28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b/>
                <w:bCs/>
                <w:color w:val="555555"/>
                <w:sz w:val="18"/>
                <w:szCs w:val="18"/>
              </w:rPr>
              <w:t xml:space="preserve">Reference T4</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1 slot  (the T4 node holding the Node_5 link)</w:t>
            </w:r>
          </w:p>
        </w:tc>
      </w:tr>
      <w:tr>
        <w:tc>
          <w:tcPr>
            <w:tcW w:type="dxa" w:w="28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b/>
                <w:bCs/>
                <w:color w:val="555555"/>
                <w:sz w:val="18"/>
                <w:szCs w:val="18"/>
              </w:rPr>
              <w:t xml:space="preserve">Left adjacent T4</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5 hops</w:t>
            </w:r>
          </w:p>
        </w:tc>
      </w:tr>
      <w:tr>
        <w:tc>
          <w:tcPr>
            <w:tcW w:type="dxa" w:w="28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b/>
                <w:bCs/>
                <w:color w:val="555555"/>
                <w:sz w:val="18"/>
                <w:szCs w:val="18"/>
              </w:rPr>
              <w:t xml:space="preserve">Right adjacent T4</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5 hops</w:t>
            </w:r>
          </w:p>
        </w:tc>
      </w:tr>
      <w:tr>
        <w:tc>
          <w:tcPr>
            <w:tcW w:type="dxa" w:w="28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b/>
                <w:bCs/>
                <w:color w:val="555555"/>
                <w:sz w:val="18"/>
                <w:szCs w:val="18"/>
              </w:rPr>
              <w:t xml:space="preserve">Reserve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1 slot  (fault tolerance / future expansion)</w:t>
            </w:r>
          </w:p>
        </w:tc>
      </w:tr>
      <w:tr>
        <w:tc>
          <w:tcPr>
            <w:tcW w:type="dxa" w:w="28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b/>
                <w:bCs/>
                <w:color w:val="555555"/>
                <w:sz w:val="18"/>
                <w:szCs w:val="18"/>
              </w:rPr>
              <w:t xml:space="preserve">Rhizome limit rule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Expansion limit = hop distance ≤ 5 from Node_5 reference T4</w:t>
            </w:r>
          </w:p>
        </w:tc>
      </w:tr>
      <w:tr>
        <w:tc>
          <w:tcPr>
            <w:tcW w:type="dxa" w:w="28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b/>
                <w:bCs/>
                <w:color w:val="555555"/>
                <w:sz w:val="18"/>
                <w:szCs w:val="18"/>
              </w:rPr>
              <w:t xml:space="preserve">Overflow rule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Beyond hop 5 → new Node_5 T4 generated, or converge to H6</w:t>
            </w:r>
          </w:p>
        </w:tc>
      </w:tr>
    </w:tbl>
    <w:p>
      <w:r>
        <w:t xml:space="preserve"/>
      </w:r>
    </w:p>
    <w:p>
      <w:pPr>
        <w:pBdr>
          <w:left w:val="single" w:color="1A6B8A" w:sz="8" w:space="6"/>
        </w:pBdr>
        <w:ind w:left="240"/>
      </w:pPr>
      <w:r>
        <w:rPr>
          <w:rFonts w:ascii="Arial" w:cs="Arial" w:eastAsia="Arial" w:hAnsi="Arial"/>
          <w:i/>
          <w:iCs/>
          <w:color w:val="888888"/>
          <w:sz w:val="17"/>
          <w:szCs w:val="17"/>
        </w:rPr>
        <w:t xml:space="preserve">Direction (left / right) is defined relative to the T4 node holding the Node_5 link — not an absolute spatial coordinate.</w:t>
      </w:r>
    </w:p>
    <w:p>
      <w:r>
        <w:t xml:space="preserve"/>
      </w:r>
    </w:p>
    <w:p>
      <w:pPr>
        <w:pBdr>
          <w:bottom w:val="single" w:color="DDDDDD" w:sz="4" w:space="1"/>
        </w:pBdr>
      </w:pPr>
      <w:r>
        <w:t xml:space="preserve"/>
      </w:r>
    </w:p>
    <w:p>
      <w:r>
        <w:t xml:space="preserve"/>
      </w:r>
    </w:p>
    <w:p>
      <w:r>
        <w:rPr>
          <w:rFonts w:ascii="Arial" w:cs="Arial" w:eastAsia="Arial" w:hAnsi="Arial"/>
          <w:b/>
          <w:bCs/>
          <w:color w:val="1A6B8A"/>
          <w:sz w:val="26"/>
          <w:szCs w:val="26"/>
        </w:rPr>
        <w:t xml:space="preserve">UPDATE #002</w:t>
      </w:r>
      <w:r>
        <w:rPr>
          <w:rFonts w:ascii="Arial" w:cs="Arial" w:eastAsia="Arial" w:hAnsi="Arial"/>
          <w:color w:val="888888"/>
          <w:sz w:val="20"/>
          <w:szCs w:val="20"/>
        </w:rPr>
        <w:t xml:space="preserve">   2026.03.09</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b/>
                <w:bCs/>
                <w:color w:val="1A6B8A"/>
                <w:sz w:val="18"/>
                <w:szCs w:val="18"/>
              </w:rPr>
              <w:t xml:space="preserve">Target WP</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White Paper #01 — Network White Paper v2.0</w:t>
            </w:r>
          </w:p>
        </w:tc>
      </w:tr>
      <w:tr>
        <w:tc>
          <w:tcPr>
            <w:tcW w:type="dxa" w:w="20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b/>
                <w:bCs/>
                <w:color w:val="1A6B8A"/>
                <w:sz w:val="18"/>
                <w:szCs w:val="18"/>
              </w:rPr>
              <w:t xml:space="preserve">Section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Chapter 3 — Figure 3.1 and Figure 3.2</w:t>
            </w:r>
          </w:p>
        </w:tc>
      </w:tr>
      <w:tr>
        <w:tc>
          <w:tcPr>
            <w:tcW w:type="dxa" w:w="20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b/>
                <w:bCs/>
                <w:color w:val="1A6B8A"/>
                <w:sz w:val="18"/>
                <w:szCs w:val="18"/>
              </w:rPr>
              <w:t xml:space="preserve">Type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Design Status Clarification</w:t>
            </w:r>
          </w:p>
        </w:tc>
      </w:tr>
      <w:tr>
        <w:tc>
          <w:tcPr>
            <w:tcW w:type="dxa" w:w="20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b/>
                <w:bCs/>
                <w:color w:val="1A6B8A"/>
                <w:sz w:val="18"/>
                <w:szCs w:val="18"/>
              </w:rPr>
              <w:t xml:space="preserve">Status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PENDING</w:t>
            </w:r>
          </w:p>
        </w:tc>
      </w:tr>
    </w:tbl>
    <w:p>
      <w:r>
        <w:t xml:space="preserve"/>
      </w:r>
    </w:p>
    <w:p>
      <w:r>
        <w:rPr>
          <w:rFonts w:ascii="Arial" w:cs="Arial" w:eastAsia="Arial" w:hAnsi="Arial"/>
          <w:b/>
          <w:bCs/>
          <w:color w:val="1A1A1A"/>
          <w:sz w:val="22"/>
          <w:szCs w:val="22"/>
        </w:rPr>
        <w:t xml:space="preserve">Figure 3.1 and 3.2 — Optical Core Count and Node Color are NOT finalized</w:t>
      </w:r>
    </w:p>
    <w:p>
      <w:r>
        <w:t xml:space="preserve"/>
      </w:r>
    </w:p>
    <w:p>
      <w:pPr>
        <w:spacing w:line="320"/>
      </w:pPr>
      <w:r>
        <w:rPr>
          <w:rFonts w:ascii="Arial" w:cs="Arial" w:eastAsia="Arial" w:hAnsi="Arial"/>
          <w:color w:val="555555"/>
          <w:sz w:val="19"/>
          <w:szCs w:val="19"/>
        </w:rPr>
        <w:t xml:space="preserve">The optical core counts and node color assignments shown in Figure 3.1 and Figure 3.2 are illustrative only. These values have not been confirmed and are subject to revision as hardware specification and ribbon stack design mature.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b/>
                <w:bCs/>
                <w:color w:val="555555"/>
                <w:sz w:val="18"/>
                <w:szCs w:val="18"/>
              </w:rPr>
              <w:t xml:space="preserve">Figure 3.1</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Optical core counts — NOT confirmed.  Node colors — NOT finalized.</w:t>
            </w:r>
          </w:p>
        </w:tc>
      </w:tr>
      <w:tr>
        <w:tc>
          <w:tcPr>
            <w:tcW w:type="dxa" w:w="28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b/>
                <w:bCs/>
                <w:color w:val="555555"/>
                <w:sz w:val="18"/>
                <w:szCs w:val="18"/>
              </w:rPr>
              <w:t xml:space="preserve">Figure 3.2</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Optical core counts — NOT confirmed.  Node colors — NOT finalized.</w:t>
            </w:r>
          </w:p>
        </w:tc>
      </w:tr>
      <w:tr>
        <w:tc>
          <w:tcPr>
            <w:tcW w:type="dxa" w:w="28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b/>
                <w:bCs/>
                <w:color w:val="555555"/>
                <w:sz w:val="18"/>
                <w:szCs w:val="18"/>
              </w:rPr>
              <w:t xml:space="preserve">Authoritative ref</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Node Color → WP #13 (upon finalization).  Optical core → pending hardware spec.</w:t>
            </w:r>
          </w:p>
        </w:tc>
      </w:tr>
      <w:tr>
        <w:tc>
          <w:tcPr>
            <w:tcW w:type="dxa" w:w="28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b/>
                <w:bCs/>
                <w:color w:val="555555"/>
                <w:sz w:val="18"/>
                <w:szCs w:val="18"/>
              </w:rPr>
              <w:t xml:space="preserve">Action required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Add disclaimer caption to Figure 3.1 and 3.2 in next WP01 revision.</w:t>
            </w:r>
          </w:p>
        </w:tc>
      </w:tr>
    </w:tbl>
    <w:p>
      <w:r>
        <w:t xml:space="preserve"/>
      </w:r>
    </w:p>
    <w:p>
      <w:pPr>
        <w:pBdr>
          <w:left w:val="single" w:color="1A6B8A" w:sz="8" w:space="6"/>
        </w:pBdr>
        <w:ind w:left="240"/>
      </w:pPr>
      <w:r>
        <w:rPr>
          <w:rFonts w:ascii="Arial" w:cs="Arial" w:eastAsia="Arial" w:hAnsi="Arial"/>
          <w:i/>
          <w:iCs/>
          <w:color w:val="888888"/>
          <w:sz w:val="17"/>
          <w:szCs w:val="17"/>
        </w:rPr>
        <w:t xml:space="preserve">Node Color grammar is governed by White Paper #13 (Node Color White Paper v1.0, 20251226). All color representations in WP01 figures must defer to WP #13 upon finalization.</w:t>
      </w:r>
    </w:p>
    <w:p>
      <w:r>
        <w:t xml:space="preserve"/>
      </w:r>
    </w:p>
    <w:p>
      <w:pPr>
        <w:pBdr>
          <w:bottom w:val="single" w:color="DDDDDD" w:sz="4" w:space="1"/>
        </w:pBdr>
      </w:pPr>
      <w:r>
        <w:t xml:space="preserve"/>
      </w:r>
    </w:p>
    <w:p>
      <w:r>
        <w:t xml:space="preserve"/>
      </w:r>
    </w:p>
    <w:p>
      <w:r>
        <w:rPr>
          <w:rFonts w:ascii="Arial" w:cs="Arial" w:eastAsia="Arial" w:hAnsi="Arial"/>
          <w:b/>
          <w:bCs/>
          <w:color w:val="1A6B8A"/>
          <w:sz w:val="26"/>
          <w:szCs w:val="26"/>
        </w:rPr>
        <w:t xml:space="preserve">UPDATE #003</w:t>
      </w:r>
      <w:r>
        <w:rPr>
          <w:rFonts w:ascii="Arial" w:cs="Arial" w:eastAsia="Arial" w:hAnsi="Arial"/>
          <w:color w:val="888888"/>
          <w:sz w:val="20"/>
          <w:szCs w:val="20"/>
        </w:rPr>
        <w:t xml:space="preserve">   2026.03.09</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b/>
                <w:bCs/>
                <w:color w:val="1A6B8A"/>
                <w:sz w:val="18"/>
                <w:szCs w:val="18"/>
              </w:rPr>
              <w:t xml:space="preserve">Target WP</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White Paper #01 — Network White Paper v2.0</w:t>
            </w:r>
          </w:p>
        </w:tc>
      </w:tr>
      <w:tr>
        <w:tc>
          <w:tcPr>
            <w:tcW w:type="dxa" w:w="20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b/>
                <w:bCs/>
                <w:color w:val="1A6B8A"/>
                <w:sz w:val="18"/>
                <w:szCs w:val="18"/>
              </w:rPr>
              <w:t xml:space="preserve">Section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Chapter 3 — Design Philosophy</w:t>
            </w:r>
          </w:p>
        </w:tc>
      </w:tr>
      <w:tr>
        <w:tc>
          <w:tcPr>
            <w:tcW w:type="dxa" w:w="20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b/>
                <w:bCs/>
                <w:color w:val="1A6B8A"/>
                <w:sz w:val="18"/>
                <w:szCs w:val="18"/>
              </w:rPr>
              <w:t xml:space="preserve">Type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Conceptual Text Addition</w:t>
            </w:r>
          </w:p>
        </w:tc>
      </w:tr>
      <w:tr>
        <w:tc>
          <w:tcPr>
            <w:tcW w:type="dxa" w:w="20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b/>
                <w:bCs/>
                <w:color w:val="1A6B8A"/>
                <w:sz w:val="18"/>
                <w:szCs w:val="18"/>
              </w:rPr>
              <w:t xml:space="preserve">Status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PENDING</w:t>
            </w:r>
          </w:p>
        </w:tc>
      </w:tr>
    </w:tbl>
    <w:p>
      <w:r>
        <w:t xml:space="preserve"/>
      </w:r>
    </w:p>
    <w:p>
      <w:r>
        <w:rPr>
          <w:rFonts w:ascii="Arial" w:cs="Arial" w:eastAsia="Arial" w:hAnsi="Arial"/>
          <w:b/>
          <w:bCs/>
          <w:color w:val="1A1A1A"/>
          <w:sz w:val="22"/>
          <w:szCs w:val="22"/>
        </w:rPr>
        <w:t xml:space="preserve">Rhizome + Platonic Solid Design Philosophy — Text Formalization</w:t>
      </w:r>
    </w:p>
    <w:p>
      <w:r>
        <w:t xml:space="preserve"/>
      </w:r>
    </w:p>
    <w:p>
      <w:pPr>
        <w:spacing w:line="320"/>
      </w:pPr>
      <w:r>
        <w:rPr>
          <w:rFonts w:ascii="Arial" w:cs="Arial" w:eastAsia="Arial" w:hAnsi="Arial"/>
          <w:color w:val="555555"/>
          <w:sz w:val="19"/>
          <w:szCs w:val="19"/>
        </w:rPr>
        <w:t xml:space="preserve">The core architectural philosophy combining rhizome theory with Platonic solid geometry is currently expressed only through diagrams in WP01. The following text should be added to formally anchor this principle.</w:t>
      </w:r>
    </w:p>
    <w:p>
      <w:r>
        <w:t xml:space="preserve"/>
      </w:r>
    </w:p>
    <w:p>
      <w:r>
        <w:rPr>
          <w:rFonts w:ascii="Arial" w:cs="Arial" w:eastAsia="Arial" w:hAnsi="Arial"/>
          <w:i/>
          <w:iCs/>
          <w:color w:val="888888"/>
          <w:sz w:val="18"/>
          <w:szCs w:val="18"/>
        </w:rPr>
        <w:t xml:space="preserve">Proposed text (to be added to WP01 Chapter 3):</w:t>
      </w:r>
    </w:p>
    <w:p>
      <w:r>
        <w:t xml:space="preserve"/>
      </w:r>
    </w:p>
    <w:p>
      <w:pPr>
        <w:pBdr>
          <w:left w:val="single" w:color="1A6B8A" w:sz="12" w:space="8"/>
        </w:pBdr>
        <w:shd w:fill="F0F7FA" w:val="clear"/>
        <w:spacing w:line="340"/>
        <w:ind w:left="360" w:right="360"/>
      </w:pPr>
      <w:r>
        <w:rPr>
          <w:rFonts w:ascii="Arial" w:cs="Arial" w:eastAsia="Arial" w:hAnsi="Arial"/>
          <w:i/>
          <w:iCs/>
          <w:color w:val="1A1A1A"/>
          <w:sz w:val="19"/>
          <w:szCs w:val="19"/>
        </w:rPr>
        <w:t xml:space="preserve">Velsanet's structural architecture is founded on the integration of two complementary principles: the rhizome and the Platonic solid. The rhizome provides unlimited, non-hierarchical lateral expansion at the T4 layer — connections form freely, without predefined spatial constraints, bounded only by physical distance and optical core capacity. When the rhizome reaches its expansion limit (defined by Node_5 hop distance), it does not terminate; it converges upward into a higher structural form. That higher form is the Platonic solid. The five Platonic solids — tetrahedron, hexahedron, octahedron, dodecahedron, icosahedron — are the only perfectly regular polyhedra in three-dimensional space. Their mathematical completeness (exactly five, no more, no less) provides the structural grammar of the Velsanet network hierarchy: T4, H6, O8, D12, I20. The rhizome expands; the Platonic solid endures. Together, they form a network that is simultaneously free and structured, scalable and stable.</w:t>
      </w:r>
    </w:p>
    <w:p>
      <w:r>
        <w:t xml:space="preserve"/>
      </w:r>
    </w:p>
    <w:p>
      <w:r>
        <w:t xml:space="preserve"/>
      </w:r>
    </w:p>
    <w:p>
      <w:pPr>
        <w:pBdr>
          <w:bottom w:val="single" w:color="1A6B8A" w:sz="8" w:space="1"/>
        </w:pBdr>
      </w:pPr>
      <w:r>
        <w:t xml:space="preserve"/>
      </w:r>
    </w:p>
    <w:p>
      <w:r>
        <w:rPr>
          <w:rFonts w:ascii="Arial" w:cs="Arial" w:eastAsia="Arial" w:hAnsi="Arial"/>
          <w:color w:val="888888"/>
          <w:sz w:val="16"/>
          <w:szCs w:val="16"/>
        </w:rPr>
        <w:t xml:space="preserve">Velsanet Architecture Update Log  |  v0.1  |  2026.03.09  |  3 items accumulated  |  Target: WP01</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Arial" w:cs="Arial" w:eastAsia="Arial" w:hAnsi="Arial"/>
      <w:b/>
      <w:bCs/>
      <w:color w:val="1A1A1A"/>
      <w:sz w:val="36"/>
      <w:szCs w:val="36"/>
    </w:rPr>
  </w:style>
  <w:style w:type="paragraph" w:styleId="Heading2">
    <w:name w:val="Heading 2"/>
    <w:basedOn w:val="Normal"/>
    <w:next w:val="Normal"/>
    <w:qFormat/>
    <w:pPr>
      <w:spacing w:before="200" w:after="100"/>
      <w:outlineLvl w:val="1"/>
    </w:pPr>
    <w:rPr>
      <w:rFonts w:ascii="Arial" w:cs="Arial" w:eastAsia="Arial" w:hAnsi="Arial"/>
      <w:b/>
      <w:bCs/>
      <w:color w:val="1A6B8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2026-03-09T09:38:33.245Z</dcterms:created>
  <dcterms:modified xsi:type="dcterms:W3CDTF">2026-03-09T09:38:33.246Z</dcterms:modified>
</cp:coreProperties>
</file>

<file path=docProps/custom.xml><?xml version="1.0" encoding="utf-8"?>
<Properties xmlns="http://schemas.openxmlformats.org/officeDocument/2006/custom-properties" xmlns:vt="http://schemas.openxmlformats.org/officeDocument/2006/docPropsVTypes"/>
</file>