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#WP-ECO-03</w:t>
      </w:r>
    </w:p>
    <w:p>
      <w:pPr>
        <w:pBdr>
          <w:bottom w:val="single" w:color="2E6DA4" w:sz="8" w:space="4"/>
        </w:pBdr>
        <w:spacing w:after="0" w:before="200"/>
        <w:jc w:val="center"/>
      </w:pPr>
      <w:r>
        <w:rPr>
          <w:rFonts w:ascii="Arial" w:cs="Arial" w:eastAsia="Arial" w:hAnsi="Arial"/>
          <w:b/>
          <w:bCs/>
          <w:color w:val="2E6DA4"/>
          <w:sz w:val="44"/>
          <w:szCs w:val="44"/>
        </w:rPr>
        <w:t xml:space="preserve">The Telecom Transformation</w:t>
      </w:r>
    </w:p>
    <w:p>
      <w:pPr>
        <w:spacing w:after="600" w:before="240"/>
        <w:jc w:val="center"/>
      </w:pPr>
      <w:r>
        <w:rPr>
          <w:rFonts w:ascii="Arial" w:cs="Arial" w:eastAsia="Arial" w:hAnsi="Arial"/>
          <w:color w:val="444444"/>
          <w:sz w:val="26"/>
          <w:szCs w:val="26"/>
        </w:rPr>
        <w:t xml:space="preserve">From Pipe to Gateway: How Telecommunications Carriers Become AI Economy Gateways in the Velsanet Era</w:t>
      </w:r>
    </w:p>
    <w:p>
      <w:pPr>
        <w:spacing w:after="120" w:before="0"/>
        <w:jc w:val="center"/>
      </w:pPr>
      <w:r>
        <w:rPr>
          <w:rFonts w:ascii="Arial" w:cs="Arial" w:eastAsia="Arial" w:hAnsi="Arial"/>
          <w:b/>
          <w:bCs/>
          <w:color w:val="333333"/>
          <w:sz w:val="26"/>
          <w:szCs w:val="26"/>
        </w:rPr>
        <w:t xml:space="preserve">Changho Song</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1. The Carrier Dilemma — The End of the Connectivity Business</w:t>
      </w:r>
    </w:p>
    <w:p>
      <w:pPr>
        <w:spacing w:after="80" w:before="80"/>
      </w:pPr>
      <w:r>
        <w:rPr>
          <w:rFonts w:ascii="Arial" w:cs="Arial" w:eastAsia="Arial" w:hAnsi="Arial"/>
          <w:color w:val="222222"/>
          <w:sz w:val="22"/>
          <w:szCs w:val="22"/>
        </w:rPr>
        <w:t xml:space="preserve">Telecommunications carriers built the infrastructure of the digital age. They laid the fiber, erected the towers, and connected billions of people. For decades, connectivity was scarce, and carriers captured its value directly.</w:t>
      </w:r>
    </w:p>
    <w:p>
      <w:pPr>
        <w:spacing w:after="60" w:before="60"/>
      </w:pPr>
      <w:r>
        <w:t xml:space="preserve"/>
      </w:r>
    </w:p>
    <w:p>
      <w:pPr>
        <w:spacing w:after="80" w:before="80"/>
      </w:pPr>
      <w:r>
        <w:rPr>
          <w:rFonts w:ascii="Arial" w:cs="Arial" w:eastAsia="Arial" w:hAnsi="Arial"/>
          <w:color w:val="222222"/>
          <w:sz w:val="22"/>
          <w:szCs w:val="22"/>
        </w:rPr>
        <w:t xml:space="preserve">That era is ending. Connectivity is becoming a utility — essential, ubiquitous, and increasingly indistinguishable between providers. Data prices fall every year. Voice revenue has collapsed. Over-the-top services — WhatsApp, Netflix, Zoom — captured the value that carriers transported but could not own.</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Carriers became the pipe. The value flowed through them — and past them.</w:t>
      </w:r>
    </w:p>
    <w:p>
      <w:pPr>
        <w:spacing w:after="60" w:before="60"/>
      </w:pPr>
      <w:r>
        <w:t xml:space="preserve"/>
      </w:r>
    </w:p>
    <w:p>
      <w:pPr>
        <w:spacing w:after="80" w:before="80"/>
      </w:pPr>
      <w:r>
        <w:rPr>
          <w:rFonts w:ascii="Arial" w:cs="Arial" w:eastAsia="Arial" w:hAnsi="Arial"/>
          <w:color w:val="222222"/>
          <w:sz w:val="22"/>
          <w:szCs w:val="22"/>
        </w:rPr>
        <w:t xml:space="preserve">The question every carrier faces is the same: what do we sell when connectivity is no longer scarce? The Velsanet architecture answers this question with structural precision. The carrier transforms from connectivity provider to AI economy gateway.</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2. The Infrastructure Paradox — Losing on Cost, Winning on Volume</w:t>
      </w:r>
    </w:p>
    <w:p>
      <w:pPr>
        <w:pStyle w:val="Heading2"/>
        <w:spacing w:after="160" w:before="320"/>
      </w:pPr>
      <w:r>
        <w:rPr>
          <w:rFonts w:ascii="Arial" w:cs="Arial" w:eastAsia="Arial" w:hAnsi="Arial"/>
          <w:b/>
          <w:bCs/>
          <w:color w:val="2E6DA4"/>
          <w:sz w:val="26"/>
          <w:szCs w:val="26"/>
        </w:rPr>
        <w:t xml:space="preserve">2.1 The Short-Term Cost Reality</w:t>
      </w:r>
    </w:p>
    <w:p>
      <w:pPr>
        <w:spacing w:after="80" w:before="80"/>
      </w:pPr>
      <w:r>
        <w:rPr>
          <w:rFonts w:ascii="Arial" w:cs="Arial" w:eastAsia="Arial" w:hAnsi="Arial"/>
          <w:color w:val="222222"/>
          <w:sz w:val="22"/>
          <w:szCs w:val="22"/>
        </w:rPr>
        <w:t xml:space="preserve">Velsanet's optical-native architecture requires significant infrastructure investment. MOCT deployment, polyhedral node installation, and migration from packet-switched to structure-switched connectivity represent real capital expenditure. In the short term, carriers may absorb infrastructure costs that exceed their current per-subscriber revenue.</w:t>
      </w:r>
    </w:p>
    <w:p>
      <w:pPr>
        <w:spacing w:after="60" w:before="60"/>
      </w:pPr>
      <w:r>
        <w:t xml:space="preserve"/>
      </w:r>
    </w:p>
    <w:p>
      <w:pPr>
        <w:spacing w:after="80" w:before="80"/>
      </w:pPr>
      <w:r>
        <w:rPr>
          <w:rFonts w:ascii="Arial" w:cs="Arial" w:eastAsia="Arial" w:hAnsi="Arial"/>
          <w:color w:val="222222"/>
          <w:sz w:val="22"/>
          <w:szCs w:val="22"/>
        </w:rPr>
        <w:t xml:space="preserve">This is not a flaw. It is the deliberate strategic logic of platform economics — the same logic Amazon used in AWS, Apple in the App Store, and Google in Android.</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Lose on the pipe. Win on the platform.</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2.2 The Volume Equation</w:t>
      </w:r>
    </w:p>
    <w:p>
      <w:pPr>
        <w:spacing w:after="80" w:before="80"/>
      </w:pPr>
      <w:r>
        <w:rPr>
          <w:rFonts w:ascii="Arial" w:cs="Arial" w:eastAsia="Arial" w:hAnsi="Arial"/>
          <w:color w:val="222222"/>
          <w:sz w:val="22"/>
          <w:szCs w:val="22"/>
        </w:rPr>
        <w:t xml:space="preserve">The Infrastructure Paradox resolves through subscriber volume and AI ecosystem revenue. As subscribers grow, two things happen simultaneously: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13"/>
        <w:gridCol w:w="34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Effect</w:t>
            </w:r>
          </w:p>
        </w:tc>
        <w:tc>
          <w:tcPr>
            <w:tcW w:type="dxa" w:w="3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4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Financial Impact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Infrastructure cost per subscriber falls</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Fixed MOCT and node costs amortize over larger base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Unit economics improve continuously with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ecosystem revenue per subscriber grows</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More subscribers attract more PAI, AAI, and AsAI providers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Revenue per subscriber increases as ecosystem density grows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Network effects compound</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Each new subscriber makes ecosystem more valuable for all</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Revenue growth accelerates non-linearly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Switching costs increase</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cognitive history accumulates — migration becomes irrational</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Churn drops to near zero as PAI history depth grows</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3. The Three Revenue Streams</w:t>
      </w:r>
    </w:p>
    <w:p>
      <w:pPr>
        <w:pStyle w:val="Heading2"/>
        <w:spacing w:after="160" w:before="320"/>
      </w:pPr>
      <w:r>
        <w:rPr>
          <w:rFonts w:ascii="Arial" w:cs="Arial" w:eastAsia="Arial" w:hAnsi="Arial"/>
          <w:b/>
          <w:bCs/>
          <w:color w:val="2E6DA4"/>
          <w:sz w:val="26"/>
          <w:szCs w:val="26"/>
        </w:rPr>
        <w:t xml:space="preserve">3.1 Revenue Stream 1 — PAI Subscription</w:t>
      </w:r>
    </w:p>
    <w:p>
      <w:pPr>
        <w:spacing w:after="80" w:before="80"/>
      </w:pPr>
      <w:r>
        <w:rPr>
          <w:rFonts w:ascii="Arial" w:cs="Arial" w:eastAsia="Arial" w:hAnsi="Arial"/>
          <w:color w:val="222222"/>
          <w:sz w:val="22"/>
          <w:szCs w:val="22"/>
        </w:rPr>
        <w:t xml:space="preserve">The most direct transformation: carriers replace the data plan with the PAI subscription. Instead of selling gigabytes, they sell cognitive capability.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4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Includes</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Pricing Logic</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Basic PAI</w:t>
            </w:r>
          </w:p>
        </w:tc>
        <w:tc>
          <w:tcPr>
            <w:tcW w:type="dxa" w:w="4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Standard cognitive engine, communication (voice/text/SNS), financial account integration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Replaces current basic data plan — similar price, dramatically higher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Premium PAI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Domain-specialized modules (health, education, legal, finance), priority AAI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2-3x basic price — high margin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Professional PAI</w:t>
            </w:r>
          </w:p>
        </w:tc>
        <w:tc>
          <w:tcPr>
            <w:tcW w:type="dxa" w:w="4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Multi-domain specialization, enterprise AAI connectivity, SLA guarantees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Enterprise recurring subscription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Family / Group PAI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Multiple PAI instances, shared AAI access, group transaction capability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Bundle pricing — higher ARPU per account</w:t>
            </w:r>
          </w:p>
        </w:tc>
      </w:tr>
    </w:tbl>
    <w:p>
      <w:pPr>
        <w:spacing w:after="60" w:before="60"/>
      </w:pPr>
      <w:r>
        <w:t xml:space="preserve"/>
      </w:r>
    </w:p>
    <w:p>
      <w:pPr>
        <w:spacing w:after="80" w:before="80"/>
      </w:pPr>
      <w:r>
        <w:rPr>
          <w:rFonts w:ascii="Arial" w:cs="Arial" w:eastAsia="Arial" w:hAnsi="Arial"/>
          <w:color w:val="222222"/>
          <w:sz w:val="22"/>
          <w:szCs w:val="22"/>
        </w:rPr>
        <w:t xml:space="preserve">Critical difference from a data plan: PAI subscription value compounds over time. Three years of cognitive history makes switching cost prohibitively high. Data plan loyalty was inertia. PAI loyalty is value accumulation.</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3.2 Revenue Stream 2 — AI Ecosystem Infrastructure Fee</w:t>
      </w:r>
    </w:p>
    <w:p>
      <w:pPr>
        <w:spacing w:after="80" w:before="80"/>
      </w:pPr>
      <w:r>
        <w:rPr>
          <w:rFonts w:ascii="Arial" w:cs="Arial" w:eastAsia="Arial" w:hAnsi="Arial"/>
          <w:color w:val="222222"/>
          <w:sz w:val="22"/>
          <w:szCs w:val="22"/>
        </w:rPr>
        <w:t xml:space="preserve">Every PAI, AAI, and AsAI service operating on the carrier infrastructure pays a structural fee — analogous to the App Store model applied to the entire AI economy.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13"/>
        <w:gridCol w:w="38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Fee Category</w:t>
            </w:r>
          </w:p>
        </w:tc>
        <w:tc>
          <w:tcPr>
            <w:tcW w:type="dxa" w:w="2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Who Pays</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Basis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provider fee</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Third-party PAI engine developers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 active subscriber using their engine on carrier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access fee</w:t>
            </w:r>
          </w:p>
        </w:tc>
        <w:tc>
          <w:tcPr>
            <w:tcW w:type="dxa" w:w="2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service providers (legal, financial, medical, educational)</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 validation transaction processed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execution fee</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Businesses using execution capacity</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 transaction — volume-based, declining rate at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storage fee</w:t>
            </w:r>
          </w:p>
        </w:tc>
        <w:tc>
          <w:tcPr>
            <w:tcW w:type="dxa" w:w="2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raw memory layer</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 subscriber per month — history grows continuously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Priority routing fee</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Premium services requiring guaranteed latency</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SLA-based premium — mission-critical applications pay more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3.3 Revenue Stream 3 — Transaction Gateway Commission</w:t>
      </w:r>
    </w:p>
    <w:p>
      <w:pPr>
        <w:spacing w:after="80" w:before="80"/>
      </w:pPr>
      <w:r>
        <w:rPr>
          <w:rFonts w:ascii="Arial" w:cs="Arial" w:eastAsia="Arial" w:hAnsi="Arial"/>
          <w:color w:val="222222"/>
          <w:sz w:val="22"/>
          <w:szCs w:val="22"/>
        </w:rPr>
        <w:t xml:space="preserve">Every economic transaction flowing through the carrier's Velsanet infrastructure — from PAI intent through AAI validation to AsAI execution — generates a gateway commission. This is the most transformative revenue stream.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13"/>
        <w:gridCol w:w="38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Transaction Category</w:t>
            </w:r>
          </w:p>
        </w:tc>
        <w:tc>
          <w:tcPr>
            <w:tcW w:type="dxa" w:w="2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Commission Basis</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Scale Potential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Retail commerce</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Basis points on transaction value</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Every purchase made through PAI flows through carrier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Financial services</w:t>
            </w:r>
          </w:p>
        </w:tc>
        <w:tc>
          <w:tcPr>
            <w:tcW w:type="dxa" w:w="2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Per-transaction fee on payments and transfers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Replaces interchange revenue currently captured by card networks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Professional services</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Commission on AAI-mediated engagements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Legal, medical, educational transactions all flow through AAI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B2B transactions</w:t>
            </w:r>
          </w:p>
        </w:tc>
        <w:tc>
          <w:tcPr>
            <w:tcW w:type="dxa" w:w="2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Tiered commission on cross-enterprise value</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Supply chain, procurement, financial settlement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Government services</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Per-transaction administrative fee</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 licensing, permits — all structurally executed</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carrier does not need to be in the commerce business. It simply needs to be the infrastructure through which commerce flows — and collect a structural toll on every transaction.</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4. The Business Model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113"/>
        <w:gridCol w:w="35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1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Model</w:t>
            </w:r>
          </w:p>
        </w:tc>
        <w:tc>
          <w:tcPr>
            <w:tcW w:type="dxa" w:w="35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Model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Core product</w:t>
            </w:r>
          </w:p>
        </w:tc>
        <w:tc>
          <w:tcPr>
            <w:tcW w:type="dxa" w:w="31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Connectivity (data + voice)</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subscription + AI ecosystem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Revenue basis</w:t>
            </w:r>
          </w:p>
        </w:tc>
        <w:tc>
          <w:tcPr>
            <w:tcW w:type="dxa" w:w="3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consumption volume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Subscription + ecosystem fees + transaction commission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Competitive differentiation</w:t>
            </w:r>
          </w:p>
        </w:tc>
        <w:tc>
          <w:tcPr>
            <w:tcW w:type="dxa" w:w="31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Network speed and price</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quality, ecosystem depth, domain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 relationship</w:t>
            </w:r>
          </w:p>
        </w:tc>
        <w:tc>
          <w:tcPr>
            <w:tcW w:type="dxa" w:w="3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Utility provider — low engagement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life partner — deep engagement, high switching cost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Revenue trajectory</w:t>
            </w:r>
          </w:p>
        </w:tc>
        <w:tc>
          <w:tcPr>
            <w:tcW w:type="dxa" w:w="31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Declining — commodity pressure</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Growing — ecosystem network effects compound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ARPU trend</w:t>
            </w:r>
          </w:p>
        </w:tc>
        <w:tc>
          <w:tcPr>
            <w:tcW w:type="dxa" w:w="3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Falling — price competition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Rising — value accumulation per subscriber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Churn driver</w:t>
            </w:r>
          </w:p>
        </w:tc>
        <w:tc>
          <w:tcPr>
            <w:tcW w:type="dxa" w:w="31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Price comparison</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history depth — near-zero rational churn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Margin structure</w:t>
            </w:r>
          </w:p>
        </w:tc>
        <w:tc>
          <w:tcPr>
            <w:tcW w:type="dxa" w:w="3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Thin — infrastructure cost dominant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Expanding — ecosystem fees are near-zero marginal cost</w:t>
            </w:r>
          </w:p>
        </w:tc>
      </w:tr>
    </w:tbl>
    <w:p>
      <w:pPr>
        <w:spacing w:after="60" w:before="60"/>
      </w:pPr>
      <w:r>
        <w:t xml:space="preserve"/>
      </w:r>
    </w:p>
    <w:p>
      <w:pPr>
        <w:pStyle w:val="Heading1"/>
        <w:spacing w:after="200" w:before="480"/>
      </w:pPr>
      <w:r>
        <w:rPr>
          <w:rFonts w:ascii="Arial" w:cs="Arial" w:eastAsia="Arial" w:hAnsi="Arial"/>
          <w:b/>
          <w:bCs/>
          <w:color w:val="1A3A5C"/>
          <w:sz w:val="34"/>
          <w:szCs w:val="34"/>
        </w:rPr>
        <w:t xml:space="preserve">5. The Network Effect Flywheel</w:t>
      </w:r>
    </w:p>
    <w:p>
      <w:pPr>
        <w:pStyle w:val="ListParagraph"/>
        <w:numPr>
          <w:ilvl w:val="0"/>
          <w:numId w:val="2"/>
        </w:numPr>
        <w:spacing w:after="80" w:before="80"/>
      </w:pPr>
      <w:r>
        <w:rPr>
          <w:rFonts w:ascii="Arial" w:cs="Arial" w:eastAsia="Arial" w:hAnsi="Arial"/>
          <w:sz w:val="22"/>
          <w:szCs w:val="22"/>
        </w:rPr>
        <w:t xml:space="preserve">More subscribers attract more PAI engine providers competing for users</w:t>
      </w:r>
    </w:p>
    <w:p>
      <w:pPr>
        <w:pStyle w:val="ListParagraph"/>
        <w:numPr>
          <w:ilvl w:val="0"/>
          <w:numId w:val="2"/>
        </w:numPr>
        <w:spacing w:after="80" w:before="80"/>
      </w:pPr>
      <w:r>
        <w:rPr>
          <w:rFonts w:ascii="Arial" w:cs="Arial" w:eastAsia="Arial" w:hAnsi="Arial"/>
          <w:sz w:val="22"/>
          <w:szCs w:val="22"/>
        </w:rPr>
        <w:t xml:space="preserve">Better PAI quality attracts more AAI service providers to the ecosystem</w:t>
      </w:r>
    </w:p>
    <w:p>
      <w:pPr>
        <w:pStyle w:val="ListParagraph"/>
        <w:numPr>
          <w:ilvl w:val="0"/>
          <w:numId w:val="2"/>
        </w:numPr>
        <w:spacing w:after="80" w:before="80"/>
      </w:pPr>
      <w:r>
        <w:rPr>
          <w:rFonts w:ascii="Arial" w:cs="Arial" w:eastAsia="Arial" w:hAnsi="Arial"/>
          <w:sz w:val="22"/>
          <w:szCs w:val="22"/>
        </w:rPr>
        <w:t xml:space="preserve">More AAI services attract more AsAI businesses seeking validated customer intent</w:t>
      </w:r>
    </w:p>
    <w:p>
      <w:pPr>
        <w:pStyle w:val="ListParagraph"/>
        <w:numPr>
          <w:ilvl w:val="0"/>
          <w:numId w:val="2"/>
        </w:numPr>
        <w:spacing w:after="80" w:before="80"/>
      </w:pPr>
      <w:r>
        <w:rPr>
          <w:rFonts w:ascii="Arial" w:cs="Arial" w:eastAsia="Arial" w:hAnsi="Arial"/>
          <w:sz w:val="22"/>
          <w:szCs w:val="22"/>
        </w:rPr>
        <w:t xml:space="preserve">More AsAI businesses generate more transaction commission revenue</w:t>
      </w:r>
    </w:p>
    <w:p>
      <w:pPr>
        <w:pStyle w:val="ListParagraph"/>
        <w:numPr>
          <w:ilvl w:val="0"/>
          <w:numId w:val="2"/>
        </w:numPr>
        <w:spacing w:after="80" w:before="80"/>
      </w:pPr>
      <w:r>
        <w:rPr>
          <w:rFonts w:ascii="Arial" w:cs="Arial" w:eastAsia="Arial" w:hAnsi="Arial"/>
          <w:sz w:val="22"/>
          <w:szCs w:val="22"/>
        </w:rPr>
        <w:t xml:space="preserve">Higher revenue enables better infrastructure investment</w:t>
      </w:r>
    </w:p>
    <w:p>
      <w:pPr>
        <w:pStyle w:val="ListParagraph"/>
        <w:numPr>
          <w:ilvl w:val="0"/>
          <w:numId w:val="2"/>
        </w:numPr>
        <w:spacing w:after="80" w:before="80"/>
      </w:pPr>
      <w:r>
        <w:rPr>
          <w:rFonts w:ascii="Arial" w:cs="Arial" w:eastAsia="Arial" w:hAnsi="Arial"/>
          <w:sz w:val="22"/>
          <w:szCs w:val="22"/>
        </w:rPr>
        <w:t xml:space="preserve">Better infrastructure attracts more subscribers — return to step 1</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Data plan competition is a zero-sum race to the bottom. The Velsanet ecosystem model is a positive-sum race to the top.</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0" w:before="0"/>
        <w:jc w:val="center"/>
      </w:pPr>
      <w:r>
        <w:rPr>
          <w:rFonts w:ascii="Arial" w:cs="Arial" w:eastAsia="Arial" w:hAnsi="Arial"/>
          <w:color w:val="AAAAAA"/>
          <w:sz w:val="18"/>
          <w:szCs w:val="18"/>
        </w:rPr>
        <w:t xml:space="preserve">April 2026  ·  Velsanet White Paper #WP-ECO-03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2026-04-10T21:54:49.432Z</dcterms:created>
  <dcterms:modified xsi:type="dcterms:W3CDTF">2026-04-10T21:54:49.433Z</dcterms:modified>
</cp:coreProperties>
</file>

<file path=docProps/custom.xml><?xml version="1.0" encoding="utf-8"?>
<Properties xmlns="http://schemas.openxmlformats.org/officeDocument/2006/custom-properties" xmlns:vt="http://schemas.openxmlformats.org/officeDocument/2006/docPropsVTypes"/>
</file>